
<file path=[Content_Types].xml><?xml version="1.0" encoding="utf-8"?>
<Types xmlns="http://schemas.openxmlformats.org/package/2006/content-types">
  <Default Extension="bin" ContentType="application/vnd.openxmlformats-officedocument.oleObject"/>
  <Default Extension="png" ContentType="image/png"/>
  <Default Extension="svg" ContentType="application/octet-stream"/>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theme/themeOverride1.xml" ContentType="application/vnd.openxmlformats-officedocument.themeOverride+xml"/>
  <Override PartName="/word/drawings/drawing2.xml" ContentType="application/vnd.openxmlformats-officedocument.drawingml.chartshapes+xml"/>
  <Override PartName="/word/charts/chart4.xml" ContentType="application/vnd.openxmlformats-officedocument.drawingml.chart+xml"/>
  <Override PartName="/word/drawings/drawing3.xml" ContentType="application/vnd.openxmlformats-officedocument.drawingml.chartshapes+xml"/>
  <Override PartName="/word/charts/chart5.xml" ContentType="application/vnd.openxmlformats-officedocument.drawingml.chart+xml"/>
  <Override PartName="/word/drawings/drawing4.xml" ContentType="application/vnd.openxmlformats-officedocument.drawingml.chartshapes+xml"/>
  <Override PartName="/word/charts/chart6.xml" ContentType="application/vnd.openxmlformats-officedocument.drawingml.chart+xml"/>
  <Override PartName="/word/drawings/drawing5.xml" ContentType="application/vnd.openxmlformats-officedocument.drawingml.chartshapes+xml"/>
  <Override PartName="/word/charts/chart7.xml" ContentType="application/vnd.openxmlformats-officedocument.drawingml.chart+xml"/>
  <Override PartName="/word/drawings/drawing6.xml" ContentType="application/vnd.openxmlformats-officedocument.drawingml.chartshapes+xml"/>
  <Override PartName="/word/charts/chart8.xml" ContentType="application/vnd.openxmlformats-officedocument.drawingml.chart+xml"/>
  <Override PartName="/word/theme/themeOverride2.xml" ContentType="application/vnd.openxmlformats-officedocument.themeOverride+xml"/>
  <Override PartName="/word/drawings/drawing7.xml" ContentType="application/vnd.openxmlformats-officedocument.drawingml.chartshapes+xml"/>
  <Override PartName="/word/charts/chart9.xml" ContentType="application/vnd.openxmlformats-officedocument.drawingml.chart+xml"/>
  <Override PartName="/word/theme/themeOverride3.xml" ContentType="application/vnd.openxmlformats-officedocument.themeOverride+xml"/>
  <Override PartName="/word/drawings/drawing8.xml" ContentType="application/vnd.openxmlformats-officedocument.drawingml.chartshapes+xml"/>
  <Override PartName="/word/charts/chart10.xml" ContentType="application/vnd.openxmlformats-officedocument.drawingml.chart+xml"/>
  <Override PartName="/word/theme/themeOverride4.xml" ContentType="application/vnd.openxmlformats-officedocument.themeOverride+xml"/>
  <Override PartName="/word/drawings/drawing9.xml" ContentType="application/vnd.openxmlformats-officedocument.drawingml.chartshapes+xml"/>
  <Override PartName="/word/charts/chart11.xml" ContentType="application/vnd.openxmlformats-officedocument.drawingml.chart+xml"/>
  <Override PartName="/word/theme/themeOverride5.xml" ContentType="application/vnd.openxmlformats-officedocument.themeOverride+xml"/>
  <Override PartName="/word/drawings/drawing10.xml" ContentType="application/vnd.openxmlformats-officedocument.drawingml.chartshapes+xml"/>
  <Override PartName="/word/charts/chart12.xml" ContentType="application/vnd.openxmlformats-officedocument.drawingml.chart+xml"/>
  <Override PartName="/word/theme/themeOverride6.xml" ContentType="application/vnd.openxmlformats-officedocument.themeOverride+xml"/>
  <Override PartName="/word/drawings/drawing11.xml" ContentType="application/vnd.openxmlformats-officedocument.drawingml.chartshapes+xml"/>
  <Override PartName="/word/charts/chart13.xml" ContentType="application/vnd.openxmlformats-officedocument.drawingml.chart+xml"/>
  <Override PartName="/word/theme/themeOverride7.xml" ContentType="application/vnd.openxmlformats-officedocument.themeOverride+xml"/>
  <Override PartName="/word/drawings/drawing12.xml" ContentType="application/vnd.openxmlformats-officedocument.drawingml.chartshapes+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theme/themeOverride8.xml" ContentType="application/vnd.openxmlformats-officedocument.themeOverride+xml"/>
  <Override PartName="/word/charts/chart25.xml" ContentType="application/vnd.openxmlformats-officedocument.drawingml.chart+xml"/>
  <Override PartName="/word/theme/themeOverride9.xml" ContentType="application/vnd.openxmlformats-officedocument.themeOverride+xml"/>
  <Override PartName="/word/charts/chart26.xml" ContentType="application/vnd.openxmlformats-officedocument.drawingml.chart+xml"/>
  <Override PartName="/word/theme/themeOverride10.xml" ContentType="application/vnd.openxmlformats-officedocument.themeOverride+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theme/themeOverride11.xml" ContentType="application/vnd.openxmlformats-officedocument.themeOverride+xml"/>
  <Override PartName="/word/drawings/drawing13.xml" ContentType="application/vnd.openxmlformats-officedocument.drawingml.chartshapes+xml"/>
  <Override PartName="/word/charts/chart32.xml" ContentType="application/vnd.openxmlformats-officedocument.drawingml.chart+xml"/>
  <Override PartName="/word/theme/themeOverride12.xml" ContentType="application/vnd.openxmlformats-officedocument.themeOverride+xml"/>
  <Override PartName="/word/drawings/drawing14.xml" ContentType="application/vnd.openxmlformats-officedocument.drawingml.chartshapes+xml"/>
  <Override PartName="/word/charts/chart33.xml" ContentType="application/vnd.openxmlformats-officedocument.drawingml.chart+xml"/>
  <Override PartName="/word/theme/themeOverride13.xml" ContentType="application/vnd.openxmlformats-officedocument.themeOverride+xml"/>
  <Override PartName="/word/charts/chart34.xml" ContentType="application/vnd.openxmlformats-officedocument.drawingml.chart+xml"/>
  <Override PartName="/word/theme/themeOverride14.xml" ContentType="application/vnd.openxmlformats-officedocument.themeOverride+xml"/>
  <Override PartName="/word/drawings/drawing15.xml" ContentType="application/vnd.openxmlformats-officedocument.drawingml.chartshapes+xml"/>
  <Override PartName="/word/charts/chart35.xml" ContentType="application/vnd.openxmlformats-officedocument.drawingml.chart+xml"/>
  <Override PartName="/word/theme/themeOverride15.xml" ContentType="application/vnd.openxmlformats-officedocument.themeOverride+xml"/>
  <Override PartName="/word/drawings/drawing16.xml" ContentType="application/vnd.openxmlformats-officedocument.drawingml.chartshapes+xml"/>
  <Override PartName="/word/charts/chart36.xml" ContentType="application/vnd.openxmlformats-officedocument.drawingml.chart+xml"/>
  <Override PartName="/word/theme/themeOverride16.xml" ContentType="application/vnd.openxmlformats-officedocument.themeOverride+xml"/>
  <Override PartName="/word/drawings/drawing17.xml" ContentType="application/vnd.openxmlformats-officedocument.drawingml.chartshapes+xml"/>
  <Override PartName="/word/charts/chart37.xml" ContentType="application/vnd.openxmlformats-officedocument.drawingml.chart+xml"/>
  <Override PartName="/word/theme/themeOverride17.xml" ContentType="application/vnd.openxmlformats-officedocument.themeOverride+xml"/>
  <Override PartName="/word/drawings/drawing18.xml" ContentType="application/vnd.openxmlformats-officedocument.drawingml.chartshapes+xml"/>
  <Override PartName="/word/charts/chart38.xml" ContentType="application/vnd.openxmlformats-officedocument.drawingml.chart+xml"/>
  <Override PartName="/word/theme/themeOverride18.xml" ContentType="application/vnd.openxmlformats-officedocument.themeOverride+xml"/>
  <Override PartName="/word/drawings/drawing19.xml" ContentType="application/vnd.openxmlformats-officedocument.drawingml.chartshapes+xml"/>
  <Override PartName="/word/charts/chart39.xml" ContentType="application/vnd.openxmlformats-officedocument.drawingml.chart+xml"/>
  <Override PartName="/word/theme/themeOverride19.xml" ContentType="application/vnd.openxmlformats-officedocument.themeOverride+xml"/>
  <Override PartName="/word/drawings/drawing20.xml" ContentType="application/vnd.openxmlformats-officedocument.drawingml.chartshapes+xml"/>
  <Override PartName="/word/charts/chart40.xml" ContentType="application/vnd.openxmlformats-officedocument.drawingml.chart+xml"/>
  <Override PartName="/word/theme/themeOverride20.xml" ContentType="application/vnd.openxmlformats-officedocument.themeOverride+xml"/>
  <Override PartName="/word/drawings/drawing21.xml" ContentType="application/vnd.openxmlformats-officedocument.drawingml.chartshapes+xml"/>
  <Override PartName="/word/charts/chart41.xml" ContentType="application/vnd.openxmlformats-officedocument.drawingml.chart+xml"/>
  <Override PartName="/word/theme/themeOverride21.xml" ContentType="application/vnd.openxmlformats-officedocument.themeOverride+xml"/>
  <Override PartName="/word/drawings/drawing22.xml" ContentType="application/vnd.openxmlformats-officedocument.drawingml.chartshapes+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charts/chart46.xml" ContentType="application/vnd.openxmlformats-officedocument.drawingml.chart+xml"/>
  <Override PartName="/word/charts/chart47.xml" ContentType="application/vnd.openxmlformats-officedocument.drawingml.chart+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charts/chart51.xml" ContentType="application/vnd.openxmlformats-officedocument.drawingml.chart+xml"/>
  <Override PartName="/word/charts/chart52.xml" ContentType="application/vnd.openxmlformats-officedocument.drawingml.chart+xml"/>
  <Override PartName="/word/theme/themeOverride22.xml" ContentType="application/vnd.openxmlformats-officedocument.themeOverride+xml"/>
  <Override PartName="/word/charts/chart53.xml" ContentType="application/vnd.openxmlformats-officedocument.drawingml.chart+xml"/>
  <Override PartName="/word/theme/themeOverride23.xml" ContentType="application/vnd.openxmlformats-officedocument.themeOverride+xml"/>
  <Override PartName="/word/charts/chart54.xml" ContentType="application/vnd.openxmlformats-officedocument.drawingml.chart+xml"/>
  <Override PartName="/word/theme/themeOverride24.xml" ContentType="application/vnd.openxmlformats-officedocument.themeOverride+xml"/>
  <Override PartName="/word/charts/chart55.xml" ContentType="application/vnd.openxmlformats-officedocument.drawingml.chart+xml"/>
  <Override PartName="/word/theme/themeOverride25.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charts/chart56.xml" ContentType="application/vnd.openxmlformats-officedocument.drawingml.chart+xml"/>
  <Override PartName="/word/theme/themeOverride26.xml" ContentType="application/vnd.openxmlformats-officedocument.themeOverride+xml"/>
  <Override PartName="/word/charts/chart57.xml" ContentType="application/vnd.openxmlformats-officedocument.drawingml.chart+xml"/>
  <Override PartName="/word/drawings/drawing23.xml" ContentType="application/vnd.openxmlformats-officedocument.drawingml.chartshapes+xml"/>
  <Override PartName="/word/charts/chart58.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279"/>
        <w:tblW w:w="9747" w:type="dxa"/>
        <w:tblLayout w:type="fixed"/>
        <w:tblLook w:val="04A0" w:firstRow="1" w:lastRow="0" w:firstColumn="1" w:lastColumn="0" w:noHBand="0" w:noVBand="1"/>
      </w:tblPr>
      <w:tblGrid>
        <w:gridCol w:w="4644"/>
        <w:gridCol w:w="5103"/>
      </w:tblGrid>
      <w:tr w:rsidR="00A712E1" w:rsidTr="00A712E1">
        <w:trPr>
          <w:trHeight w:val="1644"/>
        </w:trPr>
        <w:tc>
          <w:tcPr>
            <w:tcW w:w="4644" w:type="dxa"/>
          </w:tcPr>
          <w:p w:rsidR="00A712E1" w:rsidRDefault="00A712E1" w:rsidP="00A712E1">
            <w:pPr>
              <w:ind w:left="-6186" w:firstLine="6186"/>
            </w:pPr>
          </w:p>
        </w:tc>
        <w:tc>
          <w:tcPr>
            <w:tcW w:w="5103" w:type="dxa"/>
          </w:tcPr>
          <w:p w:rsidR="00A712E1" w:rsidRPr="00AF1FCC" w:rsidRDefault="00A712E1" w:rsidP="00A712E1">
            <w:pPr>
              <w:rPr>
                <w:szCs w:val="28"/>
              </w:rPr>
            </w:pPr>
            <w:r w:rsidRPr="00AF1FCC">
              <w:rPr>
                <w:szCs w:val="28"/>
              </w:rPr>
              <w:t>«УТВЕРЖДАЮ»</w:t>
            </w:r>
          </w:p>
          <w:p w:rsidR="00A712E1" w:rsidRPr="00AF1FCC" w:rsidRDefault="00A712E1" w:rsidP="00A712E1">
            <w:pPr>
              <w:rPr>
                <w:szCs w:val="28"/>
              </w:rPr>
            </w:pPr>
            <w:r w:rsidRPr="00AF1FCC">
              <w:rPr>
                <w:szCs w:val="28"/>
              </w:rPr>
              <w:t>Руководитель департамента по тарифам Новосибирской области</w:t>
            </w:r>
          </w:p>
          <w:p w:rsidR="00A712E1" w:rsidRPr="00AF1FCC" w:rsidRDefault="00A712E1" w:rsidP="00A712E1">
            <w:pPr>
              <w:rPr>
                <w:szCs w:val="28"/>
              </w:rPr>
            </w:pPr>
          </w:p>
          <w:p w:rsidR="00A712E1" w:rsidRPr="00AF1FCC" w:rsidRDefault="00A712E1" w:rsidP="00A712E1">
            <w:pPr>
              <w:rPr>
                <w:szCs w:val="28"/>
              </w:rPr>
            </w:pPr>
            <w:r w:rsidRPr="00AF1FCC">
              <w:rPr>
                <w:szCs w:val="28"/>
              </w:rPr>
              <w:t>____________________ Г.Р. Асмодьяров</w:t>
            </w:r>
          </w:p>
          <w:p w:rsidR="00A712E1" w:rsidRPr="00AF1FCC" w:rsidRDefault="00A712E1" w:rsidP="00A712E1">
            <w:pPr>
              <w:rPr>
                <w:szCs w:val="28"/>
              </w:rPr>
            </w:pPr>
            <w:r w:rsidRPr="00AF1FCC">
              <w:rPr>
                <w:szCs w:val="28"/>
              </w:rPr>
              <w:t xml:space="preserve">                                «</w:t>
            </w:r>
            <w:r w:rsidR="00382657">
              <w:rPr>
                <w:szCs w:val="28"/>
              </w:rPr>
              <w:t>27</w:t>
            </w:r>
            <w:bookmarkStart w:id="0" w:name="_GoBack"/>
            <w:bookmarkEnd w:id="0"/>
            <w:r w:rsidRPr="00AF1FCC">
              <w:rPr>
                <w:szCs w:val="28"/>
              </w:rPr>
              <w:t>» марта 202</w:t>
            </w:r>
            <w:r>
              <w:rPr>
                <w:szCs w:val="28"/>
              </w:rPr>
              <w:t>5</w:t>
            </w:r>
            <w:r w:rsidRPr="00AF1FCC">
              <w:rPr>
                <w:szCs w:val="28"/>
              </w:rPr>
              <w:t xml:space="preserve"> года</w:t>
            </w:r>
          </w:p>
          <w:p w:rsidR="00A712E1" w:rsidRDefault="00A712E1" w:rsidP="00A712E1"/>
        </w:tc>
      </w:tr>
    </w:tbl>
    <w:p w:rsidR="00A712E1" w:rsidRDefault="00A712E1" w:rsidP="00A712E1">
      <w:pPr>
        <w:rPr>
          <w:b/>
          <w:sz w:val="32"/>
          <w:szCs w:val="32"/>
        </w:rPr>
      </w:pPr>
    </w:p>
    <w:p w:rsidR="00A712E1" w:rsidRDefault="00A712E1" w:rsidP="00A712E1">
      <w:pPr>
        <w:rPr>
          <w:b/>
          <w:sz w:val="32"/>
          <w:szCs w:val="32"/>
        </w:rPr>
      </w:pPr>
    </w:p>
    <w:p w:rsidR="00A712E1" w:rsidRDefault="00A712E1" w:rsidP="00A712E1">
      <w:pPr>
        <w:rPr>
          <w:b/>
          <w:sz w:val="32"/>
          <w:szCs w:val="32"/>
        </w:rPr>
      </w:pPr>
    </w:p>
    <w:p w:rsidR="00A712E1" w:rsidRDefault="00A712E1" w:rsidP="00A712E1">
      <w:pPr>
        <w:rPr>
          <w:b/>
          <w:sz w:val="32"/>
          <w:szCs w:val="32"/>
        </w:rPr>
      </w:pPr>
    </w:p>
    <w:p w:rsidR="00A712E1" w:rsidRPr="008D7B9C" w:rsidRDefault="00A712E1" w:rsidP="00A712E1">
      <w:pPr>
        <w:rPr>
          <w:b/>
          <w:sz w:val="32"/>
          <w:szCs w:val="32"/>
        </w:rPr>
      </w:pPr>
      <w:r w:rsidRPr="008D7B9C">
        <w:rPr>
          <w:b/>
          <w:sz w:val="32"/>
          <w:szCs w:val="32"/>
        </w:rPr>
        <w:t>ОТЧЕТ</w:t>
      </w:r>
    </w:p>
    <w:p w:rsidR="00A712E1" w:rsidRPr="008D7B9C" w:rsidRDefault="00A712E1" w:rsidP="00A712E1">
      <w:pPr>
        <w:rPr>
          <w:b/>
          <w:sz w:val="32"/>
          <w:szCs w:val="32"/>
        </w:rPr>
      </w:pPr>
      <w:r w:rsidRPr="008D7B9C">
        <w:rPr>
          <w:b/>
          <w:sz w:val="32"/>
          <w:szCs w:val="32"/>
        </w:rPr>
        <w:t xml:space="preserve"> о результатах деятельности Департамента по тарифам </w:t>
      </w:r>
    </w:p>
    <w:p w:rsidR="00A712E1" w:rsidRDefault="00A712E1" w:rsidP="00A712E1">
      <w:r w:rsidRPr="008D7B9C">
        <w:rPr>
          <w:b/>
          <w:sz w:val="32"/>
          <w:szCs w:val="32"/>
        </w:rPr>
        <w:t xml:space="preserve">Новосибирской области </w:t>
      </w:r>
      <w:r>
        <w:rPr>
          <w:b/>
          <w:sz w:val="32"/>
          <w:szCs w:val="32"/>
        </w:rPr>
        <w:t>за 2024</w:t>
      </w:r>
      <w:r w:rsidRPr="008D7B9C">
        <w:rPr>
          <w:b/>
          <w:sz w:val="32"/>
          <w:szCs w:val="32"/>
        </w:rPr>
        <w:t xml:space="preserve"> год </w:t>
      </w:r>
    </w:p>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 w:rsidR="00A712E1" w:rsidRDefault="00A712E1" w:rsidP="00A712E1">
      <w:pPr>
        <w:rPr>
          <w:szCs w:val="28"/>
        </w:rPr>
      </w:pPr>
      <w:r w:rsidRPr="00F93499">
        <w:rPr>
          <w:szCs w:val="28"/>
        </w:rPr>
        <w:t>Новосибирск</w:t>
      </w:r>
    </w:p>
    <w:p w:rsidR="007E4796" w:rsidRDefault="007E4796">
      <w:pPr>
        <w:spacing w:after="200"/>
        <w:jc w:val="left"/>
        <w:rPr>
          <w:szCs w:val="28"/>
        </w:rPr>
      </w:pPr>
      <w:r>
        <w:rPr>
          <w:szCs w:val="28"/>
        </w:rPr>
        <w:br w:type="page"/>
      </w:r>
    </w:p>
    <w:p w:rsidR="00201A7D" w:rsidRPr="00201A7D" w:rsidRDefault="00201A7D" w:rsidP="00201A7D">
      <w:pPr>
        <w:spacing w:after="200"/>
        <w:rPr>
          <w:b/>
          <w:szCs w:val="28"/>
        </w:rPr>
      </w:pPr>
      <w:r w:rsidRPr="00201A7D">
        <w:rPr>
          <w:b/>
          <w:szCs w:val="28"/>
        </w:rPr>
        <w:lastRenderedPageBreak/>
        <w:t>Оглавление</w:t>
      </w:r>
    </w:p>
    <w:p w:rsidR="007937B5" w:rsidRDefault="007E4796">
      <w:pPr>
        <w:pStyle w:val="1a"/>
        <w:tabs>
          <w:tab w:val="right" w:pos="9345"/>
        </w:tabs>
        <w:rPr>
          <w:rFonts w:asciiTheme="minorHAnsi" w:eastAsiaTheme="minorEastAsia" w:hAnsiTheme="minorHAnsi" w:cstheme="minorBidi"/>
          <w:noProof/>
          <w:sz w:val="22"/>
          <w:szCs w:val="22"/>
        </w:rPr>
      </w:pPr>
      <w:r>
        <w:fldChar w:fldCharType="begin"/>
      </w:r>
      <w:r>
        <w:instrText xml:space="preserve"> TOC \o "1-2" \h \z \t "Заголовок 4;2;Отчет 2023 1;1" </w:instrText>
      </w:r>
      <w:r>
        <w:fldChar w:fldCharType="separate"/>
      </w:r>
      <w:hyperlink w:anchor="_Toc193810513" w:history="1">
        <w:r w:rsidR="007937B5" w:rsidRPr="0084432D">
          <w:rPr>
            <w:rStyle w:val="a3"/>
            <w:noProof/>
          </w:rPr>
          <w:t>1. Общие положения</w:t>
        </w:r>
        <w:r w:rsidR="007937B5">
          <w:rPr>
            <w:noProof/>
            <w:webHidden/>
          </w:rPr>
          <w:tab/>
        </w:r>
        <w:r w:rsidR="007937B5">
          <w:rPr>
            <w:noProof/>
            <w:webHidden/>
          </w:rPr>
          <w:fldChar w:fldCharType="begin"/>
        </w:r>
        <w:r w:rsidR="007937B5">
          <w:rPr>
            <w:noProof/>
            <w:webHidden/>
          </w:rPr>
          <w:instrText xml:space="preserve"> PAGEREF _Toc193810513 \h </w:instrText>
        </w:r>
        <w:r w:rsidR="007937B5">
          <w:rPr>
            <w:noProof/>
            <w:webHidden/>
          </w:rPr>
        </w:r>
        <w:r w:rsidR="007937B5">
          <w:rPr>
            <w:noProof/>
            <w:webHidden/>
          </w:rPr>
          <w:fldChar w:fldCharType="separate"/>
        </w:r>
        <w:r w:rsidR="007937B5">
          <w:rPr>
            <w:noProof/>
            <w:webHidden/>
          </w:rPr>
          <w:t>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14" w:history="1">
        <w:r w:rsidR="007937B5" w:rsidRPr="0084432D">
          <w:rPr>
            <w:rStyle w:val="a3"/>
            <w:noProof/>
          </w:rPr>
          <w:t>1.1. Нормативно-правовые основы деятельности департамента</w:t>
        </w:r>
        <w:r w:rsidR="007937B5">
          <w:rPr>
            <w:noProof/>
            <w:webHidden/>
          </w:rPr>
          <w:tab/>
        </w:r>
        <w:r w:rsidR="007937B5">
          <w:rPr>
            <w:noProof/>
            <w:webHidden/>
          </w:rPr>
          <w:fldChar w:fldCharType="begin"/>
        </w:r>
        <w:r w:rsidR="007937B5">
          <w:rPr>
            <w:noProof/>
            <w:webHidden/>
          </w:rPr>
          <w:instrText xml:space="preserve"> PAGEREF _Toc193810514 \h </w:instrText>
        </w:r>
        <w:r w:rsidR="007937B5">
          <w:rPr>
            <w:noProof/>
            <w:webHidden/>
          </w:rPr>
        </w:r>
        <w:r w:rsidR="007937B5">
          <w:rPr>
            <w:noProof/>
            <w:webHidden/>
          </w:rPr>
          <w:fldChar w:fldCharType="separate"/>
        </w:r>
        <w:r w:rsidR="007937B5">
          <w:rPr>
            <w:noProof/>
            <w:webHidden/>
          </w:rPr>
          <w:t>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15" w:history="1">
        <w:r w:rsidR="007937B5" w:rsidRPr="0084432D">
          <w:rPr>
            <w:rStyle w:val="a3"/>
            <w:noProof/>
          </w:rPr>
          <w:t>1.2. Цели и задачи</w:t>
        </w:r>
        <w:r w:rsidR="007937B5">
          <w:rPr>
            <w:noProof/>
            <w:webHidden/>
          </w:rPr>
          <w:tab/>
        </w:r>
        <w:r w:rsidR="007937B5">
          <w:rPr>
            <w:noProof/>
            <w:webHidden/>
          </w:rPr>
          <w:fldChar w:fldCharType="begin"/>
        </w:r>
        <w:r w:rsidR="007937B5">
          <w:rPr>
            <w:noProof/>
            <w:webHidden/>
          </w:rPr>
          <w:instrText xml:space="preserve"> PAGEREF _Toc193810515 \h </w:instrText>
        </w:r>
        <w:r w:rsidR="007937B5">
          <w:rPr>
            <w:noProof/>
            <w:webHidden/>
          </w:rPr>
        </w:r>
        <w:r w:rsidR="007937B5">
          <w:rPr>
            <w:noProof/>
            <w:webHidden/>
          </w:rPr>
          <w:fldChar w:fldCharType="separate"/>
        </w:r>
        <w:r w:rsidR="007937B5">
          <w:rPr>
            <w:noProof/>
            <w:webHidden/>
          </w:rPr>
          <w:t>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16" w:history="1">
        <w:r w:rsidR="007937B5" w:rsidRPr="0084432D">
          <w:rPr>
            <w:rStyle w:val="a3"/>
            <w:noProof/>
          </w:rPr>
          <w:t>1.3. Итоги работы Правления департамента</w:t>
        </w:r>
        <w:r w:rsidR="007937B5">
          <w:rPr>
            <w:noProof/>
            <w:webHidden/>
          </w:rPr>
          <w:tab/>
        </w:r>
        <w:r w:rsidR="007937B5">
          <w:rPr>
            <w:noProof/>
            <w:webHidden/>
          </w:rPr>
          <w:fldChar w:fldCharType="begin"/>
        </w:r>
        <w:r w:rsidR="007937B5">
          <w:rPr>
            <w:noProof/>
            <w:webHidden/>
          </w:rPr>
          <w:instrText xml:space="preserve"> PAGEREF _Toc193810516 \h </w:instrText>
        </w:r>
        <w:r w:rsidR="007937B5">
          <w:rPr>
            <w:noProof/>
            <w:webHidden/>
          </w:rPr>
        </w:r>
        <w:r w:rsidR="007937B5">
          <w:rPr>
            <w:noProof/>
            <w:webHidden/>
          </w:rPr>
          <w:fldChar w:fldCharType="separate"/>
        </w:r>
        <w:r w:rsidR="007937B5">
          <w:rPr>
            <w:noProof/>
            <w:webHidden/>
          </w:rPr>
          <w:t>7</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17" w:history="1">
        <w:r w:rsidR="007937B5" w:rsidRPr="0084432D">
          <w:rPr>
            <w:rStyle w:val="a3"/>
            <w:noProof/>
          </w:rPr>
          <w:t>2. Итоги регулирования в установленных сферах деятельности</w:t>
        </w:r>
        <w:r w:rsidR="007937B5">
          <w:rPr>
            <w:noProof/>
            <w:webHidden/>
          </w:rPr>
          <w:tab/>
        </w:r>
        <w:r w:rsidR="007937B5">
          <w:rPr>
            <w:noProof/>
            <w:webHidden/>
          </w:rPr>
          <w:fldChar w:fldCharType="begin"/>
        </w:r>
        <w:r w:rsidR="007937B5">
          <w:rPr>
            <w:noProof/>
            <w:webHidden/>
          </w:rPr>
          <w:instrText xml:space="preserve"> PAGEREF _Toc193810517 \h </w:instrText>
        </w:r>
        <w:r w:rsidR="007937B5">
          <w:rPr>
            <w:noProof/>
            <w:webHidden/>
          </w:rPr>
        </w:r>
        <w:r w:rsidR="007937B5">
          <w:rPr>
            <w:noProof/>
            <w:webHidden/>
          </w:rPr>
          <w:fldChar w:fldCharType="separate"/>
        </w:r>
        <w:r w:rsidR="007937B5">
          <w:rPr>
            <w:noProof/>
            <w:webHidden/>
          </w:rPr>
          <w:t>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18" w:history="1">
        <w:r w:rsidR="007937B5" w:rsidRPr="0084432D">
          <w:rPr>
            <w:rStyle w:val="a3"/>
            <w:noProof/>
          </w:rPr>
          <w:t>2.1. Электроэнергетика</w:t>
        </w:r>
        <w:r w:rsidR="007937B5">
          <w:rPr>
            <w:noProof/>
            <w:webHidden/>
          </w:rPr>
          <w:tab/>
        </w:r>
        <w:r w:rsidR="007937B5">
          <w:rPr>
            <w:noProof/>
            <w:webHidden/>
          </w:rPr>
          <w:fldChar w:fldCharType="begin"/>
        </w:r>
        <w:r w:rsidR="007937B5">
          <w:rPr>
            <w:noProof/>
            <w:webHidden/>
          </w:rPr>
          <w:instrText xml:space="preserve"> PAGEREF _Toc193810518 \h </w:instrText>
        </w:r>
        <w:r w:rsidR="007937B5">
          <w:rPr>
            <w:noProof/>
            <w:webHidden/>
          </w:rPr>
        </w:r>
        <w:r w:rsidR="007937B5">
          <w:rPr>
            <w:noProof/>
            <w:webHidden/>
          </w:rPr>
          <w:fldChar w:fldCharType="separate"/>
        </w:r>
        <w:r w:rsidR="007937B5">
          <w:rPr>
            <w:noProof/>
            <w:webHidden/>
          </w:rPr>
          <w:t>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19" w:history="1">
        <w:r w:rsidR="007937B5" w:rsidRPr="0084432D">
          <w:rPr>
            <w:rStyle w:val="a3"/>
            <w:noProof/>
          </w:rPr>
          <w:t>2.1.1. Формирование балансов электрической энергии и мощности</w:t>
        </w:r>
        <w:r w:rsidR="007937B5">
          <w:rPr>
            <w:noProof/>
            <w:webHidden/>
          </w:rPr>
          <w:tab/>
        </w:r>
        <w:r w:rsidR="007937B5">
          <w:rPr>
            <w:noProof/>
            <w:webHidden/>
          </w:rPr>
          <w:fldChar w:fldCharType="begin"/>
        </w:r>
        <w:r w:rsidR="007937B5">
          <w:rPr>
            <w:noProof/>
            <w:webHidden/>
          </w:rPr>
          <w:instrText xml:space="preserve"> PAGEREF _Toc193810519 \h </w:instrText>
        </w:r>
        <w:r w:rsidR="007937B5">
          <w:rPr>
            <w:noProof/>
            <w:webHidden/>
          </w:rPr>
        </w:r>
        <w:r w:rsidR="007937B5">
          <w:rPr>
            <w:noProof/>
            <w:webHidden/>
          </w:rPr>
          <w:fldChar w:fldCharType="separate"/>
        </w:r>
        <w:r w:rsidR="007937B5">
          <w:rPr>
            <w:noProof/>
            <w:webHidden/>
          </w:rPr>
          <w:t>9</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0" w:history="1">
        <w:r w:rsidR="007937B5" w:rsidRPr="0084432D">
          <w:rPr>
            <w:rStyle w:val="a3"/>
            <w:noProof/>
          </w:rPr>
          <w:t>2.1.2 Формирование тарифов для населения и приравненным к нему категориям потребителей</w:t>
        </w:r>
        <w:r w:rsidR="007937B5">
          <w:rPr>
            <w:noProof/>
            <w:webHidden/>
          </w:rPr>
          <w:tab/>
        </w:r>
        <w:r w:rsidR="007937B5">
          <w:rPr>
            <w:noProof/>
            <w:webHidden/>
          </w:rPr>
          <w:fldChar w:fldCharType="begin"/>
        </w:r>
        <w:r w:rsidR="007937B5">
          <w:rPr>
            <w:noProof/>
            <w:webHidden/>
          </w:rPr>
          <w:instrText xml:space="preserve"> PAGEREF _Toc193810520 \h </w:instrText>
        </w:r>
        <w:r w:rsidR="007937B5">
          <w:rPr>
            <w:noProof/>
            <w:webHidden/>
          </w:rPr>
        </w:r>
        <w:r w:rsidR="007937B5">
          <w:rPr>
            <w:noProof/>
            <w:webHidden/>
          </w:rPr>
          <w:fldChar w:fldCharType="separate"/>
        </w:r>
        <w:r w:rsidR="007937B5">
          <w:rPr>
            <w:noProof/>
            <w:webHidden/>
          </w:rPr>
          <w:t>12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1" w:history="1">
        <w:r w:rsidR="007937B5" w:rsidRPr="0084432D">
          <w:rPr>
            <w:rStyle w:val="a3"/>
            <w:noProof/>
          </w:rPr>
          <w:t>2.1.2.1. Сравнительный анализ уровней тарифов на электрическую энергию, поставляемую населению и приравненным к нему категориям потребителей, установленных для первого диапазона потребления электрической энергии (мощности), и величины перекрестного субсидирования в разрезе крупных городов Российской Федерации с численностью населения более 1 млн.</w:t>
        </w:r>
        <w:r w:rsidR="007937B5">
          <w:rPr>
            <w:noProof/>
            <w:webHidden/>
          </w:rPr>
          <w:tab/>
        </w:r>
        <w:r w:rsidR="007937B5">
          <w:rPr>
            <w:noProof/>
            <w:webHidden/>
          </w:rPr>
          <w:fldChar w:fldCharType="begin"/>
        </w:r>
        <w:r w:rsidR="007937B5">
          <w:rPr>
            <w:noProof/>
            <w:webHidden/>
          </w:rPr>
          <w:instrText xml:space="preserve"> PAGEREF _Toc193810521 \h </w:instrText>
        </w:r>
        <w:r w:rsidR="007937B5">
          <w:rPr>
            <w:noProof/>
            <w:webHidden/>
          </w:rPr>
        </w:r>
        <w:r w:rsidR="007937B5">
          <w:rPr>
            <w:noProof/>
            <w:webHidden/>
          </w:rPr>
          <w:fldChar w:fldCharType="separate"/>
        </w:r>
        <w:r w:rsidR="007937B5">
          <w:rPr>
            <w:noProof/>
            <w:webHidden/>
          </w:rPr>
          <w:t>20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2" w:history="1">
        <w:r w:rsidR="007937B5" w:rsidRPr="0084432D">
          <w:rPr>
            <w:rStyle w:val="a3"/>
            <w:noProof/>
          </w:rPr>
          <w:t>2.1.3 Формирование (корректировка) тарифов на услуги по передаче электрической энергии для потребителей услуг, находящихся (расположенных) на территории Новосибирской области.</w:t>
        </w:r>
        <w:r w:rsidR="007937B5">
          <w:rPr>
            <w:noProof/>
            <w:webHidden/>
          </w:rPr>
          <w:tab/>
        </w:r>
        <w:r w:rsidR="007937B5">
          <w:rPr>
            <w:noProof/>
            <w:webHidden/>
          </w:rPr>
          <w:fldChar w:fldCharType="begin"/>
        </w:r>
        <w:r w:rsidR="007937B5">
          <w:rPr>
            <w:noProof/>
            <w:webHidden/>
          </w:rPr>
          <w:instrText xml:space="preserve"> PAGEREF _Toc193810522 \h </w:instrText>
        </w:r>
        <w:r w:rsidR="007937B5">
          <w:rPr>
            <w:noProof/>
            <w:webHidden/>
          </w:rPr>
        </w:r>
        <w:r w:rsidR="007937B5">
          <w:rPr>
            <w:noProof/>
            <w:webHidden/>
          </w:rPr>
          <w:fldChar w:fldCharType="separate"/>
        </w:r>
        <w:r w:rsidR="007937B5">
          <w:rPr>
            <w:noProof/>
            <w:webHidden/>
          </w:rPr>
          <w:t>24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3" w:history="1">
        <w:r w:rsidR="007937B5" w:rsidRPr="0084432D">
          <w:rPr>
            <w:rStyle w:val="a3"/>
            <w:noProof/>
          </w:rPr>
          <w:t>2.1.3.1. Формирование (корректировка) НВВ и индивидуальных тарифов на услуги по передаче электрической энергии смежных территориальных сетевых организаций (ТСО)</w:t>
        </w:r>
        <w:r w:rsidR="007937B5">
          <w:rPr>
            <w:noProof/>
            <w:webHidden/>
          </w:rPr>
          <w:tab/>
        </w:r>
        <w:r w:rsidR="007937B5">
          <w:rPr>
            <w:noProof/>
            <w:webHidden/>
          </w:rPr>
          <w:fldChar w:fldCharType="begin"/>
        </w:r>
        <w:r w:rsidR="007937B5">
          <w:rPr>
            <w:noProof/>
            <w:webHidden/>
          </w:rPr>
          <w:instrText xml:space="preserve"> PAGEREF _Toc193810523 \h </w:instrText>
        </w:r>
        <w:r w:rsidR="007937B5">
          <w:rPr>
            <w:noProof/>
            <w:webHidden/>
          </w:rPr>
        </w:r>
        <w:r w:rsidR="007937B5">
          <w:rPr>
            <w:noProof/>
            <w:webHidden/>
          </w:rPr>
          <w:fldChar w:fldCharType="separate"/>
        </w:r>
        <w:r w:rsidR="007937B5">
          <w:rPr>
            <w:noProof/>
            <w:webHidden/>
          </w:rPr>
          <w:t>25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4" w:history="1">
        <w:r w:rsidR="007937B5" w:rsidRPr="0084432D">
          <w:rPr>
            <w:rStyle w:val="a3"/>
            <w:noProof/>
          </w:rPr>
          <w:t>2.1.3.2. Корректировка на 2025 год единых (котловых) тарифов на услуги по передаче электрической энергии, оказываемые потребителям услуг на территории Новосибирской области, установленных на долгосрочный период регулирования 2021-2025 годов</w:t>
        </w:r>
        <w:r w:rsidR="007937B5">
          <w:rPr>
            <w:noProof/>
            <w:webHidden/>
          </w:rPr>
          <w:tab/>
        </w:r>
        <w:r w:rsidR="007937B5">
          <w:rPr>
            <w:noProof/>
            <w:webHidden/>
          </w:rPr>
          <w:fldChar w:fldCharType="begin"/>
        </w:r>
        <w:r w:rsidR="007937B5">
          <w:rPr>
            <w:noProof/>
            <w:webHidden/>
          </w:rPr>
          <w:instrText xml:space="preserve"> PAGEREF _Toc193810524 \h </w:instrText>
        </w:r>
        <w:r w:rsidR="007937B5">
          <w:rPr>
            <w:noProof/>
            <w:webHidden/>
          </w:rPr>
        </w:r>
        <w:r w:rsidR="007937B5">
          <w:rPr>
            <w:noProof/>
            <w:webHidden/>
          </w:rPr>
          <w:fldChar w:fldCharType="separate"/>
        </w:r>
        <w:r w:rsidR="007937B5">
          <w:rPr>
            <w:noProof/>
            <w:webHidden/>
          </w:rPr>
          <w:t>33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5" w:history="1">
        <w:r w:rsidR="007937B5" w:rsidRPr="0084432D">
          <w:rPr>
            <w:rStyle w:val="a3"/>
            <w:noProof/>
          </w:rPr>
          <w:t>2.1.3.3. Корректировка на 2025 год единых (котловых) тарифов на услуги по передаче электрической энергии прочим потребителям</w:t>
        </w:r>
        <w:r w:rsidR="007937B5">
          <w:rPr>
            <w:noProof/>
            <w:webHidden/>
          </w:rPr>
          <w:tab/>
        </w:r>
        <w:r w:rsidR="007937B5">
          <w:rPr>
            <w:noProof/>
            <w:webHidden/>
          </w:rPr>
          <w:fldChar w:fldCharType="begin"/>
        </w:r>
        <w:r w:rsidR="007937B5">
          <w:rPr>
            <w:noProof/>
            <w:webHidden/>
          </w:rPr>
          <w:instrText xml:space="preserve"> PAGEREF _Toc193810525 \h </w:instrText>
        </w:r>
        <w:r w:rsidR="007937B5">
          <w:rPr>
            <w:noProof/>
            <w:webHidden/>
          </w:rPr>
        </w:r>
        <w:r w:rsidR="007937B5">
          <w:rPr>
            <w:noProof/>
            <w:webHidden/>
          </w:rPr>
          <w:fldChar w:fldCharType="separate"/>
        </w:r>
        <w:r w:rsidR="007937B5">
          <w:rPr>
            <w:noProof/>
            <w:webHidden/>
          </w:rPr>
          <w:t>37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6" w:history="1">
        <w:r w:rsidR="007937B5" w:rsidRPr="0084432D">
          <w:rPr>
            <w:rStyle w:val="a3"/>
            <w:noProof/>
          </w:rPr>
          <w:t>2.1.3.4. Анализ структуры НВВ по расчёту единых (котловых) тарифов на услуги по передаче электрической энергии по сетям Новосибирской области.</w:t>
        </w:r>
        <w:r w:rsidR="007937B5">
          <w:rPr>
            <w:noProof/>
            <w:webHidden/>
          </w:rPr>
          <w:tab/>
        </w:r>
        <w:r w:rsidR="007937B5">
          <w:rPr>
            <w:noProof/>
            <w:webHidden/>
          </w:rPr>
          <w:fldChar w:fldCharType="begin"/>
        </w:r>
        <w:r w:rsidR="007937B5">
          <w:rPr>
            <w:noProof/>
            <w:webHidden/>
          </w:rPr>
          <w:instrText xml:space="preserve"> PAGEREF _Toc193810526 \h </w:instrText>
        </w:r>
        <w:r w:rsidR="007937B5">
          <w:rPr>
            <w:noProof/>
            <w:webHidden/>
          </w:rPr>
        </w:r>
        <w:r w:rsidR="007937B5">
          <w:rPr>
            <w:noProof/>
            <w:webHidden/>
          </w:rPr>
          <w:fldChar w:fldCharType="separate"/>
        </w:r>
        <w:r w:rsidR="007937B5">
          <w:rPr>
            <w:noProof/>
            <w:webHidden/>
          </w:rPr>
          <w:t>44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7" w:history="1">
        <w:r w:rsidR="007937B5" w:rsidRPr="0084432D">
          <w:rPr>
            <w:rStyle w:val="a3"/>
            <w:noProof/>
          </w:rPr>
          <w:t>2.1.3.5.Определение статуса системообразующей территориальной сетевой организацией</w:t>
        </w:r>
        <w:r w:rsidR="007937B5">
          <w:rPr>
            <w:noProof/>
            <w:webHidden/>
          </w:rPr>
          <w:tab/>
        </w:r>
        <w:r w:rsidR="007937B5">
          <w:rPr>
            <w:noProof/>
            <w:webHidden/>
          </w:rPr>
          <w:fldChar w:fldCharType="begin"/>
        </w:r>
        <w:r w:rsidR="007937B5">
          <w:rPr>
            <w:noProof/>
            <w:webHidden/>
          </w:rPr>
          <w:instrText xml:space="preserve"> PAGEREF _Toc193810527 \h </w:instrText>
        </w:r>
        <w:r w:rsidR="007937B5">
          <w:rPr>
            <w:noProof/>
            <w:webHidden/>
          </w:rPr>
        </w:r>
        <w:r w:rsidR="007937B5">
          <w:rPr>
            <w:noProof/>
            <w:webHidden/>
          </w:rPr>
          <w:fldChar w:fldCharType="separate"/>
        </w:r>
        <w:r w:rsidR="007937B5">
          <w:rPr>
            <w:noProof/>
            <w:webHidden/>
          </w:rPr>
          <w:t>45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8" w:history="1">
        <w:r w:rsidR="007937B5" w:rsidRPr="0084432D">
          <w:rPr>
            <w:rStyle w:val="a3"/>
            <w:noProof/>
          </w:rPr>
          <w:t>2.1.3.6. Корректировка НВВ АО «РЭС» (котлодержателя) на 2025 год в рамках  долгосрочного периода регулирования 2021-2025 годов.</w:t>
        </w:r>
        <w:r w:rsidR="007937B5">
          <w:rPr>
            <w:noProof/>
            <w:webHidden/>
          </w:rPr>
          <w:tab/>
        </w:r>
        <w:r w:rsidR="007937B5">
          <w:rPr>
            <w:noProof/>
            <w:webHidden/>
          </w:rPr>
          <w:fldChar w:fldCharType="begin"/>
        </w:r>
        <w:r w:rsidR="007937B5">
          <w:rPr>
            <w:noProof/>
            <w:webHidden/>
          </w:rPr>
          <w:instrText xml:space="preserve"> PAGEREF _Toc193810528 \h </w:instrText>
        </w:r>
        <w:r w:rsidR="007937B5">
          <w:rPr>
            <w:noProof/>
            <w:webHidden/>
          </w:rPr>
        </w:r>
        <w:r w:rsidR="007937B5">
          <w:rPr>
            <w:noProof/>
            <w:webHidden/>
          </w:rPr>
          <w:fldChar w:fldCharType="separate"/>
        </w:r>
        <w:r w:rsidR="007937B5">
          <w:rPr>
            <w:noProof/>
            <w:webHidden/>
          </w:rPr>
          <w:t>45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29" w:history="1">
        <w:r w:rsidR="007937B5" w:rsidRPr="0084432D">
          <w:rPr>
            <w:rStyle w:val="a3"/>
            <w:noProof/>
          </w:rPr>
          <w:t>2.1.4. Формирование сбытовой  надбавки гарантирующего поставщика.</w:t>
        </w:r>
        <w:r w:rsidR="007937B5">
          <w:rPr>
            <w:noProof/>
            <w:webHidden/>
          </w:rPr>
          <w:tab/>
        </w:r>
        <w:r w:rsidR="007937B5">
          <w:rPr>
            <w:noProof/>
            <w:webHidden/>
          </w:rPr>
          <w:fldChar w:fldCharType="begin"/>
        </w:r>
        <w:r w:rsidR="007937B5">
          <w:rPr>
            <w:noProof/>
            <w:webHidden/>
          </w:rPr>
          <w:instrText xml:space="preserve"> PAGEREF _Toc193810529 \h </w:instrText>
        </w:r>
        <w:r w:rsidR="007937B5">
          <w:rPr>
            <w:noProof/>
            <w:webHidden/>
          </w:rPr>
        </w:r>
        <w:r w:rsidR="007937B5">
          <w:rPr>
            <w:noProof/>
            <w:webHidden/>
          </w:rPr>
          <w:fldChar w:fldCharType="separate"/>
        </w:r>
        <w:r w:rsidR="007937B5">
          <w:rPr>
            <w:noProof/>
            <w:webHidden/>
          </w:rPr>
          <w:t>52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0" w:history="1">
        <w:r w:rsidR="007937B5" w:rsidRPr="0084432D">
          <w:rPr>
            <w:rStyle w:val="a3"/>
            <w:noProof/>
          </w:rPr>
          <w:t>2.1.4.1 Формирование НВВ АО «Новосибирскэнергосбыт» и установление сбытовых надбавок на 2025 год</w:t>
        </w:r>
        <w:r w:rsidR="007937B5">
          <w:rPr>
            <w:noProof/>
            <w:webHidden/>
          </w:rPr>
          <w:tab/>
        </w:r>
        <w:r w:rsidR="007937B5">
          <w:rPr>
            <w:noProof/>
            <w:webHidden/>
          </w:rPr>
          <w:fldChar w:fldCharType="begin"/>
        </w:r>
        <w:r w:rsidR="007937B5">
          <w:rPr>
            <w:noProof/>
            <w:webHidden/>
          </w:rPr>
          <w:instrText xml:space="preserve"> PAGEREF _Toc193810530 \h </w:instrText>
        </w:r>
        <w:r w:rsidR="007937B5">
          <w:rPr>
            <w:noProof/>
            <w:webHidden/>
          </w:rPr>
        </w:r>
        <w:r w:rsidR="007937B5">
          <w:rPr>
            <w:noProof/>
            <w:webHidden/>
          </w:rPr>
          <w:fldChar w:fldCharType="separate"/>
        </w:r>
        <w:r w:rsidR="007937B5">
          <w:rPr>
            <w:noProof/>
            <w:webHidden/>
          </w:rPr>
          <w:t>52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1" w:history="1">
        <w:r w:rsidR="007937B5" w:rsidRPr="0084432D">
          <w:rPr>
            <w:rStyle w:val="a3"/>
            <w:noProof/>
          </w:rPr>
          <w:t>2.1.4.2. Анализ уровня сбытовых надбавок и структуры НВВ</w:t>
        </w:r>
        <w:r w:rsidR="007937B5">
          <w:rPr>
            <w:noProof/>
            <w:webHidden/>
          </w:rPr>
          <w:tab/>
        </w:r>
        <w:r w:rsidR="007937B5">
          <w:rPr>
            <w:noProof/>
            <w:webHidden/>
          </w:rPr>
          <w:fldChar w:fldCharType="begin"/>
        </w:r>
        <w:r w:rsidR="007937B5">
          <w:rPr>
            <w:noProof/>
            <w:webHidden/>
          </w:rPr>
          <w:instrText xml:space="preserve"> PAGEREF _Toc193810531 \h </w:instrText>
        </w:r>
        <w:r w:rsidR="007937B5">
          <w:rPr>
            <w:noProof/>
            <w:webHidden/>
          </w:rPr>
        </w:r>
        <w:r w:rsidR="007937B5">
          <w:rPr>
            <w:noProof/>
            <w:webHidden/>
          </w:rPr>
          <w:fldChar w:fldCharType="separate"/>
        </w:r>
        <w:r w:rsidR="007937B5">
          <w:rPr>
            <w:noProof/>
            <w:webHidden/>
          </w:rPr>
          <w:t>54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2" w:history="1">
        <w:r w:rsidR="007937B5" w:rsidRPr="0084432D">
          <w:rPr>
            <w:rStyle w:val="a3"/>
            <w:noProof/>
          </w:rPr>
          <w:t>2.1.5. Согласование инвестиционных программ территориальных сетевых организаций</w:t>
        </w:r>
        <w:r w:rsidR="007937B5">
          <w:rPr>
            <w:noProof/>
            <w:webHidden/>
          </w:rPr>
          <w:tab/>
        </w:r>
        <w:r w:rsidR="007937B5">
          <w:rPr>
            <w:noProof/>
            <w:webHidden/>
          </w:rPr>
          <w:fldChar w:fldCharType="begin"/>
        </w:r>
        <w:r w:rsidR="007937B5">
          <w:rPr>
            <w:noProof/>
            <w:webHidden/>
          </w:rPr>
          <w:instrText xml:space="preserve"> PAGEREF _Toc193810532 \h </w:instrText>
        </w:r>
        <w:r w:rsidR="007937B5">
          <w:rPr>
            <w:noProof/>
            <w:webHidden/>
          </w:rPr>
        </w:r>
        <w:r w:rsidR="007937B5">
          <w:rPr>
            <w:noProof/>
            <w:webHidden/>
          </w:rPr>
          <w:fldChar w:fldCharType="separate"/>
        </w:r>
        <w:r w:rsidR="007937B5">
          <w:rPr>
            <w:noProof/>
            <w:webHidden/>
          </w:rPr>
          <w:t>61</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3" w:history="1">
        <w:r w:rsidR="007937B5" w:rsidRPr="0084432D">
          <w:rPr>
            <w:rStyle w:val="a3"/>
            <w:noProof/>
          </w:rPr>
          <w:t>2.1.6. Энергосбережение.</w:t>
        </w:r>
        <w:r w:rsidR="007937B5">
          <w:rPr>
            <w:noProof/>
            <w:webHidden/>
          </w:rPr>
          <w:tab/>
        </w:r>
        <w:r w:rsidR="007937B5">
          <w:rPr>
            <w:noProof/>
            <w:webHidden/>
          </w:rPr>
          <w:fldChar w:fldCharType="begin"/>
        </w:r>
        <w:r w:rsidR="007937B5">
          <w:rPr>
            <w:noProof/>
            <w:webHidden/>
          </w:rPr>
          <w:instrText xml:space="preserve"> PAGEREF _Toc193810533 \h </w:instrText>
        </w:r>
        <w:r w:rsidR="007937B5">
          <w:rPr>
            <w:noProof/>
            <w:webHidden/>
          </w:rPr>
        </w:r>
        <w:r w:rsidR="007937B5">
          <w:rPr>
            <w:noProof/>
            <w:webHidden/>
          </w:rPr>
          <w:fldChar w:fldCharType="separate"/>
        </w:r>
        <w:r w:rsidR="007937B5">
          <w:rPr>
            <w:noProof/>
            <w:webHidden/>
          </w:rPr>
          <w:t>62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4" w:history="1">
        <w:r w:rsidR="007937B5" w:rsidRPr="0084432D">
          <w:rPr>
            <w:rStyle w:val="a3"/>
            <w:noProof/>
          </w:rPr>
          <w:t>2.1.7. Надежность и качество.</w:t>
        </w:r>
        <w:r w:rsidR="007937B5">
          <w:rPr>
            <w:noProof/>
            <w:webHidden/>
          </w:rPr>
          <w:tab/>
        </w:r>
        <w:r w:rsidR="007937B5">
          <w:rPr>
            <w:noProof/>
            <w:webHidden/>
          </w:rPr>
          <w:fldChar w:fldCharType="begin"/>
        </w:r>
        <w:r w:rsidR="007937B5">
          <w:rPr>
            <w:noProof/>
            <w:webHidden/>
          </w:rPr>
          <w:instrText xml:space="preserve"> PAGEREF _Toc193810534 \h </w:instrText>
        </w:r>
        <w:r w:rsidR="007937B5">
          <w:rPr>
            <w:noProof/>
            <w:webHidden/>
          </w:rPr>
        </w:r>
        <w:r w:rsidR="007937B5">
          <w:rPr>
            <w:noProof/>
            <w:webHidden/>
          </w:rPr>
          <w:fldChar w:fldCharType="separate"/>
        </w:r>
        <w:r w:rsidR="007937B5">
          <w:rPr>
            <w:noProof/>
            <w:webHidden/>
          </w:rPr>
          <w:t>64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5" w:history="1">
        <w:r w:rsidR="007937B5" w:rsidRPr="0084432D">
          <w:rPr>
            <w:rStyle w:val="a3"/>
            <w:noProof/>
          </w:rPr>
          <w:t>2.1.8. Технологическое присоединение к электрическим сетям</w:t>
        </w:r>
        <w:r w:rsidR="007937B5">
          <w:rPr>
            <w:noProof/>
            <w:webHidden/>
          </w:rPr>
          <w:tab/>
        </w:r>
        <w:r w:rsidR="007937B5">
          <w:rPr>
            <w:noProof/>
            <w:webHidden/>
          </w:rPr>
          <w:fldChar w:fldCharType="begin"/>
        </w:r>
        <w:r w:rsidR="007937B5">
          <w:rPr>
            <w:noProof/>
            <w:webHidden/>
          </w:rPr>
          <w:instrText xml:space="preserve"> PAGEREF _Toc193810535 \h </w:instrText>
        </w:r>
        <w:r w:rsidR="007937B5">
          <w:rPr>
            <w:noProof/>
            <w:webHidden/>
          </w:rPr>
        </w:r>
        <w:r w:rsidR="007937B5">
          <w:rPr>
            <w:noProof/>
            <w:webHidden/>
          </w:rPr>
          <w:fldChar w:fldCharType="separate"/>
        </w:r>
        <w:r w:rsidR="007937B5">
          <w:rPr>
            <w:noProof/>
            <w:webHidden/>
          </w:rPr>
          <w:t>65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6" w:history="1">
        <w:r w:rsidR="007937B5" w:rsidRPr="0084432D">
          <w:rPr>
            <w:rStyle w:val="a3"/>
            <w:noProof/>
          </w:rPr>
          <w:t>2.1.8.1. Установление платы за технологическое присоединение к электрическим сетям на 2025 год.</w:t>
        </w:r>
        <w:r w:rsidR="007937B5">
          <w:rPr>
            <w:noProof/>
            <w:webHidden/>
          </w:rPr>
          <w:tab/>
        </w:r>
        <w:r w:rsidR="007937B5">
          <w:rPr>
            <w:noProof/>
            <w:webHidden/>
          </w:rPr>
          <w:fldChar w:fldCharType="begin"/>
        </w:r>
        <w:r w:rsidR="007937B5">
          <w:rPr>
            <w:noProof/>
            <w:webHidden/>
          </w:rPr>
          <w:instrText xml:space="preserve"> PAGEREF _Toc193810536 \h </w:instrText>
        </w:r>
        <w:r w:rsidR="007937B5">
          <w:rPr>
            <w:noProof/>
            <w:webHidden/>
          </w:rPr>
        </w:r>
        <w:r w:rsidR="007937B5">
          <w:rPr>
            <w:noProof/>
            <w:webHidden/>
          </w:rPr>
          <w:fldChar w:fldCharType="separate"/>
        </w:r>
        <w:r w:rsidR="007937B5">
          <w:rPr>
            <w:noProof/>
            <w:webHidden/>
          </w:rPr>
          <w:t>66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7" w:history="1">
        <w:r w:rsidR="007937B5" w:rsidRPr="0084432D">
          <w:rPr>
            <w:rStyle w:val="a3"/>
            <w:noProof/>
          </w:rPr>
          <w:t>2.1.8.2. Расчет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w:t>
        </w:r>
        <w:r w:rsidR="007937B5">
          <w:rPr>
            <w:noProof/>
            <w:webHidden/>
          </w:rPr>
          <w:tab/>
        </w:r>
        <w:r w:rsidR="007937B5">
          <w:rPr>
            <w:noProof/>
            <w:webHidden/>
          </w:rPr>
          <w:fldChar w:fldCharType="begin"/>
        </w:r>
        <w:r w:rsidR="007937B5">
          <w:rPr>
            <w:noProof/>
            <w:webHidden/>
          </w:rPr>
          <w:instrText xml:space="preserve"> PAGEREF _Toc193810537 \h </w:instrText>
        </w:r>
        <w:r w:rsidR="007937B5">
          <w:rPr>
            <w:noProof/>
            <w:webHidden/>
          </w:rPr>
        </w:r>
        <w:r w:rsidR="007937B5">
          <w:rPr>
            <w:noProof/>
            <w:webHidden/>
          </w:rPr>
          <w:fldChar w:fldCharType="separate"/>
        </w:r>
        <w:r w:rsidR="007937B5">
          <w:rPr>
            <w:noProof/>
            <w:webHidden/>
          </w:rPr>
          <w:t>67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8" w:history="1">
        <w:r w:rsidR="007937B5" w:rsidRPr="0084432D">
          <w:rPr>
            <w:rStyle w:val="a3"/>
            <w:noProof/>
          </w:rPr>
          <w:t>2.1.8.3. Установление платы за технологическое присоединение по индивидуальному проекту.</w:t>
        </w:r>
        <w:r w:rsidR="007937B5">
          <w:rPr>
            <w:noProof/>
            <w:webHidden/>
          </w:rPr>
          <w:tab/>
        </w:r>
        <w:r w:rsidR="007937B5">
          <w:rPr>
            <w:noProof/>
            <w:webHidden/>
          </w:rPr>
          <w:fldChar w:fldCharType="begin"/>
        </w:r>
        <w:r w:rsidR="007937B5">
          <w:rPr>
            <w:noProof/>
            <w:webHidden/>
          </w:rPr>
          <w:instrText xml:space="preserve"> PAGEREF _Toc193810538 \h </w:instrText>
        </w:r>
        <w:r w:rsidR="007937B5">
          <w:rPr>
            <w:noProof/>
            <w:webHidden/>
          </w:rPr>
        </w:r>
        <w:r w:rsidR="007937B5">
          <w:rPr>
            <w:noProof/>
            <w:webHidden/>
          </w:rPr>
          <w:fldChar w:fldCharType="separate"/>
        </w:r>
        <w:r w:rsidR="007937B5">
          <w:rPr>
            <w:noProof/>
            <w:webHidden/>
          </w:rPr>
          <w:t>68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39" w:history="1">
        <w:r w:rsidR="007937B5" w:rsidRPr="0084432D">
          <w:rPr>
            <w:rStyle w:val="a3"/>
            <w:noProof/>
          </w:rPr>
          <w:t>2.1.8.4. Внесение изменений в приказ об установлении  стандартизированных тарифных ставок и формулы платы за технологическое присоединение на территории Новосибирской области на 2024 год</w:t>
        </w:r>
        <w:r w:rsidR="007937B5">
          <w:rPr>
            <w:noProof/>
            <w:webHidden/>
          </w:rPr>
          <w:tab/>
        </w:r>
        <w:r w:rsidR="007937B5">
          <w:rPr>
            <w:noProof/>
            <w:webHidden/>
          </w:rPr>
          <w:fldChar w:fldCharType="begin"/>
        </w:r>
        <w:r w:rsidR="007937B5">
          <w:rPr>
            <w:noProof/>
            <w:webHidden/>
          </w:rPr>
          <w:instrText xml:space="preserve"> PAGEREF _Toc193810539 \h </w:instrText>
        </w:r>
        <w:r w:rsidR="007937B5">
          <w:rPr>
            <w:noProof/>
            <w:webHidden/>
          </w:rPr>
        </w:r>
        <w:r w:rsidR="007937B5">
          <w:rPr>
            <w:noProof/>
            <w:webHidden/>
          </w:rPr>
          <w:fldChar w:fldCharType="separate"/>
        </w:r>
        <w:r w:rsidR="007937B5">
          <w:rPr>
            <w:noProof/>
            <w:webHidden/>
          </w:rPr>
          <w:t>68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0" w:history="1">
        <w:r w:rsidR="007937B5" w:rsidRPr="0084432D">
          <w:rPr>
            <w:rStyle w:val="a3"/>
            <w:noProof/>
          </w:rPr>
          <w:t>2.1.9. Выборочная инвентаризация объектов электросетевого хозяйства, принадлежащих на законном основании территориальным сетевым организациям Новосибирской области</w:t>
        </w:r>
        <w:r w:rsidR="007937B5">
          <w:rPr>
            <w:noProof/>
            <w:webHidden/>
          </w:rPr>
          <w:tab/>
        </w:r>
        <w:r w:rsidR="007937B5">
          <w:rPr>
            <w:noProof/>
            <w:webHidden/>
          </w:rPr>
          <w:fldChar w:fldCharType="begin"/>
        </w:r>
        <w:r w:rsidR="007937B5">
          <w:rPr>
            <w:noProof/>
            <w:webHidden/>
          </w:rPr>
          <w:instrText xml:space="preserve"> PAGEREF _Toc193810540 \h </w:instrText>
        </w:r>
        <w:r w:rsidR="007937B5">
          <w:rPr>
            <w:noProof/>
            <w:webHidden/>
          </w:rPr>
        </w:r>
        <w:r w:rsidR="007937B5">
          <w:rPr>
            <w:noProof/>
            <w:webHidden/>
          </w:rPr>
          <w:fldChar w:fldCharType="separate"/>
        </w:r>
        <w:r w:rsidR="007937B5">
          <w:rPr>
            <w:noProof/>
            <w:webHidden/>
          </w:rPr>
          <w:t>68</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41" w:history="1">
        <w:r w:rsidR="007937B5" w:rsidRPr="0084432D">
          <w:rPr>
            <w:rStyle w:val="a3"/>
            <w:noProof/>
          </w:rPr>
          <w:t>2.2.Теплоснабжение</w:t>
        </w:r>
        <w:r w:rsidR="007937B5">
          <w:rPr>
            <w:noProof/>
            <w:webHidden/>
          </w:rPr>
          <w:tab/>
        </w:r>
        <w:r w:rsidR="007937B5">
          <w:rPr>
            <w:noProof/>
            <w:webHidden/>
          </w:rPr>
          <w:fldChar w:fldCharType="begin"/>
        </w:r>
        <w:r w:rsidR="007937B5">
          <w:rPr>
            <w:noProof/>
            <w:webHidden/>
          </w:rPr>
          <w:instrText xml:space="preserve"> PAGEREF _Toc193810541 \h </w:instrText>
        </w:r>
        <w:r w:rsidR="007937B5">
          <w:rPr>
            <w:noProof/>
            <w:webHidden/>
          </w:rPr>
        </w:r>
        <w:r w:rsidR="007937B5">
          <w:rPr>
            <w:noProof/>
            <w:webHidden/>
          </w:rPr>
          <w:fldChar w:fldCharType="separate"/>
        </w:r>
        <w:r w:rsidR="007937B5">
          <w:rPr>
            <w:noProof/>
            <w:webHidden/>
          </w:rPr>
          <w:t>70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2" w:history="1">
        <w:r w:rsidR="007937B5" w:rsidRPr="0084432D">
          <w:rPr>
            <w:rStyle w:val="a3"/>
            <w:noProof/>
          </w:rPr>
          <w:t>2.2.1. Ценовые зоны теплоснабжения в Новосибирской области</w:t>
        </w:r>
        <w:r w:rsidR="007937B5">
          <w:rPr>
            <w:noProof/>
            <w:webHidden/>
          </w:rPr>
          <w:tab/>
        </w:r>
        <w:r w:rsidR="007937B5">
          <w:rPr>
            <w:noProof/>
            <w:webHidden/>
          </w:rPr>
          <w:fldChar w:fldCharType="begin"/>
        </w:r>
        <w:r w:rsidR="007937B5">
          <w:rPr>
            <w:noProof/>
            <w:webHidden/>
          </w:rPr>
          <w:instrText xml:space="preserve"> PAGEREF _Toc193810542 \h </w:instrText>
        </w:r>
        <w:r w:rsidR="007937B5">
          <w:rPr>
            <w:noProof/>
            <w:webHidden/>
          </w:rPr>
        </w:r>
        <w:r w:rsidR="007937B5">
          <w:rPr>
            <w:noProof/>
            <w:webHidden/>
          </w:rPr>
          <w:fldChar w:fldCharType="separate"/>
        </w:r>
        <w:r w:rsidR="007937B5">
          <w:rPr>
            <w:noProof/>
            <w:webHidden/>
          </w:rPr>
          <w:t>70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3" w:history="1">
        <w:r w:rsidR="007937B5" w:rsidRPr="0084432D">
          <w:rPr>
            <w:rStyle w:val="a3"/>
            <w:noProof/>
          </w:rPr>
          <w:t>2.2.1.1. Индикативные предельные уровни цены на тепловую энергию (мощность) и предельные уровни цены на тепловую энергию (мощность) в ценовой зоне теплоснабжения муниципальное образование городской округ город Новосибирск Новосибирской области на 2025 год</w:t>
        </w:r>
        <w:r w:rsidR="007937B5">
          <w:rPr>
            <w:noProof/>
            <w:webHidden/>
          </w:rPr>
          <w:tab/>
        </w:r>
        <w:r w:rsidR="007937B5">
          <w:rPr>
            <w:noProof/>
            <w:webHidden/>
          </w:rPr>
          <w:fldChar w:fldCharType="begin"/>
        </w:r>
        <w:r w:rsidR="007937B5">
          <w:rPr>
            <w:noProof/>
            <w:webHidden/>
          </w:rPr>
          <w:instrText xml:space="preserve"> PAGEREF _Toc193810543 \h </w:instrText>
        </w:r>
        <w:r w:rsidR="007937B5">
          <w:rPr>
            <w:noProof/>
            <w:webHidden/>
          </w:rPr>
        </w:r>
        <w:r w:rsidR="007937B5">
          <w:rPr>
            <w:noProof/>
            <w:webHidden/>
          </w:rPr>
          <w:fldChar w:fldCharType="separate"/>
        </w:r>
        <w:r w:rsidR="007937B5">
          <w:rPr>
            <w:noProof/>
            <w:webHidden/>
          </w:rPr>
          <w:t>72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4" w:history="1">
        <w:r w:rsidR="007937B5" w:rsidRPr="0084432D">
          <w:rPr>
            <w:rStyle w:val="a3"/>
            <w:noProof/>
          </w:rPr>
          <w:t>2.2.1.2. Индикативные предельные уровни цены на тепловую энергию (мощность) и предельные уровни цены на тепловую энергию (мощность)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2025 год</w:t>
        </w:r>
        <w:r w:rsidR="007937B5">
          <w:rPr>
            <w:noProof/>
            <w:webHidden/>
          </w:rPr>
          <w:tab/>
        </w:r>
        <w:r w:rsidR="007937B5">
          <w:rPr>
            <w:noProof/>
            <w:webHidden/>
          </w:rPr>
          <w:fldChar w:fldCharType="begin"/>
        </w:r>
        <w:r w:rsidR="007937B5">
          <w:rPr>
            <w:noProof/>
            <w:webHidden/>
          </w:rPr>
          <w:instrText xml:space="preserve"> PAGEREF _Toc193810544 \h </w:instrText>
        </w:r>
        <w:r w:rsidR="007937B5">
          <w:rPr>
            <w:noProof/>
            <w:webHidden/>
          </w:rPr>
        </w:r>
        <w:r w:rsidR="007937B5">
          <w:rPr>
            <w:noProof/>
            <w:webHidden/>
          </w:rPr>
          <w:fldChar w:fldCharType="separate"/>
        </w:r>
        <w:r w:rsidR="007937B5">
          <w:rPr>
            <w:noProof/>
            <w:webHidden/>
          </w:rPr>
          <w:t>72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5" w:history="1">
        <w:r w:rsidR="007937B5" w:rsidRPr="0084432D">
          <w:rPr>
            <w:rStyle w:val="a3"/>
            <w:iCs/>
            <w:noProof/>
          </w:rPr>
          <w:t xml:space="preserve">2.2.1.3. </w:t>
        </w:r>
        <w:r w:rsidR="007937B5" w:rsidRPr="0084432D">
          <w:rPr>
            <w:rStyle w:val="a3"/>
            <w:noProof/>
          </w:rPr>
          <w:t xml:space="preserve">Индикативные предельные уровни цены на тепловую энергию (мощность) и предельные уровни цены на тепловую энергию (мощность) </w:t>
        </w:r>
        <w:r w:rsidR="007937B5" w:rsidRPr="0084432D">
          <w:rPr>
            <w:rStyle w:val="a3"/>
            <w:rFonts w:eastAsia="Times New Roman"/>
            <w:noProof/>
          </w:rPr>
          <w:t xml:space="preserve">в ценовой зоне теплоснабжения </w:t>
        </w:r>
        <w:r w:rsidR="007937B5" w:rsidRPr="0084432D">
          <w:rPr>
            <w:rStyle w:val="a3"/>
            <w:noProof/>
          </w:rPr>
          <w:t>– муниципальное образование городской округ город Обь Новосибирской области на 2025 год</w:t>
        </w:r>
        <w:r w:rsidR="007937B5">
          <w:rPr>
            <w:noProof/>
            <w:webHidden/>
          </w:rPr>
          <w:tab/>
        </w:r>
        <w:r w:rsidR="007937B5">
          <w:rPr>
            <w:noProof/>
            <w:webHidden/>
          </w:rPr>
          <w:fldChar w:fldCharType="begin"/>
        </w:r>
        <w:r w:rsidR="007937B5">
          <w:rPr>
            <w:noProof/>
            <w:webHidden/>
          </w:rPr>
          <w:instrText xml:space="preserve"> PAGEREF _Toc193810545 \h </w:instrText>
        </w:r>
        <w:r w:rsidR="007937B5">
          <w:rPr>
            <w:noProof/>
            <w:webHidden/>
          </w:rPr>
        </w:r>
        <w:r w:rsidR="007937B5">
          <w:rPr>
            <w:noProof/>
            <w:webHidden/>
          </w:rPr>
          <w:fldChar w:fldCharType="separate"/>
        </w:r>
        <w:r w:rsidR="007937B5">
          <w:rPr>
            <w:noProof/>
            <w:webHidden/>
          </w:rPr>
          <w:t>73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6" w:history="1">
        <w:r w:rsidR="007937B5" w:rsidRPr="0084432D">
          <w:rPr>
            <w:rStyle w:val="a3"/>
            <w:noProof/>
          </w:rPr>
          <w:t>2.2.1.4. Индикативные предельные уровни цены на тепловую энергию (мощность) и предельные уровни цены на тепловую энергию (мощность) в ценовой зоне теплоснабжения – рабочий поселок Линево Искитимского района Новосибирской области на 2025 год</w:t>
        </w:r>
        <w:r w:rsidR="007937B5">
          <w:rPr>
            <w:noProof/>
            <w:webHidden/>
          </w:rPr>
          <w:tab/>
        </w:r>
        <w:r w:rsidR="007937B5">
          <w:rPr>
            <w:noProof/>
            <w:webHidden/>
          </w:rPr>
          <w:fldChar w:fldCharType="begin"/>
        </w:r>
        <w:r w:rsidR="007937B5">
          <w:rPr>
            <w:noProof/>
            <w:webHidden/>
          </w:rPr>
          <w:instrText xml:space="preserve"> PAGEREF _Toc193810546 \h </w:instrText>
        </w:r>
        <w:r w:rsidR="007937B5">
          <w:rPr>
            <w:noProof/>
            <w:webHidden/>
          </w:rPr>
        </w:r>
        <w:r w:rsidR="007937B5">
          <w:rPr>
            <w:noProof/>
            <w:webHidden/>
          </w:rPr>
          <w:fldChar w:fldCharType="separate"/>
        </w:r>
        <w:r w:rsidR="007937B5">
          <w:rPr>
            <w:noProof/>
            <w:webHidden/>
          </w:rPr>
          <w:t>74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7" w:history="1">
        <w:r w:rsidR="007937B5" w:rsidRPr="0084432D">
          <w:rPr>
            <w:rStyle w:val="a3"/>
            <w:noProof/>
          </w:rPr>
          <w:t>2.2.2. Тарифы в сфере теплоснабжения (за исключением ценовых зон теплоснабжения на территории Новосибирской области)</w:t>
        </w:r>
        <w:r w:rsidR="007937B5">
          <w:rPr>
            <w:noProof/>
            <w:webHidden/>
          </w:rPr>
          <w:tab/>
        </w:r>
        <w:r w:rsidR="007937B5">
          <w:rPr>
            <w:noProof/>
            <w:webHidden/>
          </w:rPr>
          <w:fldChar w:fldCharType="begin"/>
        </w:r>
        <w:r w:rsidR="007937B5">
          <w:rPr>
            <w:noProof/>
            <w:webHidden/>
          </w:rPr>
          <w:instrText xml:space="preserve"> PAGEREF _Toc193810547 \h </w:instrText>
        </w:r>
        <w:r w:rsidR="007937B5">
          <w:rPr>
            <w:noProof/>
            <w:webHidden/>
          </w:rPr>
        </w:r>
        <w:r w:rsidR="007937B5">
          <w:rPr>
            <w:noProof/>
            <w:webHidden/>
          </w:rPr>
          <w:fldChar w:fldCharType="separate"/>
        </w:r>
        <w:r w:rsidR="007937B5">
          <w:rPr>
            <w:noProof/>
            <w:webHidden/>
          </w:rPr>
          <w:t>74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8" w:history="1">
        <w:r w:rsidR="007937B5" w:rsidRPr="0084432D">
          <w:rPr>
            <w:rStyle w:val="a3"/>
            <w:noProof/>
          </w:rPr>
          <w:t>2.2.3. Согласование долгосрочных параметров регулирования для заключения концессионных соглашений и долгосрочных договоров аренды</w:t>
        </w:r>
        <w:r w:rsidR="007937B5">
          <w:rPr>
            <w:noProof/>
            <w:webHidden/>
          </w:rPr>
          <w:tab/>
        </w:r>
        <w:r w:rsidR="007937B5">
          <w:rPr>
            <w:noProof/>
            <w:webHidden/>
          </w:rPr>
          <w:fldChar w:fldCharType="begin"/>
        </w:r>
        <w:r w:rsidR="007937B5">
          <w:rPr>
            <w:noProof/>
            <w:webHidden/>
          </w:rPr>
          <w:instrText xml:space="preserve"> PAGEREF _Toc193810548 \h </w:instrText>
        </w:r>
        <w:r w:rsidR="007937B5">
          <w:rPr>
            <w:noProof/>
            <w:webHidden/>
          </w:rPr>
        </w:r>
        <w:r w:rsidR="007937B5">
          <w:rPr>
            <w:noProof/>
            <w:webHidden/>
          </w:rPr>
          <w:fldChar w:fldCharType="separate"/>
        </w:r>
        <w:r w:rsidR="007937B5">
          <w:rPr>
            <w:noProof/>
            <w:webHidden/>
          </w:rPr>
          <w:t>76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49" w:history="1">
        <w:r w:rsidR="007937B5" w:rsidRPr="0084432D">
          <w:rPr>
            <w:rStyle w:val="a3"/>
            <w:noProof/>
          </w:rPr>
          <w:t>2.2.4. Нормативы потребления коммунальных услуг по отоплению</w:t>
        </w:r>
        <w:r w:rsidR="007937B5">
          <w:rPr>
            <w:noProof/>
            <w:webHidden/>
          </w:rPr>
          <w:tab/>
        </w:r>
        <w:r w:rsidR="007937B5">
          <w:rPr>
            <w:noProof/>
            <w:webHidden/>
          </w:rPr>
          <w:fldChar w:fldCharType="begin"/>
        </w:r>
        <w:r w:rsidR="007937B5">
          <w:rPr>
            <w:noProof/>
            <w:webHidden/>
          </w:rPr>
          <w:instrText xml:space="preserve"> PAGEREF _Toc193810549 \h </w:instrText>
        </w:r>
        <w:r w:rsidR="007937B5">
          <w:rPr>
            <w:noProof/>
            <w:webHidden/>
          </w:rPr>
        </w:r>
        <w:r w:rsidR="007937B5">
          <w:rPr>
            <w:noProof/>
            <w:webHidden/>
          </w:rPr>
          <w:fldChar w:fldCharType="separate"/>
        </w:r>
        <w:r w:rsidR="007937B5">
          <w:rPr>
            <w:noProof/>
            <w:webHidden/>
          </w:rPr>
          <w:t>76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0" w:history="1">
        <w:r w:rsidR="007937B5" w:rsidRPr="0084432D">
          <w:rPr>
            <w:rStyle w:val="a3"/>
            <w:noProof/>
          </w:rPr>
          <w:t>2.2.5. Нормативы удельных расходов топлива, нормативы создания запасов топлива и нормативы потерь тепловой энергии</w:t>
        </w:r>
        <w:r w:rsidR="007937B5">
          <w:rPr>
            <w:noProof/>
            <w:webHidden/>
          </w:rPr>
          <w:tab/>
        </w:r>
        <w:r w:rsidR="007937B5">
          <w:rPr>
            <w:noProof/>
            <w:webHidden/>
          </w:rPr>
          <w:fldChar w:fldCharType="begin"/>
        </w:r>
        <w:r w:rsidR="007937B5">
          <w:rPr>
            <w:noProof/>
            <w:webHidden/>
          </w:rPr>
          <w:instrText xml:space="preserve"> PAGEREF _Toc193810550 \h </w:instrText>
        </w:r>
        <w:r w:rsidR="007937B5">
          <w:rPr>
            <w:noProof/>
            <w:webHidden/>
          </w:rPr>
        </w:r>
        <w:r w:rsidR="007937B5">
          <w:rPr>
            <w:noProof/>
            <w:webHidden/>
          </w:rPr>
          <w:fldChar w:fldCharType="separate"/>
        </w:r>
        <w:r w:rsidR="007937B5">
          <w:rPr>
            <w:noProof/>
            <w:webHidden/>
          </w:rPr>
          <w:t>77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1" w:history="1">
        <w:r w:rsidR="007937B5" w:rsidRPr="0084432D">
          <w:rPr>
            <w:rStyle w:val="a3"/>
            <w:noProof/>
          </w:rPr>
          <w:t>2.2.6. Платы за технологическое присоединение к тепловым сетям</w:t>
        </w:r>
        <w:r w:rsidR="007937B5">
          <w:rPr>
            <w:noProof/>
            <w:webHidden/>
          </w:rPr>
          <w:tab/>
        </w:r>
        <w:r w:rsidR="007937B5">
          <w:rPr>
            <w:noProof/>
            <w:webHidden/>
          </w:rPr>
          <w:fldChar w:fldCharType="begin"/>
        </w:r>
        <w:r w:rsidR="007937B5">
          <w:rPr>
            <w:noProof/>
            <w:webHidden/>
          </w:rPr>
          <w:instrText xml:space="preserve"> PAGEREF _Toc193810551 \h </w:instrText>
        </w:r>
        <w:r w:rsidR="007937B5">
          <w:rPr>
            <w:noProof/>
            <w:webHidden/>
          </w:rPr>
        </w:r>
        <w:r w:rsidR="007937B5">
          <w:rPr>
            <w:noProof/>
            <w:webHidden/>
          </w:rPr>
          <w:fldChar w:fldCharType="separate"/>
        </w:r>
        <w:r w:rsidR="007937B5">
          <w:rPr>
            <w:noProof/>
            <w:webHidden/>
          </w:rPr>
          <w:t>78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2" w:history="1">
        <w:r w:rsidR="007937B5" w:rsidRPr="0084432D">
          <w:rPr>
            <w:rStyle w:val="a3"/>
            <w:noProof/>
          </w:rPr>
          <w:t>2.2.7. Инвестиционные программы в сфере теплоснабжения</w:t>
        </w:r>
        <w:r w:rsidR="007937B5">
          <w:rPr>
            <w:noProof/>
            <w:webHidden/>
          </w:rPr>
          <w:tab/>
        </w:r>
        <w:r w:rsidR="007937B5">
          <w:rPr>
            <w:noProof/>
            <w:webHidden/>
          </w:rPr>
          <w:fldChar w:fldCharType="begin"/>
        </w:r>
        <w:r w:rsidR="007937B5">
          <w:rPr>
            <w:noProof/>
            <w:webHidden/>
          </w:rPr>
          <w:instrText xml:space="preserve"> PAGEREF _Toc193810552 \h </w:instrText>
        </w:r>
        <w:r w:rsidR="007937B5">
          <w:rPr>
            <w:noProof/>
            <w:webHidden/>
          </w:rPr>
        </w:r>
        <w:r w:rsidR="007937B5">
          <w:rPr>
            <w:noProof/>
            <w:webHidden/>
          </w:rPr>
          <w:fldChar w:fldCharType="separate"/>
        </w:r>
        <w:r w:rsidR="007937B5">
          <w:rPr>
            <w:noProof/>
            <w:webHidden/>
          </w:rPr>
          <w:t>78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3" w:history="1">
        <w:r w:rsidR="007937B5" w:rsidRPr="0084432D">
          <w:rPr>
            <w:rStyle w:val="a3"/>
            <w:noProof/>
          </w:rPr>
          <w:t>2.2.8. Энергосбережение и энергетическая эффективность организаций</w:t>
        </w:r>
        <w:r w:rsidR="007937B5">
          <w:rPr>
            <w:noProof/>
            <w:webHidden/>
          </w:rPr>
          <w:tab/>
        </w:r>
        <w:r w:rsidR="007937B5">
          <w:rPr>
            <w:noProof/>
            <w:webHidden/>
          </w:rPr>
          <w:fldChar w:fldCharType="begin"/>
        </w:r>
        <w:r w:rsidR="007937B5">
          <w:rPr>
            <w:noProof/>
            <w:webHidden/>
          </w:rPr>
          <w:instrText xml:space="preserve"> PAGEREF _Toc193810553 \h </w:instrText>
        </w:r>
        <w:r w:rsidR="007937B5">
          <w:rPr>
            <w:noProof/>
            <w:webHidden/>
          </w:rPr>
        </w:r>
        <w:r w:rsidR="007937B5">
          <w:rPr>
            <w:noProof/>
            <w:webHidden/>
          </w:rPr>
          <w:fldChar w:fldCharType="separate"/>
        </w:r>
        <w:r w:rsidR="007937B5">
          <w:rPr>
            <w:noProof/>
            <w:webHidden/>
          </w:rPr>
          <w:t>78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4" w:history="1">
        <w:r w:rsidR="007937B5" w:rsidRPr="0084432D">
          <w:rPr>
            <w:rStyle w:val="a3"/>
            <w:noProof/>
          </w:rPr>
          <w:t>2.2.9. Мониторинг цен (тарифов) в сфере теплоснабжения</w:t>
        </w:r>
        <w:r w:rsidR="007937B5">
          <w:rPr>
            <w:noProof/>
            <w:webHidden/>
          </w:rPr>
          <w:tab/>
        </w:r>
        <w:r w:rsidR="007937B5">
          <w:rPr>
            <w:noProof/>
            <w:webHidden/>
          </w:rPr>
          <w:fldChar w:fldCharType="begin"/>
        </w:r>
        <w:r w:rsidR="007937B5">
          <w:rPr>
            <w:noProof/>
            <w:webHidden/>
          </w:rPr>
          <w:instrText xml:space="preserve"> PAGEREF _Toc193810554 \h </w:instrText>
        </w:r>
        <w:r w:rsidR="007937B5">
          <w:rPr>
            <w:noProof/>
            <w:webHidden/>
          </w:rPr>
        </w:r>
        <w:r w:rsidR="007937B5">
          <w:rPr>
            <w:noProof/>
            <w:webHidden/>
          </w:rPr>
          <w:fldChar w:fldCharType="separate"/>
        </w:r>
        <w:r w:rsidR="007937B5">
          <w:rPr>
            <w:noProof/>
            <w:webHidden/>
          </w:rPr>
          <w:t>78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5" w:history="1">
        <w:r w:rsidR="007937B5" w:rsidRPr="0084432D">
          <w:rPr>
            <w:rStyle w:val="a3"/>
            <w:noProof/>
          </w:rPr>
          <w:t>2.2.10. Стандарты раскрытия информации в сфере теплоснабжения</w:t>
        </w:r>
        <w:r w:rsidR="007937B5">
          <w:rPr>
            <w:noProof/>
            <w:webHidden/>
          </w:rPr>
          <w:tab/>
        </w:r>
        <w:r w:rsidR="007937B5">
          <w:rPr>
            <w:noProof/>
            <w:webHidden/>
          </w:rPr>
          <w:fldChar w:fldCharType="begin"/>
        </w:r>
        <w:r w:rsidR="007937B5">
          <w:rPr>
            <w:noProof/>
            <w:webHidden/>
          </w:rPr>
          <w:instrText xml:space="preserve"> PAGEREF _Toc193810555 \h </w:instrText>
        </w:r>
        <w:r w:rsidR="007937B5">
          <w:rPr>
            <w:noProof/>
            <w:webHidden/>
          </w:rPr>
        </w:r>
        <w:r w:rsidR="007937B5">
          <w:rPr>
            <w:noProof/>
            <w:webHidden/>
          </w:rPr>
          <w:fldChar w:fldCharType="separate"/>
        </w:r>
        <w:r w:rsidR="007937B5">
          <w:rPr>
            <w:noProof/>
            <w:webHidden/>
          </w:rPr>
          <w:t>79</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56" w:history="1">
        <w:r w:rsidR="007937B5" w:rsidRPr="0084432D">
          <w:rPr>
            <w:rStyle w:val="a3"/>
            <w:noProof/>
          </w:rPr>
          <w:t>2.3. Газоснабжение</w:t>
        </w:r>
        <w:r w:rsidR="007937B5">
          <w:rPr>
            <w:noProof/>
            <w:webHidden/>
          </w:rPr>
          <w:tab/>
        </w:r>
        <w:r w:rsidR="007937B5">
          <w:rPr>
            <w:noProof/>
            <w:webHidden/>
          </w:rPr>
          <w:fldChar w:fldCharType="begin"/>
        </w:r>
        <w:r w:rsidR="007937B5">
          <w:rPr>
            <w:noProof/>
            <w:webHidden/>
          </w:rPr>
          <w:instrText xml:space="preserve"> PAGEREF _Toc193810556 \h </w:instrText>
        </w:r>
        <w:r w:rsidR="007937B5">
          <w:rPr>
            <w:noProof/>
            <w:webHidden/>
          </w:rPr>
        </w:r>
        <w:r w:rsidR="007937B5">
          <w:rPr>
            <w:noProof/>
            <w:webHidden/>
          </w:rPr>
          <w:fldChar w:fldCharType="separate"/>
        </w:r>
        <w:r w:rsidR="007937B5">
          <w:rPr>
            <w:noProof/>
            <w:webHidden/>
          </w:rPr>
          <w:t>80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7" w:history="1">
        <w:r w:rsidR="007937B5" w:rsidRPr="0084432D">
          <w:rPr>
            <w:rStyle w:val="a3"/>
            <w:noProof/>
          </w:rPr>
          <w:t>2.3.1. Услуги по транспортировке газа по региональным газораспределительным сетям газораспределительных организаций (ГРО)</w:t>
        </w:r>
        <w:r w:rsidR="007937B5">
          <w:rPr>
            <w:noProof/>
            <w:webHidden/>
          </w:rPr>
          <w:tab/>
        </w:r>
        <w:r w:rsidR="007937B5">
          <w:rPr>
            <w:noProof/>
            <w:webHidden/>
          </w:rPr>
          <w:fldChar w:fldCharType="begin"/>
        </w:r>
        <w:r w:rsidR="007937B5">
          <w:rPr>
            <w:noProof/>
            <w:webHidden/>
          </w:rPr>
          <w:instrText xml:space="preserve"> PAGEREF _Toc193810557 \h </w:instrText>
        </w:r>
        <w:r w:rsidR="007937B5">
          <w:rPr>
            <w:noProof/>
            <w:webHidden/>
          </w:rPr>
        </w:r>
        <w:r w:rsidR="007937B5">
          <w:rPr>
            <w:noProof/>
            <w:webHidden/>
          </w:rPr>
          <w:fldChar w:fldCharType="separate"/>
        </w:r>
        <w:r w:rsidR="007937B5">
          <w:rPr>
            <w:noProof/>
            <w:webHidden/>
          </w:rPr>
          <w:t>80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8" w:history="1">
        <w:r w:rsidR="007937B5" w:rsidRPr="0084432D">
          <w:rPr>
            <w:rStyle w:val="a3"/>
            <w:noProof/>
          </w:rPr>
          <w:t>2.3.2. Специальные надбавки к тарифам на услуги по транспортировке природного газа по газораспределительным сетям, предназначенные для финансирования программы газификации</w:t>
        </w:r>
        <w:r w:rsidR="007937B5">
          <w:rPr>
            <w:noProof/>
            <w:webHidden/>
          </w:rPr>
          <w:tab/>
        </w:r>
        <w:r w:rsidR="007937B5">
          <w:rPr>
            <w:noProof/>
            <w:webHidden/>
          </w:rPr>
          <w:fldChar w:fldCharType="begin"/>
        </w:r>
        <w:r w:rsidR="007937B5">
          <w:rPr>
            <w:noProof/>
            <w:webHidden/>
          </w:rPr>
          <w:instrText xml:space="preserve"> PAGEREF _Toc193810558 \h </w:instrText>
        </w:r>
        <w:r w:rsidR="007937B5">
          <w:rPr>
            <w:noProof/>
            <w:webHidden/>
          </w:rPr>
        </w:r>
        <w:r w:rsidR="007937B5">
          <w:rPr>
            <w:noProof/>
            <w:webHidden/>
          </w:rPr>
          <w:fldChar w:fldCharType="separate"/>
        </w:r>
        <w:r w:rsidR="007937B5">
          <w:rPr>
            <w:noProof/>
            <w:webHidden/>
          </w:rPr>
          <w:t>80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59" w:history="1">
        <w:r w:rsidR="007937B5" w:rsidRPr="0084432D">
          <w:rPr>
            <w:rStyle w:val="a3"/>
            <w:noProof/>
          </w:rPr>
          <w:t>2.3.3. Розничные цены на газ для населения</w:t>
        </w:r>
        <w:r w:rsidR="007937B5">
          <w:rPr>
            <w:noProof/>
            <w:webHidden/>
          </w:rPr>
          <w:tab/>
        </w:r>
        <w:r w:rsidR="007937B5">
          <w:rPr>
            <w:noProof/>
            <w:webHidden/>
          </w:rPr>
          <w:fldChar w:fldCharType="begin"/>
        </w:r>
        <w:r w:rsidR="007937B5">
          <w:rPr>
            <w:noProof/>
            <w:webHidden/>
          </w:rPr>
          <w:instrText xml:space="preserve"> PAGEREF _Toc193810559 \h </w:instrText>
        </w:r>
        <w:r w:rsidR="007937B5">
          <w:rPr>
            <w:noProof/>
            <w:webHidden/>
          </w:rPr>
        </w:r>
        <w:r w:rsidR="007937B5">
          <w:rPr>
            <w:noProof/>
            <w:webHidden/>
          </w:rPr>
          <w:fldChar w:fldCharType="separate"/>
        </w:r>
        <w:r w:rsidR="007937B5">
          <w:rPr>
            <w:noProof/>
            <w:webHidden/>
          </w:rPr>
          <w:t>82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0" w:history="1">
        <w:r w:rsidR="007937B5" w:rsidRPr="0084432D">
          <w:rPr>
            <w:rStyle w:val="a3"/>
            <w:noProof/>
          </w:rPr>
          <w:t>2.3.3.1. Розничные цены на природный  газ для населения</w:t>
        </w:r>
        <w:r w:rsidR="007937B5">
          <w:rPr>
            <w:noProof/>
            <w:webHidden/>
          </w:rPr>
          <w:tab/>
        </w:r>
        <w:r w:rsidR="007937B5">
          <w:rPr>
            <w:noProof/>
            <w:webHidden/>
          </w:rPr>
          <w:fldChar w:fldCharType="begin"/>
        </w:r>
        <w:r w:rsidR="007937B5">
          <w:rPr>
            <w:noProof/>
            <w:webHidden/>
          </w:rPr>
          <w:instrText xml:space="preserve"> PAGEREF _Toc193810560 \h </w:instrText>
        </w:r>
        <w:r w:rsidR="007937B5">
          <w:rPr>
            <w:noProof/>
            <w:webHidden/>
          </w:rPr>
        </w:r>
        <w:r w:rsidR="007937B5">
          <w:rPr>
            <w:noProof/>
            <w:webHidden/>
          </w:rPr>
          <w:fldChar w:fldCharType="separate"/>
        </w:r>
        <w:r w:rsidR="007937B5">
          <w:rPr>
            <w:noProof/>
            <w:webHidden/>
          </w:rPr>
          <w:t>82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1" w:history="1">
        <w:r w:rsidR="007937B5" w:rsidRPr="0084432D">
          <w:rPr>
            <w:rStyle w:val="a3"/>
            <w:noProof/>
          </w:rPr>
          <w:t>2.3.4. Плата за технологическое присоединение газоиспользующего оборудования к газораспределительным сетям</w:t>
        </w:r>
        <w:r w:rsidR="007937B5">
          <w:rPr>
            <w:noProof/>
            <w:webHidden/>
          </w:rPr>
          <w:tab/>
        </w:r>
        <w:r w:rsidR="007937B5">
          <w:rPr>
            <w:noProof/>
            <w:webHidden/>
          </w:rPr>
          <w:fldChar w:fldCharType="begin"/>
        </w:r>
        <w:r w:rsidR="007937B5">
          <w:rPr>
            <w:noProof/>
            <w:webHidden/>
          </w:rPr>
          <w:instrText xml:space="preserve"> PAGEREF _Toc193810561 \h </w:instrText>
        </w:r>
        <w:r w:rsidR="007937B5">
          <w:rPr>
            <w:noProof/>
            <w:webHidden/>
          </w:rPr>
        </w:r>
        <w:r w:rsidR="007937B5">
          <w:rPr>
            <w:noProof/>
            <w:webHidden/>
          </w:rPr>
          <w:fldChar w:fldCharType="separate"/>
        </w:r>
        <w:r w:rsidR="007937B5">
          <w:rPr>
            <w:noProof/>
            <w:webHidden/>
          </w:rPr>
          <w:t>84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2" w:history="1">
        <w:r w:rsidR="007937B5" w:rsidRPr="0084432D">
          <w:rPr>
            <w:rStyle w:val="a3"/>
            <w:noProof/>
          </w:rPr>
          <w:t>2.3.5. Показатели надежности и качества услуг по транспортировке газа по газораспределительным сетям</w:t>
        </w:r>
        <w:r w:rsidR="007937B5">
          <w:rPr>
            <w:noProof/>
            <w:webHidden/>
          </w:rPr>
          <w:tab/>
        </w:r>
        <w:r w:rsidR="007937B5">
          <w:rPr>
            <w:noProof/>
            <w:webHidden/>
          </w:rPr>
          <w:fldChar w:fldCharType="begin"/>
        </w:r>
        <w:r w:rsidR="007937B5">
          <w:rPr>
            <w:noProof/>
            <w:webHidden/>
          </w:rPr>
          <w:instrText xml:space="preserve"> PAGEREF _Toc193810562 \h </w:instrText>
        </w:r>
        <w:r w:rsidR="007937B5">
          <w:rPr>
            <w:noProof/>
            <w:webHidden/>
          </w:rPr>
        </w:r>
        <w:r w:rsidR="007937B5">
          <w:rPr>
            <w:noProof/>
            <w:webHidden/>
          </w:rPr>
          <w:fldChar w:fldCharType="separate"/>
        </w:r>
        <w:r w:rsidR="007937B5">
          <w:rPr>
            <w:noProof/>
            <w:webHidden/>
          </w:rPr>
          <w:t>85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3" w:history="1">
        <w:r w:rsidR="007937B5" w:rsidRPr="0084432D">
          <w:rPr>
            <w:rStyle w:val="a3"/>
            <w:noProof/>
          </w:rPr>
          <w:t>2.3.6. Размер экономически обоснованных расходов на выполнение мероприятий по подключению (технологическому присоединению) газоиспользующего оборудования физических лиц, осуществляемых без взимания с них средств, а также недостаточности финансовых средств для покрытия расходов ГРО на реализацию мероприятий по подключению (технологическому присоединению)  в рамках «догазификации»</w:t>
        </w:r>
        <w:r w:rsidR="007937B5">
          <w:rPr>
            <w:noProof/>
            <w:webHidden/>
          </w:rPr>
          <w:tab/>
        </w:r>
        <w:r w:rsidR="007937B5">
          <w:rPr>
            <w:noProof/>
            <w:webHidden/>
          </w:rPr>
          <w:fldChar w:fldCharType="begin"/>
        </w:r>
        <w:r w:rsidR="007937B5">
          <w:rPr>
            <w:noProof/>
            <w:webHidden/>
          </w:rPr>
          <w:instrText xml:space="preserve"> PAGEREF _Toc193810563 \h </w:instrText>
        </w:r>
        <w:r w:rsidR="007937B5">
          <w:rPr>
            <w:noProof/>
            <w:webHidden/>
          </w:rPr>
        </w:r>
        <w:r w:rsidR="007937B5">
          <w:rPr>
            <w:noProof/>
            <w:webHidden/>
          </w:rPr>
          <w:fldChar w:fldCharType="separate"/>
        </w:r>
        <w:r w:rsidR="007937B5">
          <w:rPr>
            <w:noProof/>
            <w:webHidden/>
          </w:rPr>
          <w:t>85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4" w:history="1">
        <w:r w:rsidR="007937B5" w:rsidRPr="0084432D">
          <w:rPr>
            <w:rStyle w:val="a3"/>
            <w:noProof/>
          </w:rPr>
          <w:t>2.3.7. Мониторинг цен (тарифов) в сфере газоснабжения</w:t>
        </w:r>
        <w:r w:rsidR="007937B5">
          <w:rPr>
            <w:noProof/>
            <w:webHidden/>
          </w:rPr>
          <w:tab/>
        </w:r>
        <w:r w:rsidR="007937B5">
          <w:rPr>
            <w:noProof/>
            <w:webHidden/>
          </w:rPr>
          <w:fldChar w:fldCharType="begin"/>
        </w:r>
        <w:r w:rsidR="007937B5">
          <w:rPr>
            <w:noProof/>
            <w:webHidden/>
          </w:rPr>
          <w:instrText xml:space="preserve"> PAGEREF _Toc193810564 \h </w:instrText>
        </w:r>
        <w:r w:rsidR="007937B5">
          <w:rPr>
            <w:noProof/>
            <w:webHidden/>
          </w:rPr>
        </w:r>
        <w:r w:rsidR="007937B5">
          <w:rPr>
            <w:noProof/>
            <w:webHidden/>
          </w:rPr>
          <w:fldChar w:fldCharType="separate"/>
        </w:r>
        <w:r w:rsidR="007937B5">
          <w:rPr>
            <w:noProof/>
            <w:webHidden/>
          </w:rPr>
          <w:t>86</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65" w:history="1">
        <w:r w:rsidR="007937B5" w:rsidRPr="0084432D">
          <w:rPr>
            <w:rStyle w:val="a3"/>
            <w:noProof/>
          </w:rPr>
          <w:t>2.4. Водоснабжение и водоотведение</w:t>
        </w:r>
        <w:r w:rsidR="007937B5">
          <w:rPr>
            <w:noProof/>
            <w:webHidden/>
          </w:rPr>
          <w:tab/>
        </w:r>
        <w:r w:rsidR="007937B5">
          <w:rPr>
            <w:noProof/>
            <w:webHidden/>
          </w:rPr>
          <w:fldChar w:fldCharType="begin"/>
        </w:r>
        <w:r w:rsidR="007937B5">
          <w:rPr>
            <w:noProof/>
            <w:webHidden/>
          </w:rPr>
          <w:instrText xml:space="preserve"> PAGEREF _Toc193810565 \h </w:instrText>
        </w:r>
        <w:r w:rsidR="007937B5">
          <w:rPr>
            <w:noProof/>
            <w:webHidden/>
          </w:rPr>
        </w:r>
        <w:r w:rsidR="007937B5">
          <w:rPr>
            <w:noProof/>
            <w:webHidden/>
          </w:rPr>
          <w:fldChar w:fldCharType="separate"/>
        </w:r>
        <w:r w:rsidR="007937B5">
          <w:rPr>
            <w:noProof/>
            <w:webHidden/>
          </w:rPr>
          <w:t>87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6" w:history="1">
        <w:r w:rsidR="007937B5" w:rsidRPr="0084432D">
          <w:rPr>
            <w:rStyle w:val="a3"/>
            <w:noProof/>
          </w:rPr>
          <w:t>2.4.1. Тарифное регулирование в сфере водоснабжения и водоотведения</w:t>
        </w:r>
        <w:r w:rsidR="007937B5">
          <w:rPr>
            <w:noProof/>
            <w:webHidden/>
          </w:rPr>
          <w:tab/>
        </w:r>
        <w:r w:rsidR="007937B5">
          <w:rPr>
            <w:noProof/>
            <w:webHidden/>
          </w:rPr>
          <w:fldChar w:fldCharType="begin"/>
        </w:r>
        <w:r w:rsidR="007937B5">
          <w:rPr>
            <w:noProof/>
            <w:webHidden/>
          </w:rPr>
          <w:instrText xml:space="preserve"> PAGEREF _Toc193810566 \h </w:instrText>
        </w:r>
        <w:r w:rsidR="007937B5">
          <w:rPr>
            <w:noProof/>
            <w:webHidden/>
          </w:rPr>
        </w:r>
        <w:r w:rsidR="007937B5">
          <w:rPr>
            <w:noProof/>
            <w:webHidden/>
          </w:rPr>
          <w:fldChar w:fldCharType="separate"/>
        </w:r>
        <w:r w:rsidR="007937B5">
          <w:rPr>
            <w:noProof/>
            <w:webHidden/>
          </w:rPr>
          <w:t>87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7" w:history="1">
        <w:r w:rsidR="007937B5" w:rsidRPr="0084432D">
          <w:rPr>
            <w:rStyle w:val="a3"/>
            <w:noProof/>
          </w:rPr>
          <w:t>2.4.1.1 Формирование тарифов МУП г. Новосибирска «ГОРВОДОКАНАЛ»</w:t>
        </w:r>
        <w:r w:rsidR="007937B5">
          <w:rPr>
            <w:noProof/>
            <w:webHidden/>
          </w:rPr>
          <w:tab/>
        </w:r>
        <w:r w:rsidR="007937B5">
          <w:rPr>
            <w:noProof/>
            <w:webHidden/>
          </w:rPr>
          <w:fldChar w:fldCharType="begin"/>
        </w:r>
        <w:r w:rsidR="007937B5">
          <w:rPr>
            <w:noProof/>
            <w:webHidden/>
          </w:rPr>
          <w:instrText xml:space="preserve"> PAGEREF _Toc193810567 \h </w:instrText>
        </w:r>
        <w:r w:rsidR="007937B5">
          <w:rPr>
            <w:noProof/>
            <w:webHidden/>
          </w:rPr>
        </w:r>
        <w:r w:rsidR="007937B5">
          <w:rPr>
            <w:noProof/>
            <w:webHidden/>
          </w:rPr>
          <w:fldChar w:fldCharType="separate"/>
        </w:r>
        <w:r w:rsidR="007937B5">
          <w:rPr>
            <w:noProof/>
            <w:webHidden/>
          </w:rPr>
          <w:t>88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8" w:history="1">
        <w:r w:rsidR="007937B5" w:rsidRPr="0084432D">
          <w:rPr>
            <w:rStyle w:val="a3"/>
            <w:noProof/>
          </w:rPr>
          <w:t>2.4.2. Мониторинг производственных программ, цен (тарифов) в сфере водоснабжения и водоотведения</w:t>
        </w:r>
        <w:r w:rsidR="007937B5">
          <w:rPr>
            <w:noProof/>
            <w:webHidden/>
          </w:rPr>
          <w:tab/>
        </w:r>
        <w:r w:rsidR="007937B5">
          <w:rPr>
            <w:noProof/>
            <w:webHidden/>
          </w:rPr>
          <w:fldChar w:fldCharType="begin"/>
        </w:r>
        <w:r w:rsidR="007937B5">
          <w:rPr>
            <w:noProof/>
            <w:webHidden/>
          </w:rPr>
          <w:instrText xml:space="preserve"> PAGEREF _Toc193810568 \h </w:instrText>
        </w:r>
        <w:r w:rsidR="007937B5">
          <w:rPr>
            <w:noProof/>
            <w:webHidden/>
          </w:rPr>
        </w:r>
        <w:r w:rsidR="007937B5">
          <w:rPr>
            <w:noProof/>
            <w:webHidden/>
          </w:rPr>
          <w:fldChar w:fldCharType="separate"/>
        </w:r>
        <w:r w:rsidR="007937B5">
          <w:rPr>
            <w:noProof/>
            <w:webHidden/>
          </w:rPr>
          <w:t>102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69" w:history="1">
        <w:r w:rsidR="007937B5" w:rsidRPr="0084432D">
          <w:rPr>
            <w:rStyle w:val="a3"/>
            <w:iCs/>
            <w:noProof/>
          </w:rPr>
          <w:t xml:space="preserve">2.4.3. </w:t>
        </w:r>
        <w:r w:rsidR="007937B5" w:rsidRPr="0084432D">
          <w:rPr>
            <w:rStyle w:val="a3"/>
            <w:noProof/>
          </w:rPr>
          <w:t>Согласование долгосрочных параметров для концессионных соглашений</w:t>
        </w:r>
        <w:r w:rsidR="007937B5">
          <w:rPr>
            <w:noProof/>
            <w:webHidden/>
          </w:rPr>
          <w:tab/>
        </w:r>
        <w:r w:rsidR="007937B5">
          <w:rPr>
            <w:noProof/>
            <w:webHidden/>
          </w:rPr>
          <w:fldChar w:fldCharType="begin"/>
        </w:r>
        <w:r w:rsidR="007937B5">
          <w:rPr>
            <w:noProof/>
            <w:webHidden/>
          </w:rPr>
          <w:instrText xml:space="preserve"> PAGEREF _Toc193810569 \h </w:instrText>
        </w:r>
        <w:r w:rsidR="007937B5">
          <w:rPr>
            <w:noProof/>
            <w:webHidden/>
          </w:rPr>
        </w:r>
        <w:r w:rsidR="007937B5">
          <w:rPr>
            <w:noProof/>
            <w:webHidden/>
          </w:rPr>
          <w:fldChar w:fldCharType="separate"/>
        </w:r>
        <w:r w:rsidR="007937B5">
          <w:rPr>
            <w:noProof/>
            <w:webHidden/>
          </w:rPr>
          <w:t>102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0" w:history="1">
        <w:r w:rsidR="007937B5" w:rsidRPr="0084432D">
          <w:rPr>
            <w:rStyle w:val="a3"/>
            <w:iCs/>
            <w:noProof/>
          </w:rPr>
          <w:t xml:space="preserve">2.4.4. </w:t>
        </w:r>
        <w:r w:rsidR="007937B5" w:rsidRPr="0084432D">
          <w:rPr>
            <w:rStyle w:val="a3"/>
            <w:noProof/>
          </w:rPr>
          <w:t>Контроль над фактическим исполнением установленных требований к программам в области энергосбережения и повышения энергетической эффективности</w:t>
        </w:r>
        <w:r w:rsidR="007937B5">
          <w:rPr>
            <w:noProof/>
            <w:webHidden/>
          </w:rPr>
          <w:tab/>
        </w:r>
        <w:r w:rsidR="007937B5">
          <w:rPr>
            <w:noProof/>
            <w:webHidden/>
          </w:rPr>
          <w:fldChar w:fldCharType="begin"/>
        </w:r>
        <w:r w:rsidR="007937B5">
          <w:rPr>
            <w:noProof/>
            <w:webHidden/>
          </w:rPr>
          <w:instrText xml:space="preserve"> PAGEREF _Toc193810570 \h </w:instrText>
        </w:r>
        <w:r w:rsidR="007937B5">
          <w:rPr>
            <w:noProof/>
            <w:webHidden/>
          </w:rPr>
        </w:r>
        <w:r w:rsidR="007937B5">
          <w:rPr>
            <w:noProof/>
            <w:webHidden/>
          </w:rPr>
          <w:fldChar w:fldCharType="separate"/>
        </w:r>
        <w:r w:rsidR="007937B5">
          <w:rPr>
            <w:noProof/>
            <w:webHidden/>
          </w:rPr>
          <w:t>103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1" w:history="1">
        <w:r w:rsidR="007937B5" w:rsidRPr="0084432D">
          <w:rPr>
            <w:rStyle w:val="a3"/>
            <w:noProof/>
          </w:rPr>
          <w:t>2.4.5. Контроль над фактическим исполнением установленных требований к производственным программам регулируемых организаций в сфере водоснабжения и водоотведения</w:t>
        </w:r>
        <w:r w:rsidR="007937B5">
          <w:rPr>
            <w:noProof/>
            <w:webHidden/>
          </w:rPr>
          <w:tab/>
        </w:r>
        <w:r w:rsidR="007937B5">
          <w:rPr>
            <w:noProof/>
            <w:webHidden/>
          </w:rPr>
          <w:fldChar w:fldCharType="begin"/>
        </w:r>
        <w:r w:rsidR="007937B5">
          <w:rPr>
            <w:noProof/>
            <w:webHidden/>
          </w:rPr>
          <w:instrText xml:space="preserve"> PAGEREF _Toc193810571 \h </w:instrText>
        </w:r>
        <w:r w:rsidR="007937B5">
          <w:rPr>
            <w:noProof/>
            <w:webHidden/>
          </w:rPr>
        </w:r>
        <w:r w:rsidR="007937B5">
          <w:rPr>
            <w:noProof/>
            <w:webHidden/>
          </w:rPr>
          <w:fldChar w:fldCharType="separate"/>
        </w:r>
        <w:r w:rsidR="007937B5">
          <w:rPr>
            <w:noProof/>
            <w:webHidden/>
          </w:rPr>
          <w:t>103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2" w:history="1">
        <w:r w:rsidR="007937B5" w:rsidRPr="0084432D">
          <w:rPr>
            <w:rStyle w:val="a3"/>
            <w:iCs/>
            <w:noProof/>
          </w:rPr>
          <w:t xml:space="preserve">2.4.6. </w:t>
        </w:r>
        <w:r w:rsidR="007937B5" w:rsidRPr="0084432D">
          <w:rPr>
            <w:rStyle w:val="a3"/>
            <w:noProof/>
          </w:rPr>
          <w:t>Утверждение и корректировка инвестиционных программ в сфере водоснабжения и водоотведения</w:t>
        </w:r>
        <w:r w:rsidR="007937B5">
          <w:rPr>
            <w:noProof/>
            <w:webHidden/>
          </w:rPr>
          <w:tab/>
        </w:r>
        <w:r w:rsidR="007937B5">
          <w:rPr>
            <w:noProof/>
            <w:webHidden/>
          </w:rPr>
          <w:fldChar w:fldCharType="begin"/>
        </w:r>
        <w:r w:rsidR="007937B5">
          <w:rPr>
            <w:noProof/>
            <w:webHidden/>
          </w:rPr>
          <w:instrText xml:space="preserve"> PAGEREF _Toc193810572 \h </w:instrText>
        </w:r>
        <w:r w:rsidR="007937B5">
          <w:rPr>
            <w:noProof/>
            <w:webHidden/>
          </w:rPr>
        </w:r>
        <w:r w:rsidR="007937B5">
          <w:rPr>
            <w:noProof/>
            <w:webHidden/>
          </w:rPr>
          <w:fldChar w:fldCharType="separate"/>
        </w:r>
        <w:r w:rsidR="007937B5">
          <w:rPr>
            <w:noProof/>
            <w:webHidden/>
          </w:rPr>
          <w:t>103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3" w:history="1">
        <w:r w:rsidR="007937B5" w:rsidRPr="0084432D">
          <w:rPr>
            <w:rStyle w:val="a3"/>
            <w:noProof/>
          </w:rPr>
          <w:t>2.4.7. Установление нормативов потерь питьевой и технической воды в централизованных системах водоснабжения при ее производстве и транспортировке</w:t>
        </w:r>
        <w:r w:rsidR="007937B5">
          <w:rPr>
            <w:noProof/>
            <w:webHidden/>
          </w:rPr>
          <w:tab/>
        </w:r>
        <w:r w:rsidR="007937B5">
          <w:rPr>
            <w:noProof/>
            <w:webHidden/>
          </w:rPr>
          <w:fldChar w:fldCharType="begin"/>
        </w:r>
        <w:r w:rsidR="007937B5">
          <w:rPr>
            <w:noProof/>
            <w:webHidden/>
          </w:rPr>
          <w:instrText xml:space="preserve"> PAGEREF _Toc193810573 \h </w:instrText>
        </w:r>
        <w:r w:rsidR="007937B5">
          <w:rPr>
            <w:noProof/>
            <w:webHidden/>
          </w:rPr>
        </w:r>
        <w:r w:rsidR="007937B5">
          <w:rPr>
            <w:noProof/>
            <w:webHidden/>
          </w:rPr>
          <w:fldChar w:fldCharType="separate"/>
        </w:r>
        <w:r w:rsidR="007937B5">
          <w:rPr>
            <w:noProof/>
            <w:webHidden/>
          </w:rPr>
          <w:t>104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4" w:history="1">
        <w:r w:rsidR="007937B5" w:rsidRPr="0084432D">
          <w:rPr>
            <w:rStyle w:val="a3"/>
            <w:noProof/>
          </w:rPr>
          <w:t>2.4.10. Нормативы потребления коммунальных услуг по холодному водоснабжению, горячему водоснабжению и водоотведению</w:t>
        </w:r>
        <w:r w:rsidR="007937B5">
          <w:rPr>
            <w:noProof/>
            <w:webHidden/>
          </w:rPr>
          <w:tab/>
        </w:r>
        <w:r w:rsidR="007937B5">
          <w:rPr>
            <w:noProof/>
            <w:webHidden/>
          </w:rPr>
          <w:fldChar w:fldCharType="begin"/>
        </w:r>
        <w:r w:rsidR="007937B5">
          <w:rPr>
            <w:noProof/>
            <w:webHidden/>
          </w:rPr>
          <w:instrText xml:space="preserve"> PAGEREF _Toc193810574 \h </w:instrText>
        </w:r>
        <w:r w:rsidR="007937B5">
          <w:rPr>
            <w:noProof/>
            <w:webHidden/>
          </w:rPr>
        </w:r>
        <w:r w:rsidR="007937B5">
          <w:rPr>
            <w:noProof/>
            <w:webHidden/>
          </w:rPr>
          <w:fldChar w:fldCharType="separate"/>
        </w:r>
        <w:r w:rsidR="007937B5">
          <w:rPr>
            <w:noProof/>
            <w:webHidden/>
          </w:rPr>
          <w:t>105</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75" w:history="1">
        <w:r w:rsidR="007937B5" w:rsidRPr="0084432D">
          <w:rPr>
            <w:rStyle w:val="a3"/>
            <w:noProof/>
          </w:rPr>
          <w:t>2.5.  Регулирование розничных цен на топливо твердое, топливо печное бытовое</w:t>
        </w:r>
        <w:r w:rsidR="007937B5">
          <w:rPr>
            <w:noProof/>
            <w:webHidden/>
          </w:rPr>
          <w:tab/>
        </w:r>
        <w:r w:rsidR="007937B5">
          <w:rPr>
            <w:noProof/>
            <w:webHidden/>
          </w:rPr>
          <w:fldChar w:fldCharType="begin"/>
        </w:r>
        <w:r w:rsidR="007937B5">
          <w:rPr>
            <w:noProof/>
            <w:webHidden/>
          </w:rPr>
          <w:instrText xml:space="preserve"> PAGEREF _Toc193810575 \h </w:instrText>
        </w:r>
        <w:r w:rsidR="007937B5">
          <w:rPr>
            <w:noProof/>
            <w:webHidden/>
          </w:rPr>
        </w:r>
        <w:r w:rsidR="007937B5">
          <w:rPr>
            <w:noProof/>
            <w:webHidden/>
          </w:rPr>
          <w:fldChar w:fldCharType="separate"/>
        </w:r>
        <w:r w:rsidR="007937B5">
          <w:rPr>
            <w:noProof/>
            <w:webHidden/>
          </w:rPr>
          <w:t>106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6" w:history="1">
        <w:r w:rsidR="007937B5" w:rsidRPr="0084432D">
          <w:rPr>
            <w:rStyle w:val="a3"/>
            <w:noProof/>
          </w:rPr>
          <w:t>2.5.1. Уголь</w:t>
        </w:r>
        <w:r w:rsidR="007937B5">
          <w:rPr>
            <w:noProof/>
            <w:webHidden/>
          </w:rPr>
          <w:tab/>
        </w:r>
        <w:r w:rsidR="007937B5">
          <w:rPr>
            <w:noProof/>
            <w:webHidden/>
          </w:rPr>
          <w:fldChar w:fldCharType="begin"/>
        </w:r>
        <w:r w:rsidR="007937B5">
          <w:rPr>
            <w:noProof/>
            <w:webHidden/>
          </w:rPr>
          <w:instrText xml:space="preserve"> PAGEREF _Toc193810576 \h </w:instrText>
        </w:r>
        <w:r w:rsidR="007937B5">
          <w:rPr>
            <w:noProof/>
            <w:webHidden/>
          </w:rPr>
        </w:r>
        <w:r w:rsidR="007937B5">
          <w:rPr>
            <w:noProof/>
            <w:webHidden/>
          </w:rPr>
          <w:fldChar w:fldCharType="separate"/>
        </w:r>
        <w:r w:rsidR="007937B5">
          <w:rPr>
            <w:noProof/>
            <w:webHidden/>
          </w:rPr>
          <w:t>106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77" w:history="1">
        <w:r w:rsidR="007937B5" w:rsidRPr="0084432D">
          <w:rPr>
            <w:rStyle w:val="a3"/>
            <w:noProof/>
            <w:snapToGrid w:val="0"/>
          </w:rPr>
          <w:t>2.5.2. Дрова</w:t>
        </w:r>
        <w:r w:rsidR="007937B5">
          <w:rPr>
            <w:noProof/>
            <w:webHidden/>
          </w:rPr>
          <w:tab/>
        </w:r>
        <w:r w:rsidR="007937B5">
          <w:rPr>
            <w:noProof/>
            <w:webHidden/>
          </w:rPr>
          <w:fldChar w:fldCharType="begin"/>
        </w:r>
        <w:r w:rsidR="007937B5">
          <w:rPr>
            <w:noProof/>
            <w:webHidden/>
          </w:rPr>
          <w:instrText xml:space="preserve"> PAGEREF _Toc193810577 \h </w:instrText>
        </w:r>
        <w:r w:rsidR="007937B5">
          <w:rPr>
            <w:noProof/>
            <w:webHidden/>
          </w:rPr>
        </w:r>
        <w:r w:rsidR="007937B5">
          <w:rPr>
            <w:noProof/>
            <w:webHidden/>
          </w:rPr>
          <w:fldChar w:fldCharType="separate"/>
        </w:r>
        <w:r w:rsidR="007937B5">
          <w:rPr>
            <w:noProof/>
            <w:webHidden/>
          </w:rPr>
          <w:t>108</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78" w:history="1">
        <w:r w:rsidR="007937B5" w:rsidRPr="0084432D">
          <w:rPr>
            <w:rStyle w:val="a3"/>
            <w:noProof/>
          </w:rPr>
          <w:t>2.6. Обращение с твердыми коммунальными отходами</w:t>
        </w:r>
        <w:r w:rsidR="007937B5">
          <w:rPr>
            <w:noProof/>
            <w:webHidden/>
          </w:rPr>
          <w:tab/>
        </w:r>
        <w:r w:rsidR="007937B5">
          <w:rPr>
            <w:noProof/>
            <w:webHidden/>
          </w:rPr>
          <w:fldChar w:fldCharType="begin"/>
        </w:r>
        <w:r w:rsidR="007937B5">
          <w:rPr>
            <w:noProof/>
            <w:webHidden/>
          </w:rPr>
          <w:instrText xml:space="preserve"> PAGEREF _Toc193810578 \h </w:instrText>
        </w:r>
        <w:r w:rsidR="007937B5">
          <w:rPr>
            <w:noProof/>
            <w:webHidden/>
          </w:rPr>
        </w:r>
        <w:r w:rsidR="007937B5">
          <w:rPr>
            <w:noProof/>
            <w:webHidden/>
          </w:rPr>
          <w:fldChar w:fldCharType="separate"/>
        </w:r>
        <w:r w:rsidR="007937B5">
          <w:rPr>
            <w:noProof/>
            <w:webHidden/>
          </w:rPr>
          <w:t>111</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79" w:history="1">
        <w:r w:rsidR="007937B5" w:rsidRPr="0084432D">
          <w:rPr>
            <w:rStyle w:val="a3"/>
            <w:noProof/>
          </w:rPr>
          <w:t>2.7. Коммунальный комплекс</w:t>
        </w:r>
        <w:r w:rsidR="007937B5">
          <w:rPr>
            <w:noProof/>
            <w:webHidden/>
          </w:rPr>
          <w:tab/>
        </w:r>
        <w:r w:rsidR="007937B5">
          <w:rPr>
            <w:noProof/>
            <w:webHidden/>
          </w:rPr>
          <w:fldChar w:fldCharType="begin"/>
        </w:r>
        <w:r w:rsidR="007937B5">
          <w:rPr>
            <w:noProof/>
            <w:webHidden/>
          </w:rPr>
          <w:instrText xml:space="preserve"> PAGEREF _Toc193810579 \h </w:instrText>
        </w:r>
        <w:r w:rsidR="007937B5">
          <w:rPr>
            <w:noProof/>
            <w:webHidden/>
          </w:rPr>
        </w:r>
        <w:r w:rsidR="007937B5">
          <w:rPr>
            <w:noProof/>
            <w:webHidden/>
          </w:rPr>
          <w:fldChar w:fldCharType="separate"/>
        </w:r>
        <w:r w:rsidR="007937B5">
          <w:rPr>
            <w:noProof/>
            <w:webHidden/>
          </w:rPr>
          <w:t>129</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80" w:history="1">
        <w:r w:rsidR="007937B5" w:rsidRPr="0084432D">
          <w:rPr>
            <w:rStyle w:val="a3"/>
            <w:noProof/>
          </w:rPr>
          <w:t>2.8. Государственное регулирование транспортых услуг</w:t>
        </w:r>
        <w:r w:rsidR="007937B5">
          <w:rPr>
            <w:noProof/>
            <w:webHidden/>
          </w:rPr>
          <w:tab/>
        </w:r>
        <w:r w:rsidR="007937B5">
          <w:rPr>
            <w:noProof/>
            <w:webHidden/>
          </w:rPr>
          <w:fldChar w:fldCharType="begin"/>
        </w:r>
        <w:r w:rsidR="007937B5">
          <w:rPr>
            <w:noProof/>
            <w:webHidden/>
          </w:rPr>
          <w:instrText xml:space="preserve"> PAGEREF _Toc193810580 \h </w:instrText>
        </w:r>
        <w:r w:rsidR="007937B5">
          <w:rPr>
            <w:noProof/>
            <w:webHidden/>
          </w:rPr>
        </w:r>
        <w:r w:rsidR="007937B5">
          <w:rPr>
            <w:noProof/>
            <w:webHidden/>
          </w:rPr>
          <w:fldChar w:fldCharType="separate"/>
        </w:r>
        <w:r w:rsidR="007937B5">
          <w:rPr>
            <w:noProof/>
            <w:webHidden/>
          </w:rPr>
          <w:t>140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1" w:history="1">
        <w:r w:rsidR="007937B5" w:rsidRPr="0084432D">
          <w:rPr>
            <w:rStyle w:val="a3"/>
            <w:noProof/>
          </w:rPr>
          <w:t>2.8.1. Тарифы на услуги по перевозке пассажиров железнодорожным транспортом в пригородном сообщении, оказываемые на территории Новосибирской области.</w:t>
        </w:r>
        <w:r w:rsidR="007937B5">
          <w:rPr>
            <w:noProof/>
            <w:webHidden/>
          </w:rPr>
          <w:tab/>
        </w:r>
        <w:r w:rsidR="007937B5">
          <w:rPr>
            <w:noProof/>
            <w:webHidden/>
          </w:rPr>
          <w:fldChar w:fldCharType="begin"/>
        </w:r>
        <w:r w:rsidR="007937B5">
          <w:rPr>
            <w:noProof/>
            <w:webHidden/>
          </w:rPr>
          <w:instrText xml:space="preserve"> PAGEREF _Toc193810581 \h </w:instrText>
        </w:r>
        <w:r w:rsidR="007937B5">
          <w:rPr>
            <w:noProof/>
            <w:webHidden/>
          </w:rPr>
        </w:r>
        <w:r w:rsidR="007937B5">
          <w:rPr>
            <w:noProof/>
            <w:webHidden/>
          </w:rPr>
          <w:fldChar w:fldCharType="separate"/>
        </w:r>
        <w:r w:rsidR="007937B5">
          <w:rPr>
            <w:noProof/>
            <w:webHidden/>
          </w:rPr>
          <w:t>140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2" w:history="1">
        <w:r w:rsidR="007937B5" w:rsidRPr="0084432D">
          <w:rPr>
            <w:rStyle w:val="a3"/>
            <w:noProof/>
            <w:snapToGrid w:val="0"/>
          </w:rPr>
          <w:t>2.8.2. Регулируемые тарифы на перевозки по муниципальным (за исключением маршрутов, установленных в границах городских округов города Новосибирска, города Бердска, города Искитима и города Оби) и межмуниципальным маршрутам регулярных перевозок пассажиров и багажа автомобильным транспортом на территории Новосибирской области</w:t>
        </w:r>
        <w:r w:rsidR="007937B5">
          <w:rPr>
            <w:noProof/>
            <w:webHidden/>
          </w:rPr>
          <w:tab/>
        </w:r>
        <w:r w:rsidR="007937B5">
          <w:rPr>
            <w:noProof/>
            <w:webHidden/>
          </w:rPr>
          <w:fldChar w:fldCharType="begin"/>
        </w:r>
        <w:r w:rsidR="007937B5">
          <w:rPr>
            <w:noProof/>
            <w:webHidden/>
          </w:rPr>
          <w:instrText xml:space="preserve"> PAGEREF _Toc193810582 \h </w:instrText>
        </w:r>
        <w:r w:rsidR="007937B5">
          <w:rPr>
            <w:noProof/>
            <w:webHidden/>
          </w:rPr>
        </w:r>
        <w:r w:rsidR="007937B5">
          <w:rPr>
            <w:noProof/>
            <w:webHidden/>
          </w:rPr>
          <w:fldChar w:fldCharType="separate"/>
        </w:r>
        <w:r w:rsidR="007937B5">
          <w:rPr>
            <w:noProof/>
            <w:webHidden/>
          </w:rPr>
          <w:t>142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3" w:history="1">
        <w:r w:rsidR="007937B5" w:rsidRPr="0084432D">
          <w:rPr>
            <w:rStyle w:val="a3"/>
            <w:noProof/>
          </w:rPr>
          <w:t>2.8.3. Предельные максимальные тарифы на перевозки пассажиров и провоз ручной клади сверх установленных норм внеуличным транспортом (метрополитеном) по муниципальным маршрутам регулярных перевозок</w:t>
        </w:r>
        <w:r w:rsidR="007937B5">
          <w:rPr>
            <w:noProof/>
            <w:webHidden/>
          </w:rPr>
          <w:tab/>
        </w:r>
        <w:r w:rsidR="007937B5">
          <w:rPr>
            <w:noProof/>
            <w:webHidden/>
          </w:rPr>
          <w:fldChar w:fldCharType="begin"/>
        </w:r>
        <w:r w:rsidR="007937B5">
          <w:rPr>
            <w:noProof/>
            <w:webHidden/>
          </w:rPr>
          <w:instrText xml:space="preserve"> PAGEREF _Toc193810583 \h </w:instrText>
        </w:r>
        <w:r w:rsidR="007937B5">
          <w:rPr>
            <w:noProof/>
            <w:webHidden/>
          </w:rPr>
        </w:r>
        <w:r w:rsidR="007937B5">
          <w:rPr>
            <w:noProof/>
            <w:webHidden/>
          </w:rPr>
          <w:fldChar w:fldCharType="separate"/>
        </w:r>
        <w:r w:rsidR="007937B5">
          <w:rPr>
            <w:noProof/>
            <w:webHidden/>
          </w:rPr>
          <w:t>143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4" w:history="1">
        <w:r w:rsidR="007937B5" w:rsidRPr="0084432D">
          <w:rPr>
            <w:rStyle w:val="a3"/>
            <w:noProof/>
          </w:rPr>
          <w:t>2.8.4. Тарифы на транспортные услуги, оказываемые организациями на подъездных железнодорожных путях</w:t>
        </w:r>
        <w:r w:rsidR="007937B5">
          <w:rPr>
            <w:noProof/>
            <w:webHidden/>
          </w:rPr>
          <w:tab/>
        </w:r>
        <w:r w:rsidR="007937B5">
          <w:rPr>
            <w:noProof/>
            <w:webHidden/>
          </w:rPr>
          <w:fldChar w:fldCharType="begin"/>
        </w:r>
        <w:r w:rsidR="007937B5">
          <w:rPr>
            <w:noProof/>
            <w:webHidden/>
          </w:rPr>
          <w:instrText xml:space="preserve"> PAGEREF _Toc193810584 \h </w:instrText>
        </w:r>
        <w:r w:rsidR="007937B5">
          <w:rPr>
            <w:noProof/>
            <w:webHidden/>
          </w:rPr>
        </w:r>
        <w:r w:rsidR="007937B5">
          <w:rPr>
            <w:noProof/>
            <w:webHidden/>
          </w:rPr>
          <w:fldChar w:fldCharType="separate"/>
        </w:r>
        <w:r w:rsidR="007937B5">
          <w:rPr>
            <w:noProof/>
            <w:webHidden/>
          </w:rPr>
          <w:t>144</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5" w:history="1">
        <w:r w:rsidR="007937B5" w:rsidRPr="0084432D">
          <w:rPr>
            <w:rStyle w:val="a3"/>
            <w:noProof/>
          </w:rPr>
          <w:t>2.8.5. Тарифы на перемещение и хранение задержанных транспортных средств на специализированную стоянку</w:t>
        </w:r>
        <w:r w:rsidR="007937B5">
          <w:rPr>
            <w:noProof/>
            <w:webHidden/>
          </w:rPr>
          <w:tab/>
        </w:r>
        <w:r w:rsidR="007937B5">
          <w:rPr>
            <w:noProof/>
            <w:webHidden/>
          </w:rPr>
          <w:fldChar w:fldCharType="begin"/>
        </w:r>
        <w:r w:rsidR="007937B5">
          <w:rPr>
            <w:noProof/>
            <w:webHidden/>
          </w:rPr>
          <w:instrText xml:space="preserve"> PAGEREF _Toc193810585 \h </w:instrText>
        </w:r>
        <w:r w:rsidR="007937B5">
          <w:rPr>
            <w:noProof/>
            <w:webHidden/>
          </w:rPr>
        </w:r>
        <w:r w:rsidR="007937B5">
          <w:rPr>
            <w:noProof/>
            <w:webHidden/>
          </w:rPr>
          <w:fldChar w:fldCharType="separate"/>
        </w:r>
        <w:r w:rsidR="007937B5">
          <w:rPr>
            <w:noProof/>
            <w:webHidden/>
          </w:rPr>
          <w:t>145</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6" w:history="1">
        <w:r w:rsidR="007937B5" w:rsidRPr="0084432D">
          <w:rPr>
            <w:rStyle w:val="a3"/>
            <w:noProof/>
          </w:rPr>
          <w:t>2.8.6. Регулирование плата за проведение технического осмотра транспортных средств</w:t>
        </w:r>
        <w:r w:rsidR="007937B5">
          <w:rPr>
            <w:noProof/>
            <w:webHidden/>
          </w:rPr>
          <w:tab/>
        </w:r>
        <w:r w:rsidR="007937B5">
          <w:rPr>
            <w:noProof/>
            <w:webHidden/>
          </w:rPr>
          <w:fldChar w:fldCharType="begin"/>
        </w:r>
        <w:r w:rsidR="007937B5">
          <w:rPr>
            <w:noProof/>
            <w:webHidden/>
          </w:rPr>
          <w:instrText xml:space="preserve"> PAGEREF _Toc193810586 \h </w:instrText>
        </w:r>
        <w:r w:rsidR="007937B5">
          <w:rPr>
            <w:noProof/>
            <w:webHidden/>
          </w:rPr>
        </w:r>
        <w:r w:rsidR="007937B5">
          <w:rPr>
            <w:noProof/>
            <w:webHidden/>
          </w:rPr>
          <w:fldChar w:fldCharType="separate"/>
        </w:r>
        <w:r w:rsidR="007937B5">
          <w:rPr>
            <w:noProof/>
            <w:webHidden/>
          </w:rPr>
          <w:t>145</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87" w:history="1">
        <w:r w:rsidR="007937B5" w:rsidRPr="0084432D">
          <w:rPr>
            <w:rStyle w:val="a3"/>
            <w:noProof/>
          </w:rPr>
          <w:t>2.9. Государственное регулирование тарифов на социальные услуги</w:t>
        </w:r>
        <w:r w:rsidR="007937B5">
          <w:rPr>
            <w:noProof/>
            <w:webHidden/>
          </w:rPr>
          <w:tab/>
        </w:r>
        <w:r w:rsidR="007937B5">
          <w:rPr>
            <w:noProof/>
            <w:webHidden/>
          </w:rPr>
          <w:fldChar w:fldCharType="begin"/>
        </w:r>
        <w:r w:rsidR="007937B5">
          <w:rPr>
            <w:noProof/>
            <w:webHidden/>
          </w:rPr>
          <w:instrText xml:space="preserve"> PAGEREF _Toc193810587 \h </w:instrText>
        </w:r>
        <w:r w:rsidR="007937B5">
          <w:rPr>
            <w:noProof/>
            <w:webHidden/>
          </w:rPr>
        </w:r>
        <w:r w:rsidR="007937B5">
          <w:rPr>
            <w:noProof/>
            <w:webHidden/>
          </w:rPr>
          <w:fldChar w:fldCharType="separate"/>
        </w:r>
        <w:r w:rsidR="007937B5">
          <w:rPr>
            <w:noProof/>
            <w:webHidden/>
          </w:rPr>
          <w:t>147</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8" w:history="1">
        <w:r w:rsidR="007937B5" w:rsidRPr="0084432D">
          <w:rPr>
            <w:rStyle w:val="a3"/>
            <w:noProof/>
          </w:rPr>
          <w:t>2.9.1. Стоимость услуг, предоставляемых согласно гарантированному перечню услуг по погребению</w:t>
        </w:r>
        <w:r w:rsidR="007937B5">
          <w:rPr>
            <w:noProof/>
            <w:webHidden/>
          </w:rPr>
          <w:tab/>
        </w:r>
        <w:r w:rsidR="007937B5">
          <w:rPr>
            <w:noProof/>
            <w:webHidden/>
          </w:rPr>
          <w:fldChar w:fldCharType="begin"/>
        </w:r>
        <w:r w:rsidR="007937B5">
          <w:rPr>
            <w:noProof/>
            <w:webHidden/>
          </w:rPr>
          <w:instrText xml:space="preserve"> PAGEREF _Toc193810588 \h </w:instrText>
        </w:r>
        <w:r w:rsidR="007937B5">
          <w:rPr>
            <w:noProof/>
            <w:webHidden/>
          </w:rPr>
        </w:r>
        <w:r w:rsidR="007937B5">
          <w:rPr>
            <w:noProof/>
            <w:webHidden/>
          </w:rPr>
          <w:fldChar w:fldCharType="separate"/>
        </w:r>
        <w:r w:rsidR="007937B5">
          <w:rPr>
            <w:noProof/>
            <w:webHidden/>
          </w:rPr>
          <w:t>148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89" w:history="1">
        <w:r w:rsidR="007937B5" w:rsidRPr="0084432D">
          <w:rPr>
            <w:rStyle w:val="a3"/>
            <w:noProof/>
          </w:rPr>
          <w:t>2.9.2. Регулирование предельных оптовых и розничных надбавок к фактическим отпускным ценам производителей на жизненно необходимые и важнейшие лекарственные препараты</w:t>
        </w:r>
        <w:r w:rsidR="007937B5">
          <w:rPr>
            <w:noProof/>
            <w:webHidden/>
          </w:rPr>
          <w:tab/>
        </w:r>
        <w:r w:rsidR="007937B5">
          <w:rPr>
            <w:noProof/>
            <w:webHidden/>
          </w:rPr>
          <w:fldChar w:fldCharType="begin"/>
        </w:r>
        <w:r w:rsidR="007937B5">
          <w:rPr>
            <w:noProof/>
            <w:webHidden/>
          </w:rPr>
          <w:instrText xml:space="preserve"> PAGEREF _Toc193810589 \h </w:instrText>
        </w:r>
        <w:r w:rsidR="007937B5">
          <w:rPr>
            <w:noProof/>
            <w:webHidden/>
          </w:rPr>
        </w:r>
        <w:r w:rsidR="007937B5">
          <w:rPr>
            <w:noProof/>
            <w:webHidden/>
          </w:rPr>
          <w:fldChar w:fldCharType="separate"/>
        </w:r>
        <w:r w:rsidR="007937B5">
          <w:rPr>
            <w:noProof/>
            <w:webHidden/>
          </w:rPr>
          <w:t>149</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90" w:history="1">
        <w:r w:rsidR="007937B5" w:rsidRPr="0084432D">
          <w:rPr>
            <w:rStyle w:val="a3"/>
            <w:noProof/>
          </w:rPr>
          <w:t>2.10. Ставки на работы по технической инвентаризации жилищного фонда.</w:t>
        </w:r>
        <w:r w:rsidR="007937B5">
          <w:rPr>
            <w:noProof/>
            <w:webHidden/>
          </w:rPr>
          <w:tab/>
        </w:r>
        <w:r w:rsidR="007937B5">
          <w:rPr>
            <w:noProof/>
            <w:webHidden/>
          </w:rPr>
          <w:fldChar w:fldCharType="begin"/>
        </w:r>
        <w:r w:rsidR="007937B5">
          <w:rPr>
            <w:noProof/>
            <w:webHidden/>
          </w:rPr>
          <w:instrText xml:space="preserve"> PAGEREF _Toc193810590 \h </w:instrText>
        </w:r>
        <w:r w:rsidR="007937B5">
          <w:rPr>
            <w:noProof/>
            <w:webHidden/>
          </w:rPr>
        </w:r>
        <w:r w:rsidR="007937B5">
          <w:rPr>
            <w:noProof/>
            <w:webHidden/>
          </w:rPr>
          <w:fldChar w:fldCharType="separate"/>
        </w:r>
        <w:r w:rsidR="007937B5">
          <w:rPr>
            <w:noProof/>
            <w:webHidden/>
          </w:rPr>
          <w:t>151</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91" w:history="1">
        <w:r w:rsidR="007937B5" w:rsidRPr="0084432D">
          <w:rPr>
            <w:rStyle w:val="a3"/>
            <w:noProof/>
          </w:rPr>
          <w:t>3. Нормотворческая, правоприменительная и контрольная (надзорная) деятельность.</w:t>
        </w:r>
        <w:r w:rsidR="007937B5">
          <w:rPr>
            <w:noProof/>
            <w:webHidden/>
          </w:rPr>
          <w:tab/>
        </w:r>
        <w:r w:rsidR="007937B5">
          <w:rPr>
            <w:noProof/>
            <w:webHidden/>
          </w:rPr>
          <w:fldChar w:fldCharType="begin"/>
        </w:r>
        <w:r w:rsidR="007937B5">
          <w:rPr>
            <w:noProof/>
            <w:webHidden/>
          </w:rPr>
          <w:instrText xml:space="preserve"> PAGEREF _Toc193810591 \h </w:instrText>
        </w:r>
        <w:r w:rsidR="007937B5">
          <w:rPr>
            <w:noProof/>
            <w:webHidden/>
          </w:rPr>
        </w:r>
        <w:r w:rsidR="007937B5">
          <w:rPr>
            <w:noProof/>
            <w:webHidden/>
          </w:rPr>
          <w:fldChar w:fldCharType="separate"/>
        </w:r>
        <w:r w:rsidR="007937B5">
          <w:rPr>
            <w:noProof/>
            <w:webHidden/>
          </w:rPr>
          <w:t>152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2" w:history="1">
        <w:r w:rsidR="007937B5" w:rsidRPr="0084432D">
          <w:rPr>
            <w:rStyle w:val="a3"/>
            <w:noProof/>
          </w:rPr>
          <w:t>3.1. Нормотворческая и правоприменительная деятельность.</w:t>
        </w:r>
        <w:r w:rsidR="007937B5">
          <w:rPr>
            <w:noProof/>
            <w:webHidden/>
          </w:rPr>
          <w:tab/>
        </w:r>
        <w:r w:rsidR="007937B5">
          <w:rPr>
            <w:noProof/>
            <w:webHidden/>
          </w:rPr>
          <w:fldChar w:fldCharType="begin"/>
        </w:r>
        <w:r w:rsidR="007937B5">
          <w:rPr>
            <w:noProof/>
            <w:webHidden/>
          </w:rPr>
          <w:instrText xml:space="preserve"> PAGEREF _Toc193810592 \h </w:instrText>
        </w:r>
        <w:r w:rsidR="007937B5">
          <w:rPr>
            <w:noProof/>
            <w:webHidden/>
          </w:rPr>
        </w:r>
        <w:r w:rsidR="007937B5">
          <w:rPr>
            <w:noProof/>
            <w:webHidden/>
          </w:rPr>
          <w:fldChar w:fldCharType="separate"/>
        </w:r>
        <w:r w:rsidR="007937B5">
          <w:rPr>
            <w:noProof/>
            <w:webHidden/>
          </w:rPr>
          <w:t>152</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3" w:history="1">
        <w:r w:rsidR="007937B5" w:rsidRPr="0084432D">
          <w:rPr>
            <w:rStyle w:val="a3"/>
            <w:noProof/>
          </w:rPr>
          <w:t>3.2. Организация и функционирование системы внутреннего обеспечения соответствия требованиям антимонопольного законодательства деятельности департамента (далее – антимонопольный комплаенс</w:t>
        </w:r>
        <w:r w:rsidR="007937B5">
          <w:rPr>
            <w:noProof/>
            <w:webHidden/>
          </w:rPr>
          <w:tab/>
        </w:r>
        <w:r w:rsidR="007937B5">
          <w:rPr>
            <w:noProof/>
            <w:webHidden/>
          </w:rPr>
          <w:fldChar w:fldCharType="begin"/>
        </w:r>
        <w:r w:rsidR="007937B5">
          <w:rPr>
            <w:noProof/>
            <w:webHidden/>
          </w:rPr>
          <w:instrText xml:space="preserve"> PAGEREF _Toc193810593 \h </w:instrText>
        </w:r>
        <w:r w:rsidR="007937B5">
          <w:rPr>
            <w:noProof/>
            <w:webHidden/>
          </w:rPr>
        </w:r>
        <w:r w:rsidR="007937B5">
          <w:rPr>
            <w:noProof/>
            <w:webHidden/>
          </w:rPr>
          <w:fldChar w:fldCharType="separate"/>
        </w:r>
        <w:r w:rsidR="007937B5">
          <w:rPr>
            <w:noProof/>
            <w:webHidden/>
          </w:rPr>
          <w:t>153</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4" w:history="1">
        <w:r w:rsidR="007937B5" w:rsidRPr="0084432D">
          <w:rPr>
            <w:rStyle w:val="a3"/>
            <w:noProof/>
          </w:rPr>
          <w:t>3.3. Региональный государственный контроль (надзор) в области регулируемых государством цен (тарифов) (далее – государственный контроль (надзор).</w:t>
        </w:r>
        <w:r w:rsidR="007937B5">
          <w:rPr>
            <w:noProof/>
            <w:webHidden/>
          </w:rPr>
          <w:tab/>
        </w:r>
        <w:r w:rsidR="007937B5">
          <w:rPr>
            <w:noProof/>
            <w:webHidden/>
          </w:rPr>
          <w:fldChar w:fldCharType="begin"/>
        </w:r>
        <w:r w:rsidR="007937B5">
          <w:rPr>
            <w:noProof/>
            <w:webHidden/>
          </w:rPr>
          <w:instrText xml:space="preserve"> PAGEREF _Toc193810594 \h </w:instrText>
        </w:r>
        <w:r w:rsidR="007937B5">
          <w:rPr>
            <w:noProof/>
            <w:webHidden/>
          </w:rPr>
        </w:r>
        <w:r w:rsidR="007937B5">
          <w:rPr>
            <w:noProof/>
            <w:webHidden/>
          </w:rPr>
          <w:fldChar w:fldCharType="separate"/>
        </w:r>
        <w:r w:rsidR="007937B5">
          <w:rPr>
            <w:noProof/>
            <w:webHidden/>
          </w:rPr>
          <w:t>156</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5" w:history="1">
        <w:r w:rsidR="007937B5" w:rsidRPr="0084432D">
          <w:rPr>
            <w:rStyle w:val="a3"/>
            <w:noProof/>
          </w:rPr>
          <w:t>3.3. Участие в судопроизводстве (судебная практика).</w:t>
        </w:r>
        <w:r w:rsidR="007937B5">
          <w:rPr>
            <w:noProof/>
            <w:webHidden/>
          </w:rPr>
          <w:tab/>
        </w:r>
        <w:r w:rsidR="007937B5">
          <w:rPr>
            <w:noProof/>
            <w:webHidden/>
          </w:rPr>
          <w:fldChar w:fldCharType="begin"/>
        </w:r>
        <w:r w:rsidR="007937B5">
          <w:rPr>
            <w:noProof/>
            <w:webHidden/>
          </w:rPr>
          <w:instrText xml:space="preserve"> PAGEREF _Toc193810595 \h </w:instrText>
        </w:r>
        <w:r w:rsidR="007937B5">
          <w:rPr>
            <w:noProof/>
            <w:webHidden/>
          </w:rPr>
        </w:r>
        <w:r w:rsidR="007937B5">
          <w:rPr>
            <w:noProof/>
            <w:webHidden/>
          </w:rPr>
          <w:fldChar w:fldCharType="separate"/>
        </w:r>
        <w:r w:rsidR="007937B5">
          <w:rPr>
            <w:noProof/>
            <w:webHidden/>
          </w:rPr>
          <w:t>167</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96" w:history="1">
        <w:r w:rsidR="007937B5" w:rsidRPr="0084432D">
          <w:rPr>
            <w:rStyle w:val="a3"/>
            <w:noProof/>
          </w:rPr>
          <w:t>4. Прочие мероприятия в установленных сферах деятельности</w:t>
        </w:r>
        <w:r w:rsidR="007937B5">
          <w:rPr>
            <w:noProof/>
            <w:webHidden/>
          </w:rPr>
          <w:tab/>
        </w:r>
        <w:r w:rsidR="007937B5">
          <w:rPr>
            <w:noProof/>
            <w:webHidden/>
          </w:rPr>
          <w:fldChar w:fldCharType="begin"/>
        </w:r>
        <w:r w:rsidR="007937B5">
          <w:rPr>
            <w:noProof/>
            <w:webHidden/>
          </w:rPr>
          <w:instrText xml:space="preserve"> PAGEREF _Toc193810596 \h </w:instrText>
        </w:r>
        <w:r w:rsidR="007937B5">
          <w:rPr>
            <w:noProof/>
            <w:webHidden/>
          </w:rPr>
        </w:r>
        <w:r w:rsidR="007937B5">
          <w:rPr>
            <w:noProof/>
            <w:webHidden/>
          </w:rPr>
          <w:fldChar w:fldCharType="separate"/>
        </w:r>
        <w:r w:rsidR="007937B5">
          <w:rPr>
            <w:noProof/>
            <w:webHidden/>
          </w:rPr>
          <w:t>168</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7" w:history="1">
        <w:r w:rsidR="007937B5" w:rsidRPr="0084432D">
          <w:rPr>
            <w:rStyle w:val="a3"/>
            <w:noProof/>
          </w:rPr>
          <w:t>4.1 Межотраслевой совет потребителей по вопросам деятельности субъектов естественных монополий при Губернаторе Новосибирской области</w:t>
        </w:r>
        <w:r w:rsidR="007937B5">
          <w:rPr>
            <w:noProof/>
            <w:webHidden/>
          </w:rPr>
          <w:tab/>
        </w:r>
        <w:r w:rsidR="007937B5">
          <w:rPr>
            <w:noProof/>
            <w:webHidden/>
          </w:rPr>
          <w:fldChar w:fldCharType="begin"/>
        </w:r>
        <w:r w:rsidR="007937B5">
          <w:rPr>
            <w:noProof/>
            <w:webHidden/>
          </w:rPr>
          <w:instrText xml:space="preserve"> PAGEREF _Toc193810597 \h </w:instrText>
        </w:r>
        <w:r w:rsidR="007937B5">
          <w:rPr>
            <w:noProof/>
            <w:webHidden/>
          </w:rPr>
        </w:r>
        <w:r w:rsidR="007937B5">
          <w:rPr>
            <w:noProof/>
            <w:webHidden/>
          </w:rPr>
          <w:fldChar w:fldCharType="separate"/>
        </w:r>
        <w:r w:rsidR="007937B5">
          <w:rPr>
            <w:noProof/>
            <w:webHidden/>
          </w:rPr>
          <w:t>168</w:t>
        </w:r>
        <w:r w:rsidR="007937B5">
          <w:rPr>
            <w:noProof/>
            <w:webHidden/>
          </w:rPr>
          <w:fldChar w:fldCharType="end"/>
        </w:r>
      </w:hyperlink>
    </w:p>
    <w:p w:rsidR="007937B5" w:rsidRDefault="00382657">
      <w:pPr>
        <w:pStyle w:val="1a"/>
        <w:tabs>
          <w:tab w:val="right" w:pos="9345"/>
        </w:tabs>
        <w:rPr>
          <w:rFonts w:asciiTheme="minorHAnsi" w:eastAsiaTheme="minorEastAsia" w:hAnsiTheme="minorHAnsi" w:cstheme="minorBidi"/>
          <w:noProof/>
          <w:sz w:val="22"/>
          <w:szCs w:val="22"/>
        </w:rPr>
      </w:pPr>
      <w:hyperlink w:anchor="_Toc193810598" w:history="1">
        <w:r w:rsidR="007937B5" w:rsidRPr="0084432D">
          <w:rPr>
            <w:rStyle w:val="a3"/>
            <w:noProof/>
          </w:rPr>
          <w:t>5. Государственная гражданская служба в департаменте</w:t>
        </w:r>
        <w:r w:rsidR="007937B5">
          <w:rPr>
            <w:noProof/>
            <w:webHidden/>
          </w:rPr>
          <w:tab/>
        </w:r>
        <w:r w:rsidR="007937B5">
          <w:rPr>
            <w:noProof/>
            <w:webHidden/>
          </w:rPr>
          <w:fldChar w:fldCharType="begin"/>
        </w:r>
        <w:r w:rsidR="007937B5">
          <w:rPr>
            <w:noProof/>
            <w:webHidden/>
          </w:rPr>
          <w:instrText xml:space="preserve"> PAGEREF _Toc193810598 \h </w:instrText>
        </w:r>
        <w:r w:rsidR="007937B5">
          <w:rPr>
            <w:noProof/>
            <w:webHidden/>
          </w:rPr>
        </w:r>
        <w:r w:rsidR="007937B5">
          <w:rPr>
            <w:noProof/>
            <w:webHidden/>
          </w:rPr>
          <w:fldChar w:fldCharType="separate"/>
        </w:r>
        <w:r w:rsidR="007937B5">
          <w:rPr>
            <w:noProof/>
            <w:webHidden/>
          </w:rPr>
          <w:t>170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599" w:history="1">
        <w:r w:rsidR="007937B5" w:rsidRPr="0084432D">
          <w:rPr>
            <w:rStyle w:val="a3"/>
            <w:noProof/>
          </w:rPr>
          <w:t>5.1. Государственная гражданская служба в департаменте</w:t>
        </w:r>
        <w:r w:rsidR="007937B5">
          <w:rPr>
            <w:noProof/>
            <w:webHidden/>
          </w:rPr>
          <w:tab/>
        </w:r>
        <w:r w:rsidR="007937B5">
          <w:rPr>
            <w:noProof/>
            <w:webHidden/>
          </w:rPr>
          <w:fldChar w:fldCharType="begin"/>
        </w:r>
        <w:r w:rsidR="007937B5">
          <w:rPr>
            <w:noProof/>
            <w:webHidden/>
          </w:rPr>
          <w:instrText xml:space="preserve"> PAGEREF _Toc193810599 \h </w:instrText>
        </w:r>
        <w:r w:rsidR="007937B5">
          <w:rPr>
            <w:noProof/>
            <w:webHidden/>
          </w:rPr>
        </w:r>
        <w:r w:rsidR="007937B5">
          <w:rPr>
            <w:noProof/>
            <w:webHidden/>
          </w:rPr>
          <w:fldChar w:fldCharType="separate"/>
        </w:r>
        <w:r w:rsidR="007937B5">
          <w:rPr>
            <w:noProof/>
            <w:webHidden/>
          </w:rPr>
          <w:t>170</w:t>
        </w:r>
        <w:r w:rsidR="007937B5">
          <w:rPr>
            <w:noProof/>
            <w:webHidden/>
          </w:rPr>
          <w:fldChar w:fldCharType="end"/>
        </w:r>
      </w:hyperlink>
    </w:p>
    <w:p w:rsidR="007937B5" w:rsidRDefault="00382657">
      <w:pPr>
        <w:pStyle w:val="2a"/>
        <w:tabs>
          <w:tab w:val="right" w:pos="9345"/>
        </w:tabs>
        <w:rPr>
          <w:rFonts w:asciiTheme="minorHAnsi" w:eastAsiaTheme="minorEastAsia" w:hAnsiTheme="minorHAnsi" w:cstheme="minorBidi"/>
          <w:noProof/>
          <w:sz w:val="22"/>
          <w:szCs w:val="22"/>
        </w:rPr>
      </w:pPr>
      <w:hyperlink w:anchor="_Toc193810600" w:history="1">
        <w:r w:rsidR="007937B5" w:rsidRPr="0084432D">
          <w:rPr>
            <w:rStyle w:val="a3"/>
            <w:noProof/>
          </w:rPr>
          <w:t>5.2. Реализация мероприятий по противодействию коррупции в департаменте.</w:t>
        </w:r>
        <w:r w:rsidR="007937B5">
          <w:rPr>
            <w:noProof/>
            <w:webHidden/>
          </w:rPr>
          <w:tab/>
        </w:r>
        <w:r w:rsidR="007937B5">
          <w:rPr>
            <w:noProof/>
            <w:webHidden/>
          </w:rPr>
          <w:fldChar w:fldCharType="begin"/>
        </w:r>
        <w:r w:rsidR="007937B5">
          <w:rPr>
            <w:noProof/>
            <w:webHidden/>
          </w:rPr>
          <w:instrText xml:space="preserve"> PAGEREF _Toc193810600 \h </w:instrText>
        </w:r>
        <w:r w:rsidR="007937B5">
          <w:rPr>
            <w:noProof/>
            <w:webHidden/>
          </w:rPr>
        </w:r>
        <w:r w:rsidR="007937B5">
          <w:rPr>
            <w:noProof/>
            <w:webHidden/>
          </w:rPr>
          <w:fldChar w:fldCharType="separate"/>
        </w:r>
        <w:r w:rsidR="007937B5">
          <w:rPr>
            <w:noProof/>
            <w:webHidden/>
          </w:rPr>
          <w:t>173</w:t>
        </w:r>
        <w:r w:rsidR="007937B5">
          <w:rPr>
            <w:noProof/>
            <w:webHidden/>
          </w:rPr>
          <w:fldChar w:fldCharType="end"/>
        </w:r>
      </w:hyperlink>
    </w:p>
    <w:p w:rsidR="00A712E1" w:rsidRPr="004A38BE" w:rsidRDefault="007E4796" w:rsidP="00201A7D">
      <w:pPr>
        <w:pStyle w:val="20231"/>
      </w:pPr>
      <w:r>
        <w:fldChar w:fldCharType="end"/>
      </w:r>
      <w:r>
        <w:rPr>
          <w:szCs w:val="28"/>
        </w:rPr>
        <w:br w:type="page"/>
      </w:r>
      <w:bookmarkStart w:id="1" w:name="_Toc162431890"/>
      <w:bookmarkStart w:id="2" w:name="_Toc193810513"/>
      <w:bookmarkStart w:id="3" w:name="_Toc131067896"/>
      <w:r w:rsidR="00A712E1" w:rsidRPr="004A38BE">
        <w:lastRenderedPageBreak/>
        <w:t>1. Общие положения</w:t>
      </w:r>
      <w:bookmarkEnd w:id="1"/>
      <w:bookmarkEnd w:id="2"/>
    </w:p>
    <w:p w:rsidR="005A5E13" w:rsidRDefault="005A5E13" w:rsidP="005A5E13">
      <w:pPr>
        <w:pStyle w:val="4"/>
      </w:pPr>
      <w:bookmarkStart w:id="4" w:name="_Toc193810514"/>
      <w:bookmarkStart w:id="5" w:name="_Toc162431891"/>
      <w:bookmarkEnd w:id="3"/>
      <w:r w:rsidRPr="005A5E13">
        <w:t>1.1. Нормативно-правовые основы деятельности департамента</w:t>
      </w:r>
      <w:bookmarkEnd w:id="4"/>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szCs w:val="28"/>
        </w:rPr>
        <w:t xml:space="preserve">Департамент по тарифам Новосибирской области </w:t>
      </w:r>
      <w:r w:rsidRPr="00ED5BCA">
        <w:rPr>
          <w:szCs w:val="28"/>
        </w:rPr>
        <w:t>(далее – департамент)</w:t>
      </w:r>
      <w:r w:rsidRPr="002C2505">
        <w:rPr>
          <w:szCs w:val="28"/>
        </w:rPr>
        <w:t xml:space="preserve"> является областным исполнительным органом Новосибирской области, осуществляющим исполнительно-распорядительную деятельность и нормативное правовое регулирование в сфере государственного регулирования цен (тарифов) и ценообразования, а также </w:t>
      </w:r>
      <w:r w:rsidRPr="002C2505">
        <w:rPr>
          <w:rFonts w:eastAsiaTheme="minorHAnsi"/>
          <w:szCs w:val="28"/>
          <w:lang w:eastAsia="en-US"/>
        </w:rPr>
        <w:t xml:space="preserve">региональный государственный контроль (надзор) </w:t>
      </w:r>
      <w:r w:rsidRPr="002C2505">
        <w:rPr>
          <w:szCs w:val="28"/>
        </w:rPr>
        <w:t>в области государственного регулирования цен (тарифов).</w:t>
      </w:r>
    </w:p>
    <w:p w:rsidR="00DB0113" w:rsidRPr="002C2505" w:rsidRDefault="00DB0113" w:rsidP="00DB0113">
      <w:pPr>
        <w:autoSpaceDE w:val="0"/>
        <w:autoSpaceDN w:val="0"/>
        <w:adjustRightInd w:val="0"/>
        <w:spacing w:after="0" w:line="240" w:lineRule="auto"/>
        <w:ind w:firstLine="851"/>
        <w:jc w:val="both"/>
        <w:rPr>
          <w:szCs w:val="28"/>
        </w:rPr>
      </w:pPr>
      <w:r w:rsidRPr="002C2505">
        <w:rPr>
          <w:szCs w:val="28"/>
        </w:rPr>
        <w:t>Полномочия департамента определены Положением о департаменте, утвержденным постановлением Правительства Новосибирской области от 25.02.2013 № 74-п (далее – Положение о департаменте), на основании:</w:t>
      </w:r>
    </w:p>
    <w:p w:rsidR="00DB0113" w:rsidRPr="002C2505" w:rsidRDefault="00DB0113" w:rsidP="00DB0113">
      <w:pPr>
        <w:autoSpaceDE w:val="0"/>
        <w:autoSpaceDN w:val="0"/>
        <w:adjustRightInd w:val="0"/>
        <w:spacing w:after="0" w:line="240" w:lineRule="auto"/>
        <w:ind w:firstLine="851"/>
        <w:jc w:val="both"/>
        <w:rPr>
          <w:szCs w:val="28"/>
        </w:rPr>
      </w:pPr>
      <w:r w:rsidRPr="002C2505">
        <w:rPr>
          <w:szCs w:val="28"/>
        </w:rPr>
        <w:t xml:space="preserve">-положений нормативных правовых актов </w:t>
      </w:r>
      <w:r w:rsidRPr="002C2505">
        <w:rPr>
          <w:rFonts w:eastAsiaTheme="minorHAnsi"/>
          <w:szCs w:val="28"/>
          <w:lang w:eastAsia="en-US"/>
        </w:rPr>
        <w:t>Российской Федерации</w:t>
      </w:r>
      <w:r>
        <w:rPr>
          <w:szCs w:val="28"/>
        </w:rPr>
        <w:t xml:space="preserve"> по вопросам в установленной сфере деятельности </w:t>
      </w:r>
      <w:r w:rsidRPr="002C2505">
        <w:rPr>
          <w:rFonts w:eastAsiaTheme="minorHAnsi"/>
          <w:szCs w:val="28"/>
          <w:lang w:eastAsia="en-US"/>
        </w:rPr>
        <w:t>исполнительн</w:t>
      </w:r>
      <w:r>
        <w:rPr>
          <w:rFonts w:eastAsiaTheme="minorHAnsi"/>
          <w:szCs w:val="28"/>
          <w:lang w:eastAsia="en-US"/>
        </w:rPr>
        <w:t>ых</w:t>
      </w:r>
      <w:r w:rsidRPr="002C2505">
        <w:rPr>
          <w:rFonts w:eastAsiaTheme="minorHAnsi"/>
          <w:szCs w:val="28"/>
          <w:lang w:eastAsia="en-US"/>
        </w:rPr>
        <w:t xml:space="preserve"> орган</w:t>
      </w:r>
      <w:r>
        <w:rPr>
          <w:rFonts w:eastAsiaTheme="minorHAnsi"/>
          <w:szCs w:val="28"/>
          <w:lang w:eastAsia="en-US"/>
        </w:rPr>
        <w:t>ов</w:t>
      </w:r>
      <w:r w:rsidRPr="002C2505">
        <w:rPr>
          <w:rFonts w:eastAsiaTheme="minorHAnsi"/>
          <w:szCs w:val="28"/>
          <w:lang w:eastAsia="en-US"/>
        </w:rPr>
        <w:t xml:space="preserve"> субъект</w:t>
      </w:r>
      <w:r>
        <w:rPr>
          <w:rFonts w:eastAsiaTheme="minorHAnsi"/>
          <w:szCs w:val="28"/>
          <w:lang w:eastAsia="en-US"/>
        </w:rPr>
        <w:t>ов</w:t>
      </w:r>
      <w:r w:rsidRPr="002C2505">
        <w:rPr>
          <w:rFonts w:eastAsiaTheme="minorHAnsi"/>
          <w:szCs w:val="28"/>
          <w:lang w:eastAsia="en-US"/>
        </w:rPr>
        <w:t xml:space="preserve"> Российской Федерации в области государственного регулирования тарифов</w:t>
      </w:r>
      <w:r w:rsidRPr="002C2505">
        <w:rPr>
          <w:szCs w:val="28"/>
        </w:rPr>
        <w:t>;</w:t>
      </w:r>
    </w:p>
    <w:p w:rsidR="00DB0113" w:rsidRPr="002C2505" w:rsidRDefault="00DB0113" w:rsidP="00DB0113">
      <w:pPr>
        <w:autoSpaceDE w:val="0"/>
        <w:autoSpaceDN w:val="0"/>
        <w:adjustRightInd w:val="0"/>
        <w:spacing w:after="0" w:line="240" w:lineRule="auto"/>
        <w:ind w:firstLine="851"/>
        <w:jc w:val="both"/>
        <w:rPr>
          <w:rFonts w:eastAsiaTheme="minorHAnsi"/>
          <w:lang w:eastAsia="en-US"/>
        </w:rPr>
      </w:pPr>
      <w:r w:rsidRPr="002C2505">
        <w:rPr>
          <w:rFonts w:eastAsiaTheme="minorHAnsi"/>
          <w:szCs w:val="28"/>
          <w:lang w:eastAsia="en-US"/>
        </w:rPr>
        <w:t xml:space="preserve">-Типового положения об исполнительном органе субъекта Российской Федерации в области государственного регулирования тарифов, утвержденного </w:t>
      </w:r>
      <w:hyperlink r:id="rId9" w:history="1">
        <w:r w:rsidRPr="002C2505">
          <w:rPr>
            <w:rFonts w:eastAsiaTheme="minorHAnsi"/>
            <w:szCs w:val="28"/>
            <w:lang w:eastAsia="en-US"/>
          </w:rPr>
          <w:t>постановлением</w:t>
        </w:r>
      </w:hyperlink>
      <w:r w:rsidRPr="002C2505">
        <w:rPr>
          <w:rFonts w:eastAsiaTheme="minorHAnsi"/>
          <w:szCs w:val="28"/>
          <w:lang w:eastAsia="en-US"/>
        </w:rPr>
        <w:t xml:space="preserve"> Правительства Российской Федерации от 21.02.2011 № 97</w:t>
      </w:r>
      <w:r w:rsidRPr="002C2505">
        <w:rPr>
          <w:szCs w:val="28"/>
        </w:rPr>
        <w:t>.</w:t>
      </w:r>
    </w:p>
    <w:p w:rsidR="00DB0113" w:rsidRPr="002C2505" w:rsidRDefault="00DB0113" w:rsidP="00DB0113">
      <w:pPr>
        <w:autoSpaceDE w:val="0"/>
        <w:autoSpaceDN w:val="0"/>
        <w:adjustRightInd w:val="0"/>
        <w:spacing w:after="0" w:line="240" w:lineRule="auto"/>
        <w:ind w:firstLine="851"/>
        <w:jc w:val="both"/>
        <w:rPr>
          <w:rFonts w:eastAsiaTheme="minorHAnsi"/>
          <w:szCs w:val="28"/>
          <w:lang w:eastAsia="en-US"/>
        </w:rPr>
      </w:pPr>
      <w:r w:rsidRPr="002C2505">
        <w:rPr>
          <w:rFonts w:eastAsiaTheme="minorHAnsi"/>
          <w:szCs w:val="28"/>
          <w:lang w:eastAsia="en-US"/>
        </w:rPr>
        <w:t xml:space="preserve">Актуальная редакция </w:t>
      </w:r>
      <w:r>
        <w:rPr>
          <w:rFonts w:eastAsiaTheme="minorHAnsi"/>
          <w:szCs w:val="28"/>
          <w:lang w:eastAsia="en-US"/>
        </w:rPr>
        <w:t xml:space="preserve">текста </w:t>
      </w:r>
      <w:r w:rsidRPr="002C2505">
        <w:rPr>
          <w:rFonts w:eastAsiaTheme="minorHAnsi"/>
          <w:szCs w:val="28"/>
          <w:lang w:eastAsia="en-US"/>
        </w:rPr>
        <w:t xml:space="preserve">Положения о департаменте размещена на официальном сайте департамента в информационно-телекоммуникационной сети Интернет </w:t>
      </w:r>
      <w:hyperlink r:id="rId10" w:history="1">
        <w:r w:rsidRPr="00EA62F5">
          <w:rPr>
            <w:rStyle w:val="a3"/>
            <w:szCs w:val="28"/>
            <w:shd w:val="clear" w:color="auto" w:fill="FFFFFF"/>
          </w:rPr>
          <w:t>https://tarif.nso.ru</w:t>
        </w:r>
      </w:hyperlink>
      <w:r w:rsidRPr="002C2505">
        <w:rPr>
          <w:rFonts w:eastAsiaTheme="minorHAnsi"/>
          <w:szCs w:val="28"/>
          <w:lang w:eastAsia="en-US"/>
        </w:rPr>
        <w:t xml:space="preserve"> (</w:t>
      </w:r>
      <w:r>
        <w:rPr>
          <w:rFonts w:eastAsiaTheme="minorHAnsi"/>
          <w:szCs w:val="28"/>
          <w:lang w:eastAsia="en-US"/>
        </w:rPr>
        <w:t xml:space="preserve">раздел «Документы / Положение об органе власти», </w:t>
      </w:r>
      <w:hyperlink r:id="rId11" w:history="1">
        <w:r w:rsidRPr="0076628A">
          <w:rPr>
            <w:rStyle w:val="a3"/>
            <w:rFonts w:eastAsiaTheme="minorHAnsi"/>
            <w:szCs w:val="28"/>
            <w:lang w:eastAsia="en-US"/>
          </w:rPr>
          <w:t>https://tarif.nso.ru/page/41</w:t>
        </w:r>
      </w:hyperlink>
      <w:r>
        <w:rPr>
          <w:rFonts w:eastAsiaTheme="minorHAnsi"/>
          <w:szCs w:val="28"/>
          <w:lang w:eastAsia="en-US"/>
        </w:rPr>
        <w:t xml:space="preserve"> </w:t>
      </w:r>
      <w:r w:rsidRPr="002C2505">
        <w:rPr>
          <w:rFonts w:eastAsiaTheme="minorHAnsi"/>
          <w:szCs w:val="28"/>
          <w:lang w:eastAsia="en-US"/>
        </w:rPr>
        <w:t>).</w:t>
      </w:r>
    </w:p>
    <w:p w:rsidR="00DB0113" w:rsidRPr="002C2505" w:rsidRDefault="00DB0113" w:rsidP="00DB0113">
      <w:pPr>
        <w:autoSpaceDE w:val="0"/>
        <w:autoSpaceDN w:val="0"/>
        <w:adjustRightInd w:val="0"/>
        <w:spacing w:after="0" w:line="240" w:lineRule="auto"/>
        <w:ind w:firstLine="709"/>
        <w:jc w:val="both"/>
        <w:rPr>
          <w:szCs w:val="28"/>
        </w:rPr>
      </w:pPr>
      <w:r w:rsidRPr="002C2505">
        <w:rPr>
          <w:rFonts w:eastAsiaTheme="minorHAnsi"/>
          <w:szCs w:val="28"/>
          <w:lang w:eastAsia="en-US"/>
        </w:rPr>
        <w:t xml:space="preserve">Порядок организации и осуществления департаментом регионального государственного контроля (надзора) в области государственного регулирования цен (тарифов) установлен постановлением Правительства Новосибирской области от 28.09.2021 № 384-п </w:t>
      </w:r>
      <w:r w:rsidRPr="002C2505">
        <w:rPr>
          <w:szCs w:val="28"/>
        </w:rPr>
        <w:t xml:space="preserve">«О региональном государственном контроле (надзоре) в области государственного регулирования цен (тарифов)» (далее – Постановление № 384-п). </w:t>
      </w:r>
    </w:p>
    <w:p w:rsidR="00DB0113" w:rsidRPr="002C2505" w:rsidRDefault="00DB0113" w:rsidP="00DB0113">
      <w:pPr>
        <w:tabs>
          <w:tab w:val="left" w:pos="851"/>
        </w:tabs>
        <w:autoSpaceDE w:val="0"/>
        <w:autoSpaceDN w:val="0"/>
        <w:adjustRightInd w:val="0"/>
        <w:spacing w:after="0" w:line="240" w:lineRule="auto"/>
        <w:ind w:firstLine="709"/>
        <w:jc w:val="both"/>
        <w:rPr>
          <w:rFonts w:eastAsiaTheme="minorHAnsi"/>
          <w:szCs w:val="28"/>
          <w:lang w:eastAsia="en-US"/>
        </w:rPr>
      </w:pPr>
      <w:r w:rsidRPr="002C2505">
        <w:rPr>
          <w:rFonts w:eastAsiaTheme="minorHAnsi"/>
          <w:szCs w:val="28"/>
          <w:lang w:eastAsia="en-US"/>
        </w:rPr>
        <w:t xml:space="preserve">Актуальная редакция </w:t>
      </w:r>
      <w:r>
        <w:rPr>
          <w:rFonts w:eastAsiaTheme="minorHAnsi"/>
          <w:szCs w:val="28"/>
          <w:lang w:eastAsia="en-US"/>
        </w:rPr>
        <w:t xml:space="preserve">текста </w:t>
      </w:r>
      <w:r w:rsidRPr="002C2505">
        <w:rPr>
          <w:szCs w:val="28"/>
        </w:rPr>
        <w:t>Постановления № 384-п</w:t>
      </w:r>
      <w:r w:rsidRPr="002C2505">
        <w:rPr>
          <w:rFonts w:eastAsiaTheme="minorHAnsi"/>
          <w:szCs w:val="28"/>
          <w:lang w:eastAsia="en-US"/>
        </w:rPr>
        <w:t xml:space="preserve"> размещена на официальном сайте департамента в информационно-телекоммуникационной сети Интернет </w:t>
      </w:r>
      <w:r>
        <w:rPr>
          <w:rFonts w:eastAsiaTheme="minorHAnsi"/>
          <w:szCs w:val="28"/>
          <w:lang w:eastAsia="en-US"/>
        </w:rPr>
        <w:t xml:space="preserve">(раздел «Деятельность / Контрольно-надзорная деятельность / Положения (порядки) о видах </w:t>
      </w:r>
      <w:r w:rsidRPr="002C2505">
        <w:rPr>
          <w:szCs w:val="28"/>
        </w:rPr>
        <w:t>регионально</w:t>
      </w:r>
      <w:r>
        <w:rPr>
          <w:szCs w:val="28"/>
        </w:rPr>
        <w:t>го</w:t>
      </w:r>
      <w:r w:rsidRPr="002C2505">
        <w:rPr>
          <w:szCs w:val="28"/>
        </w:rPr>
        <w:t xml:space="preserve"> государственно</w:t>
      </w:r>
      <w:r>
        <w:rPr>
          <w:szCs w:val="28"/>
        </w:rPr>
        <w:t xml:space="preserve">го </w:t>
      </w:r>
      <w:r w:rsidRPr="002C2505">
        <w:rPr>
          <w:szCs w:val="28"/>
        </w:rPr>
        <w:t>контрол</w:t>
      </w:r>
      <w:r>
        <w:rPr>
          <w:szCs w:val="28"/>
        </w:rPr>
        <w:t>я</w:t>
      </w:r>
      <w:r w:rsidRPr="002C2505">
        <w:rPr>
          <w:szCs w:val="28"/>
        </w:rPr>
        <w:t xml:space="preserve"> (надзор</w:t>
      </w:r>
      <w:r>
        <w:rPr>
          <w:szCs w:val="28"/>
        </w:rPr>
        <w:t>а</w:t>
      </w:r>
      <w:r w:rsidRPr="002C2505">
        <w:rPr>
          <w:szCs w:val="28"/>
        </w:rPr>
        <w:t>)</w:t>
      </w:r>
      <w:r>
        <w:rPr>
          <w:szCs w:val="28"/>
        </w:rPr>
        <w:t>»</w:t>
      </w:r>
      <w:r>
        <w:rPr>
          <w:rFonts w:eastAsiaTheme="minorHAnsi"/>
          <w:szCs w:val="28"/>
          <w:lang w:eastAsia="en-US"/>
        </w:rPr>
        <w:t xml:space="preserve">, </w:t>
      </w:r>
      <w:hyperlink r:id="rId12" w:history="1">
        <w:r w:rsidRPr="002C2505">
          <w:rPr>
            <w:rStyle w:val="a3"/>
            <w:rFonts w:eastAsiaTheme="minorHAnsi"/>
            <w:szCs w:val="28"/>
            <w:lang w:eastAsia="en-US"/>
          </w:rPr>
          <w:t>https://tarif.nso.ru/page/388</w:t>
        </w:r>
      </w:hyperlink>
      <w:r w:rsidRPr="002C2505">
        <w:rPr>
          <w:rFonts w:eastAsiaTheme="minorHAnsi"/>
          <w:szCs w:val="28"/>
          <w:lang w:eastAsia="en-US"/>
        </w:rPr>
        <w:t xml:space="preserve"> </w:t>
      </w:r>
      <w:r w:rsidRPr="002C2505">
        <w:rPr>
          <w:szCs w:val="28"/>
        </w:rPr>
        <w:t xml:space="preserve">). </w:t>
      </w:r>
    </w:p>
    <w:p w:rsidR="00DB0113" w:rsidRPr="002C2505" w:rsidRDefault="00DB0113" w:rsidP="00DB0113">
      <w:pPr>
        <w:pStyle w:val="1"/>
        <w:rPr>
          <w:noProof/>
        </w:rPr>
      </w:pPr>
    </w:p>
    <w:p w:rsidR="00A712E1" w:rsidRPr="00B020B9" w:rsidRDefault="00A712E1" w:rsidP="00A712E1">
      <w:pPr>
        <w:pStyle w:val="4"/>
      </w:pPr>
      <w:bookmarkStart w:id="6" w:name="_Toc131067897"/>
      <w:bookmarkStart w:id="7" w:name="_Toc162431892"/>
      <w:bookmarkStart w:id="8" w:name="_Toc193810515"/>
      <w:bookmarkEnd w:id="5"/>
      <w:r w:rsidRPr="00B020B9">
        <w:t>1.2. Цели и задачи</w:t>
      </w:r>
      <w:bookmarkEnd w:id="6"/>
      <w:bookmarkEnd w:id="7"/>
      <w:bookmarkEnd w:id="8"/>
      <w:r w:rsidRPr="00B020B9">
        <w:t xml:space="preserve"> </w:t>
      </w:r>
    </w:p>
    <w:p w:rsidR="00A712E1" w:rsidRPr="00531EB8" w:rsidRDefault="00A712E1" w:rsidP="00A712E1">
      <w:pPr>
        <w:spacing w:after="0" w:line="240" w:lineRule="auto"/>
        <w:ind w:firstLine="709"/>
        <w:jc w:val="both"/>
        <w:rPr>
          <w:szCs w:val="28"/>
        </w:rPr>
      </w:pPr>
      <w:r w:rsidRPr="00531EB8">
        <w:rPr>
          <w:szCs w:val="28"/>
        </w:rPr>
        <w:t xml:space="preserve">Целью деятельности </w:t>
      </w:r>
      <w:r>
        <w:rPr>
          <w:szCs w:val="28"/>
        </w:rPr>
        <w:t>д</w:t>
      </w:r>
      <w:r w:rsidRPr="00531EB8">
        <w:rPr>
          <w:szCs w:val="28"/>
        </w:rPr>
        <w:t xml:space="preserve">епартамента является обеспечение сбалансированности и долгосрочной стабильности регулируемых рынков товаров и услуг в инфраструктурных секторах экономики на территории Новосибирской области. </w:t>
      </w:r>
    </w:p>
    <w:p w:rsidR="00A712E1" w:rsidRPr="00531EB8" w:rsidRDefault="00A712E1" w:rsidP="00A712E1">
      <w:pPr>
        <w:spacing w:after="0" w:line="240" w:lineRule="auto"/>
        <w:ind w:firstLine="709"/>
        <w:jc w:val="both"/>
        <w:rPr>
          <w:szCs w:val="28"/>
        </w:rPr>
      </w:pPr>
      <w:r w:rsidRPr="00531EB8">
        <w:rPr>
          <w:szCs w:val="28"/>
        </w:rPr>
        <w:t>Достижение цели предполагает решение следующих стратегических задач:</w:t>
      </w:r>
    </w:p>
    <w:p w:rsidR="00A712E1" w:rsidRPr="00531EB8" w:rsidRDefault="00A712E1" w:rsidP="00A712E1">
      <w:pPr>
        <w:spacing w:after="0" w:line="240" w:lineRule="auto"/>
        <w:ind w:firstLine="709"/>
        <w:jc w:val="both"/>
        <w:rPr>
          <w:szCs w:val="28"/>
        </w:rPr>
      </w:pPr>
      <w:r w:rsidRPr="00531EB8">
        <w:rPr>
          <w:szCs w:val="28"/>
        </w:rPr>
        <w:lastRenderedPageBreak/>
        <w:t>1) обеспечение эффективного и стабильного государственного регулирования цен и тарифов на территории Новосибирской области;</w:t>
      </w:r>
    </w:p>
    <w:p w:rsidR="00A712E1" w:rsidRDefault="00A712E1" w:rsidP="00A712E1">
      <w:pPr>
        <w:autoSpaceDE w:val="0"/>
        <w:autoSpaceDN w:val="0"/>
        <w:adjustRightInd w:val="0"/>
        <w:spacing w:after="0" w:line="240" w:lineRule="auto"/>
        <w:ind w:firstLine="709"/>
        <w:jc w:val="both"/>
        <w:rPr>
          <w:rFonts w:eastAsiaTheme="minorHAnsi"/>
          <w:szCs w:val="28"/>
          <w:lang w:eastAsia="en-US"/>
        </w:rPr>
      </w:pPr>
      <w:r w:rsidRPr="00531EB8">
        <w:rPr>
          <w:szCs w:val="28"/>
        </w:rPr>
        <w:t>2) повышение эффективности осуществляемого</w:t>
      </w:r>
      <w:r>
        <w:rPr>
          <w:szCs w:val="28"/>
        </w:rPr>
        <w:t xml:space="preserve"> д</w:t>
      </w:r>
      <w:r w:rsidRPr="00531EB8">
        <w:rPr>
          <w:szCs w:val="28"/>
        </w:rPr>
        <w:t xml:space="preserve">епартаментом регионального контроля (надзора) </w:t>
      </w:r>
      <w:r w:rsidRPr="00531EB8">
        <w:rPr>
          <w:rFonts w:eastAsiaTheme="minorHAnsi"/>
          <w:szCs w:val="28"/>
          <w:lang w:eastAsia="en-US"/>
        </w:rPr>
        <w:t xml:space="preserve">в сферах, указанных в </w:t>
      </w:r>
      <w:hyperlink r:id="rId13" w:history="1">
        <w:r w:rsidRPr="00531EB8">
          <w:rPr>
            <w:rFonts w:eastAsiaTheme="minorHAnsi"/>
            <w:szCs w:val="28"/>
            <w:lang w:eastAsia="en-US"/>
          </w:rPr>
          <w:t>подпункте 4 пункта 7</w:t>
        </w:r>
      </w:hyperlink>
      <w:r>
        <w:rPr>
          <w:rFonts w:eastAsiaTheme="minorHAnsi"/>
          <w:szCs w:val="28"/>
          <w:lang w:eastAsia="en-US"/>
        </w:rPr>
        <w:t xml:space="preserve"> </w:t>
      </w:r>
      <w:r w:rsidRPr="00531EB8">
        <w:rPr>
          <w:rFonts w:eastAsiaTheme="minorHAnsi"/>
          <w:szCs w:val="28"/>
          <w:lang w:eastAsia="en-US"/>
        </w:rPr>
        <w:t xml:space="preserve">Положения о </w:t>
      </w:r>
      <w:r>
        <w:rPr>
          <w:rFonts w:eastAsiaTheme="minorHAnsi"/>
          <w:szCs w:val="28"/>
          <w:lang w:eastAsia="en-US"/>
        </w:rPr>
        <w:t>д</w:t>
      </w:r>
      <w:r w:rsidRPr="00531EB8">
        <w:rPr>
          <w:rFonts w:eastAsiaTheme="minorHAnsi"/>
          <w:szCs w:val="28"/>
          <w:lang w:eastAsia="en-US"/>
        </w:rPr>
        <w:t>епартаменте.</w:t>
      </w:r>
    </w:p>
    <w:p w:rsidR="00A712E1" w:rsidRPr="00137C0B" w:rsidRDefault="00A712E1" w:rsidP="00137C0B">
      <w:pPr>
        <w:pStyle w:val="4"/>
      </w:pPr>
      <w:bookmarkStart w:id="9" w:name="_Toc131067898"/>
      <w:bookmarkStart w:id="10" w:name="_Toc162431893"/>
      <w:bookmarkStart w:id="11" w:name="_Toc193810516"/>
      <w:r w:rsidRPr="00137C0B">
        <w:t>1.3. Итоги работы Правления департамента</w:t>
      </w:r>
      <w:bookmarkEnd w:id="9"/>
      <w:bookmarkEnd w:id="10"/>
      <w:bookmarkEnd w:id="11"/>
    </w:p>
    <w:p w:rsidR="00A712E1" w:rsidRPr="00BB3E3E" w:rsidRDefault="00A712E1" w:rsidP="00A712E1">
      <w:pPr>
        <w:spacing w:after="0" w:line="240" w:lineRule="auto"/>
        <w:ind w:firstLine="709"/>
        <w:jc w:val="both"/>
        <w:rPr>
          <w:szCs w:val="28"/>
        </w:rPr>
      </w:pPr>
      <w:r w:rsidRPr="00BB3E3E">
        <w:rPr>
          <w:szCs w:val="28"/>
        </w:rPr>
        <w:t xml:space="preserve">В соответствии с постановлением администрации Новосибирской области от 25.05.2005 № 15 «О создании правления в департаменте по тарифам Новосибирской области» (с учетом внесенных изменений) и пунктами 37, 38 Положения о </w:t>
      </w:r>
      <w:r>
        <w:rPr>
          <w:szCs w:val="28"/>
        </w:rPr>
        <w:t>д</w:t>
      </w:r>
      <w:r w:rsidRPr="00BB3E3E">
        <w:rPr>
          <w:szCs w:val="28"/>
        </w:rPr>
        <w:t>епартаменте:</w:t>
      </w:r>
    </w:p>
    <w:p w:rsidR="00A712E1" w:rsidRPr="00BB3E3E" w:rsidRDefault="00A712E1" w:rsidP="00A712E1">
      <w:pPr>
        <w:spacing w:after="0" w:line="240" w:lineRule="auto"/>
        <w:ind w:firstLine="709"/>
        <w:jc w:val="both"/>
        <w:rPr>
          <w:szCs w:val="28"/>
        </w:rPr>
      </w:pPr>
      <w:r>
        <w:rPr>
          <w:szCs w:val="28"/>
        </w:rPr>
        <w:t>1) </w:t>
      </w:r>
      <w:r w:rsidRPr="00BB3E3E">
        <w:rPr>
          <w:szCs w:val="28"/>
        </w:rPr>
        <w:t xml:space="preserve">для определения основных направлений деятельности </w:t>
      </w:r>
      <w:r>
        <w:rPr>
          <w:szCs w:val="28"/>
        </w:rPr>
        <w:t>д</w:t>
      </w:r>
      <w:r w:rsidRPr="00BB3E3E">
        <w:rPr>
          <w:szCs w:val="28"/>
        </w:rPr>
        <w:t xml:space="preserve">епартамента и принятия решений об утверждении цен (тарифов) и их предельных уровней в </w:t>
      </w:r>
      <w:r>
        <w:rPr>
          <w:szCs w:val="28"/>
        </w:rPr>
        <w:t>д</w:t>
      </w:r>
      <w:r w:rsidRPr="00BB3E3E">
        <w:rPr>
          <w:szCs w:val="28"/>
        </w:rPr>
        <w:t xml:space="preserve">епартаменте образован коллегиальный орган </w:t>
      </w:r>
      <w:r>
        <w:rPr>
          <w:szCs w:val="28"/>
        </w:rPr>
        <w:t>–</w:t>
      </w:r>
      <w:r w:rsidRPr="00BB3E3E">
        <w:rPr>
          <w:szCs w:val="28"/>
        </w:rPr>
        <w:t xml:space="preserve"> </w:t>
      </w:r>
      <w:r>
        <w:rPr>
          <w:szCs w:val="28"/>
        </w:rPr>
        <w:t>П</w:t>
      </w:r>
      <w:r w:rsidRPr="00BB3E3E">
        <w:rPr>
          <w:szCs w:val="28"/>
        </w:rPr>
        <w:t>равление</w:t>
      </w:r>
      <w:r>
        <w:rPr>
          <w:szCs w:val="28"/>
        </w:rPr>
        <w:t xml:space="preserve"> </w:t>
      </w:r>
      <w:r w:rsidRPr="00BB3E3E">
        <w:rPr>
          <w:szCs w:val="28"/>
        </w:rPr>
        <w:t xml:space="preserve">общей численностью 8 человек, в состав которого без права передачи полномочий иным лицам входят: </w:t>
      </w:r>
    </w:p>
    <w:p w:rsidR="00A712E1" w:rsidRPr="00BB3E3E" w:rsidRDefault="00A712E1" w:rsidP="00A712E1">
      <w:pPr>
        <w:spacing w:after="0" w:line="240" w:lineRule="auto"/>
        <w:ind w:firstLine="709"/>
        <w:jc w:val="both"/>
        <w:rPr>
          <w:szCs w:val="28"/>
        </w:rPr>
      </w:pPr>
      <w:r w:rsidRPr="00BB3E3E">
        <w:rPr>
          <w:szCs w:val="28"/>
        </w:rPr>
        <w:t>-</w:t>
      </w:r>
      <w:r>
        <w:rPr>
          <w:szCs w:val="28"/>
        </w:rPr>
        <w:t> </w:t>
      </w:r>
      <w:r w:rsidRPr="00BB3E3E">
        <w:rPr>
          <w:szCs w:val="28"/>
        </w:rPr>
        <w:t xml:space="preserve">6 работников </w:t>
      </w:r>
      <w:r>
        <w:rPr>
          <w:szCs w:val="28"/>
        </w:rPr>
        <w:t>д</w:t>
      </w:r>
      <w:r w:rsidRPr="00BB3E3E">
        <w:rPr>
          <w:szCs w:val="28"/>
        </w:rPr>
        <w:t>епартамента;</w:t>
      </w:r>
    </w:p>
    <w:p w:rsidR="00A712E1" w:rsidRPr="00BB3E3E" w:rsidRDefault="00A712E1" w:rsidP="00A712E1">
      <w:pPr>
        <w:spacing w:after="0" w:line="240" w:lineRule="auto"/>
        <w:ind w:firstLine="709"/>
        <w:jc w:val="both"/>
        <w:rPr>
          <w:szCs w:val="28"/>
        </w:rPr>
      </w:pPr>
      <w:r w:rsidRPr="00BB3E3E">
        <w:rPr>
          <w:szCs w:val="28"/>
        </w:rPr>
        <w:t>-</w:t>
      </w:r>
      <w:r>
        <w:rPr>
          <w:szCs w:val="28"/>
        </w:rPr>
        <w:t> </w:t>
      </w:r>
      <w:r w:rsidRPr="00BB3E3E">
        <w:rPr>
          <w:szCs w:val="28"/>
        </w:rPr>
        <w:t>представитель Управления Федеральной антимонопольной службы по Новосибирской области (с правом совещательного голоса - не принимает участия в голосовании);</w:t>
      </w:r>
    </w:p>
    <w:p w:rsidR="00A712E1" w:rsidRPr="00BB3E3E" w:rsidRDefault="00A712E1" w:rsidP="00A712E1">
      <w:pPr>
        <w:spacing w:after="0" w:line="240" w:lineRule="auto"/>
        <w:ind w:firstLine="709"/>
        <w:jc w:val="both"/>
        <w:rPr>
          <w:szCs w:val="28"/>
        </w:rPr>
      </w:pPr>
      <w:r w:rsidRPr="00BB3E3E">
        <w:rPr>
          <w:szCs w:val="28"/>
        </w:rPr>
        <w:t>-</w:t>
      </w:r>
      <w:r>
        <w:rPr>
          <w:szCs w:val="28"/>
        </w:rPr>
        <w:t> </w:t>
      </w:r>
      <w:r w:rsidRPr="00BB3E3E">
        <w:rPr>
          <w:szCs w:val="28"/>
        </w:rPr>
        <w:t>при рассмотрении и принятии решений по вопросам регулирования цен (тарифов) в области электроэнергетики – также представитель от Ассоциации «Некоммерческое партнерство Совет рынка по организации эффективной системы оптовой и розничной торговли электрической энергией и мощностью»;</w:t>
      </w:r>
    </w:p>
    <w:p w:rsidR="00A712E1" w:rsidRDefault="00A712E1" w:rsidP="00A712E1">
      <w:pPr>
        <w:spacing w:after="0" w:line="240" w:lineRule="auto"/>
        <w:ind w:firstLine="709"/>
        <w:jc w:val="both"/>
        <w:rPr>
          <w:szCs w:val="28"/>
        </w:rPr>
      </w:pPr>
      <w:r>
        <w:rPr>
          <w:szCs w:val="28"/>
        </w:rPr>
        <w:t>2) </w:t>
      </w:r>
      <w:r w:rsidRPr="00BB3E3E">
        <w:rPr>
          <w:szCs w:val="28"/>
        </w:rPr>
        <w:t xml:space="preserve">руководитель </w:t>
      </w:r>
      <w:r>
        <w:rPr>
          <w:szCs w:val="28"/>
        </w:rPr>
        <w:t>д</w:t>
      </w:r>
      <w:r w:rsidRPr="00BB3E3E">
        <w:rPr>
          <w:szCs w:val="28"/>
        </w:rPr>
        <w:t xml:space="preserve">епартамента является председателем </w:t>
      </w:r>
      <w:r>
        <w:rPr>
          <w:szCs w:val="28"/>
        </w:rPr>
        <w:t>П</w:t>
      </w:r>
      <w:r w:rsidRPr="00BB3E3E">
        <w:rPr>
          <w:szCs w:val="28"/>
        </w:rPr>
        <w:t>равления департамента и утверждает его персональный состав, а также порядок его деятельности.</w:t>
      </w:r>
    </w:p>
    <w:p w:rsidR="005A5E13" w:rsidRPr="00D05395" w:rsidRDefault="005A5E13" w:rsidP="005A5E13">
      <w:pPr>
        <w:spacing w:after="0" w:line="240" w:lineRule="auto"/>
        <w:ind w:firstLine="709"/>
        <w:jc w:val="both"/>
        <w:rPr>
          <w:szCs w:val="28"/>
        </w:rPr>
      </w:pPr>
      <w:r w:rsidRPr="00D05395">
        <w:rPr>
          <w:szCs w:val="28"/>
        </w:rPr>
        <w:t>Персональный состав Правления департамента утвержден приказом руководителя департамента от 07.10.2013 № 27 (с учетом внесенных изменений).</w:t>
      </w:r>
    </w:p>
    <w:p w:rsidR="005A5E13" w:rsidRPr="00D05395" w:rsidRDefault="005A5E13" w:rsidP="005A5E13">
      <w:pPr>
        <w:spacing w:after="0" w:line="240" w:lineRule="auto"/>
        <w:ind w:firstLine="709"/>
        <w:jc w:val="both"/>
        <w:rPr>
          <w:szCs w:val="28"/>
        </w:rPr>
      </w:pPr>
      <w:r w:rsidRPr="00D05395">
        <w:rPr>
          <w:szCs w:val="28"/>
        </w:rPr>
        <w:t>В 202</w:t>
      </w:r>
      <w:r>
        <w:rPr>
          <w:szCs w:val="28"/>
        </w:rPr>
        <w:t>4</w:t>
      </w:r>
      <w:r w:rsidRPr="00D05395">
        <w:rPr>
          <w:szCs w:val="28"/>
        </w:rPr>
        <w:t xml:space="preserve"> году состоялось </w:t>
      </w:r>
      <w:r>
        <w:rPr>
          <w:szCs w:val="28"/>
        </w:rPr>
        <w:t>51 заседание</w:t>
      </w:r>
      <w:r w:rsidRPr="00D05395">
        <w:rPr>
          <w:szCs w:val="28"/>
        </w:rPr>
        <w:t xml:space="preserve"> правления департамента, на которых было принято </w:t>
      </w:r>
      <w:r>
        <w:rPr>
          <w:szCs w:val="28"/>
        </w:rPr>
        <w:t>693 решения</w:t>
      </w:r>
      <w:r w:rsidRPr="00D05395">
        <w:rPr>
          <w:szCs w:val="28"/>
        </w:rPr>
        <w:t xml:space="preserve">, издано </w:t>
      </w:r>
      <w:r>
        <w:rPr>
          <w:szCs w:val="28"/>
        </w:rPr>
        <w:t>682 приказа</w:t>
      </w:r>
      <w:r w:rsidRPr="00D05395">
        <w:rPr>
          <w:szCs w:val="28"/>
        </w:rPr>
        <w:t xml:space="preserve"> департамента. </w:t>
      </w:r>
    </w:p>
    <w:p w:rsidR="005A5E13" w:rsidRDefault="005A5E13" w:rsidP="005A5E13">
      <w:pPr>
        <w:spacing w:after="0" w:line="240" w:lineRule="auto"/>
        <w:rPr>
          <w:szCs w:val="28"/>
        </w:rPr>
      </w:pPr>
    </w:p>
    <w:p w:rsidR="005A5E13" w:rsidRPr="00BB3E3E" w:rsidRDefault="005A5E13" w:rsidP="00A712E1">
      <w:pPr>
        <w:spacing w:after="0" w:line="240" w:lineRule="auto"/>
        <w:ind w:firstLine="709"/>
        <w:jc w:val="both"/>
        <w:rPr>
          <w:szCs w:val="28"/>
        </w:rPr>
      </w:pPr>
    </w:p>
    <w:p w:rsidR="00307281" w:rsidRDefault="00307281"/>
    <w:p w:rsidR="00A712E1" w:rsidRDefault="00A712E1"/>
    <w:p w:rsidR="00A712E1" w:rsidRDefault="00A712E1"/>
    <w:p w:rsidR="00A712E1" w:rsidRDefault="00A712E1"/>
    <w:p w:rsidR="00A712E1" w:rsidRDefault="00A712E1"/>
    <w:p w:rsidR="00A712E1" w:rsidRDefault="00A712E1"/>
    <w:p w:rsidR="00A712E1" w:rsidRDefault="00A712E1"/>
    <w:p w:rsidR="00A712E1" w:rsidRDefault="00A712E1"/>
    <w:p w:rsidR="00A712E1" w:rsidRDefault="00A712E1" w:rsidP="00A712E1">
      <w:pPr>
        <w:pStyle w:val="20231"/>
      </w:pPr>
      <w:bookmarkStart w:id="12" w:name="_Toc162431894"/>
      <w:bookmarkStart w:id="13" w:name="_Toc193810517"/>
      <w:r w:rsidRPr="008D1DCB">
        <w:t>2. Итоги регулирования в установленных сферах деятельности</w:t>
      </w:r>
      <w:bookmarkEnd w:id="12"/>
      <w:bookmarkEnd w:id="13"/>
    </w:p>
    <w:p w:rsidR="00A712E1" w:rsidRDefault="00A712E1" w:rsidP="0005458F">
      <w:pPr>
        <w:pStyle w:val="4"/>
      </w:pPr>
      <w:bookmarkStart w:id="14" w:name="_Toc131067900"/>
      <w:bookmarkStart w:id="15" w:name="_Toc162431895"/>
      <w:bookmarkStart w:id="16" w:name="_Toc193810518"/>
      <w:r w:rsidRPr="007561BC">
        <w:t xml:space="preserve">2.1. </w:t>
      </w:r>
      <w:r w:rsidRPr="0005458F">
        <w:t>Электроэнергетика</w:t>
      </w:r>
      <w:bookmarkEnd w:id="14"/>
      <w:bookmarkEnd w:id="15"/>
      <w:bookmarkEnd w:id="16"/>
    </w:p>
    <w:p w:rsidR="00A712E1" w:rsidRPr="00D07DA1" w:rsidRDefault="00A712E1" w:rsidP="00A712E1">
      <w:pPr>
        <w:spacing w:after="0" w:line="240" w:lineRule="auto"/>
        <w:ind w:firstLine="709"/>
        <w:contextualSpacing/>
        <w:jc w:val="both"/>
        <w:rPr>
          <w:rFonts w:eastAsia="Calibri"/>
          <w:szCs w:val="28"/>
        </w:rPr>
      </w:pPr>
      <w:r w:rsidRPr="00D07DA1">
        <w:rPr>
          <w:rFonts w:eastAsia="Calibri"/>
          <w:szCs w:val="28"/>
        </w:rPr>
        <w:t>Департамент, осуществляя государственное регулирование цен (тари</w:t>
      </w:r>
      <w:r>
        <w:rPr>
          <w:rFonts w:eastAsia="Calibri"/>
          <w:szCs w:val="28"/>
        </w:rPr>
        <w:t>фов) в электроэнергетике на 2024</w:t>
      </w:r>
      <w:r w:rsidRPr="00D07DA1">
        <w:rPr>
          <w:rFonts w:eastAsia="Calibri"/>
          <w:szCs w:val="28"/>
        </w:rPr>
        <w:t>-20</w:t>
      </w:r>
      <w:r>
        <w:rPr>
          <w:rFonts w:eastAsia="Calibri"/>
          <w:szCs w:val="28"/>
        </w:rPr>
        <w:t>25</w:t>
      </w:r>
      <w:r w:rsidRPr="00D07DA1">
        <w:rPr>
          <w:rFonts w:eastAsia="Calibri"/>
          <w:szCs w:val="28"/>
        </w:rPr>
        <w:t xml:space="preserve"> годы и долгосрочные периоды регулирования, руководствовался </w:t>
      </w:r>
      <w:r w:rsidRPr="00EF6771">
        <w:rPr>
          <w:rFonts w:eastAsia="Calibri"/>
          <w:szCs w:val="28"/>
        </w:rPr>
        <w:t>действующим</w:t>
      </w:r>
      <w:r>
        <w:rPr>
          <w:rFonts w:eastAsia="Calibri"/>
          <w:szCs w:val="28"/>
        </w:rPr>
        <w:t xml:space="preserve"> законодательством </w:t>
      </w:r>
      <w:r w:rsidRPr="00EF6771">
        <w:rPr>
          <w:rFonts w:eastAsia="Calibri"/>
          <w:szCs w:val="28"/>
        </w:rPr>
        <w:t xml:space="preserve"> Российской Федерации в области государственного регулирования цен (тарифов) в электроэнергетике, результатами проведенных проверок (в том числе совместно с органами </w:t>
      </w:r>
      <w:r w:rsidRPr="00D07DA1">
        <w:rPr>
          <w:rFonts w:eastAsia="Calibri"/>
          <w:szCs w:val="28"/>
        </w:rPr>
        <w:t>прокуратуры), а также результатами анализа технико-экономических и финансовых показателей организаций, осуществляющих регулируемую деятельность, в периодах, предшествующих регулируемому</w:t>
      </w:r>
      <w:r>
        <w:rPr>
          <w:rFonts w:eastAsia="Calibri"/>
          <w:szCs w:val="28"/>
        </w:rPr>
        <w:t xml:space="preserve"> периоду</w:t>
      </w:r>
      <w:r w:rsidRPr="00D07DA1">
        <w:rPr>
          <w:rFonts w:eastAsia="Calibri"/>
          <w:szCs w:val="28"/>
        </w:rPr>
        <w:t>.</w:t>
      </w:r>
      <w:r w:rsidRPr="00D07DA1">
        <w:rPr>
          <w:rFonts w:ascii="Calibri" w:eastAsia="Calibri" w:hAnsi="Calibri"/>
          <w:sz w:val="24"/>
        </w:rPr>
        <w:t xml:space="preserve"> </w:t>
      </w:r>
    </w:p>
    <w:p w:rsidR="00A712E1" w:rsidRDefault="00A712E1" w:rsidP="00A712E1">
      <w:pPr>
        <w:spacing w:after="0" w:line="240" w:lineRule="auto"/>
        <w:ind w:firstLine="708"/>
        <w:jc w:val="both"/>
        <w:rPr>
          <w:szCs w:val="28"/>
        </w:rPr>
      </w:pPr>
      <w:r w:rsidRPr="00D07DA1">
        <w:rPr>
          <w:szCs w:val="28"/>
        </w:rPr>
        <w:t xml:space="preserve">В соответствии со сроками рассмотрения материалов по установлению тарифов в электроэнергетике на основании </w:t>
      </w:r>
      <w:r w:rsidRPr="007A0097">
        <w:rPr>
          <w:szCs w:val="28"/>
        </w:rPr>
        <w:t>Регламента</w:t>
      </w:r>
      <w:r w:rsidRPr="007A0097">
        <w:t xml:space="preserve"> </w:t>
      </w:r>
      <w:r w:rsidRPr="007A0097">
        <w:rPr>
          <w:szCs w:val="28"/>
        </w:rPr>
        <w:t>установления цен (тарифов) в электроэнергетике и (или) их предельных уровней, утвержденн</w:t>
      </w:r>
      <w:r>
        <w:rPr>
          <w:szCs w:val="28"/>
        </w:rPr>
        <w:t>ого</w:t>
      </w:r>
      <w:r w:rsidRPr="007A0097">
        <w:rPr>
          <w:szCs w:val="28"/>
        </w:rPr>
        <w:t xml:space="preserve"> приказом Федеральной антимонопольной службы от 22.07.2024 № 489/24</w:t>
      </w:r>
      <w:r>
        <w:rPr>
          <w:szCs w:val="28"/>
        </w:rPr>
        <w:t xml:space="preserve"> (далее – Регламент № 489/24)</w:t>
      </w:r>
      <w:r w:rsidRPr="007A0097">
        <w:rPr>
          <w:szCs w:val="28"/>
        </w:rPr>
        <w:t>, в</w:t>
      </w:r>
      <w:r>
        <w:rPr>
          <w:szCs w:val="28"/>
        </w:rPr>
        <w:t xml:space="preserve"> 2024</w:t>
      </w:r>
      <w:r w:rsidRPr="00D07DA1">
        <w:rPr>
          <w:szCs w:val="28"/>
        </w:rPr>
        <w:t xml:space="preserve"> году департаментом проводилась экспертиза материалов по установлению (корректировке): </w:t>
      </w:r>
    </w:p>
    <w:p w:rsidR="00A712E1" w:rsidRDefault="00A712E1" w:rsidP="00A712E1">
      <w:pPr>
        <w:spacing w:after="0" w:line="240" w:lineRule="auto"/>
        <w:ind w:firstLine="708"/>
        <w:jc w:val="both"/>
        <w:rPr>
          <w:szCs w:val="28"/>
        </w:rPr>
      </w:pPr>
      <w:r>
        <w:rPr>
          <w:szCs w:val="28"/>
        </w:rPr>
        <w:t xml:space="preserve">- </w:t>
      </w:r>
      <w:r w:rsidRPr="00D07DA1">
        <w:rPr>
          <w:szCs w:val="28"/>
        </w:rPr>
        <w:t>тарифов на электрическую энергию, поставляемую населению и приравненным к нему катего</w:t>
      </w:r>
      <w:r>
        <w:rPr>
          <w:szCs w:val="28"/>
        </w:rPr>
        <w:t>риям потребителей;</w:t>
      </w:r>
      <w:r w:rsidRPr="00D07DA1">
        <w:rPr>
          <w:szCs w:val="28"/>
        </w:rPr>
        <w:t xml:space="preserve"> </w:t>
      </w:r>
    </w:p>
    <w:p w:rsidR="00A712E1" w:rsidRDefault="00A712E1" w:rsidP="00A712E1">
      <w:pPr>
        <w:spacing w:after="0" w:line="240" w:lineRule="auto"/>
        <w:ind w:firstLine="708"/>
        <w:jc w:val="both"/>
        <w:rPr>
          <w:szCs w:val="28"/>
        </w:rPr>
      </w:pPr>
      <w:r>
        <w:rPr>
          <w:szCs w:val="28"/>
        </w:rPr>
        <w:t xml:space="preserve">- </w:t>
      </w:r>
      <w:r w:rsidRPr="00D07DA1">
        <w:rPr>
          <w:szCs w:val="28"/>
        </w:rPr>
        <w:t>единых (котловых) тарифов на услуги по передаче электрической энергии</w:t>
      </w:r>
      <w:r>
        <w:rPr>
          <w:szCs w:val="28"/>
        </w:rPr>
        <w:t>;</w:t>
      </w:r>
    </w:p>
    <w:p w:rsidR="00A712E1" w:rsidRDefault="00A712E1" w:rsidP="00A712E1">
      <w:pPr>
        <w:spacing w:after="0" w:line="240" w:lineRule="auto"/>
        <w:ind w:firstLine="708"/>
        <w:jc w:val="both"/>
        <w:rPr>
          <w:szCs w:val="28"/>
        </w:rPr>
      </w:pPr>
      <w:r>
        <w:rPr>
          <w:szCs w:val="28"/>
        </w:rPr>
        <w:t xml:space="preserve">- </w:t>
      </w:r>
      <w:r w:rsidRPr="00D07DA1">
        <w:rPr>
          <w:szCs w:val="28"/>
        </w:rPr>
        <w:t>индивидуальных тарифов на услуги по передаче электрической энергии для взаиморасчётов между территориальными сетевыми организ</w:t>
      </w:r>
      <w:r>
        <w:rPr>
          <w:szCs w:val="28"/>
        </w:rPr>
        <w:t>ациями по Новосибирской области;</w:t>
      </w:r>
    </w:p>
    <w:p w:rsidR="00A712E1" w:rsidRDefault="00A712E1" w:rsidP="00A712E1">
      <w:pPr>
        <w:spacing w:after="0" w:line="240" w:lineRule="auto"/>
        <w:ind w:firstLine="708"/>
        <w:jc w:val="both"/>
        <w:rPr>
          <w:szCs w:val="28"/>
        </w:rPr>
      </w:pPr>
      <w:r>
        <w:rPr>
          <w:szCs w:val="28"/>
        </w:rPr>
        <w:t xml:space="preserve">- </w:t>
      </w:r>
      <w:r w:rsidRPr="00D07DA1">
        <w:rPr>
          <w:szCs w:val="28"/>
        </w:rPr>
        <w:t>сбытовых над</w:t>
      </w:r>
      <w:r>
        <w:rPr>
          <w:szCs w:val="28"/>
        </w:rPr>
        <w:t>бавок гарантирующего поставщика;</w:t>
      </w:r>
    </w:p>
    <w:p w:rsidR="00A712E1" w:rsidRDefault="00A712E1" w:rsidP="00A712E1">
      <w:pPr>
        <w:spacing w:after="0" w:line="240" w:lineRule="auto"/>
        <w:ind w:firstLine="708"/>
        <w:jc w:val="both"/>
        <w:rPr>
          <w:rFonts w:eastAsia="Times New Roman"/>
          <w:szCs w:val="28"/>
        </w:rPr>
      </w:pPr>
      <w:r>
        <w:rPr>
          <w:szCs w:val="28"/>
        </w:rPr>
        <w:t>-</w:t>
      </w:r>
      <w:r w:rsidRPr="00D07DA1">
        <w:rPr>
          <w:szCs w:val="28"/>
        </w:rPr>
        <w:t xml:space="preserve"> </w:t>
      </w:r>
      <w:r w:rsidRPr="00D07DA1">
        <w:rPr>
          <w:rFonts w:eastAsia="Times New Roman"/>
          <w:szCs w:val="28"/>
        </w:rPr>
        <w:t>платы за технологическое присоединение энергопринимающих устройств (энергетических установок) юридических и физических лиц к электрическим сетям территориальных сетевых организаций</w:t>
      </w:r>
      <w:r>
        <w:rPr>
          <w:rFonts w:eastAsia="Times New Roman"/>
          <w:szCs w:val="28"/>
        </w:rPr>
        <w:t>;</w:t>
      </w:r>
    </w:p>
    <w:p w:rsidR="00A712E1" w:rsidRDefault="00A712E1" w:rsidP="00A712E1">
      <w:pPr>
        <w:spacing w:after="0" w:line="240" w:lineRule="auto"/>
        <w:ind w:firstLine="708"/>
        <w:jc w:val="both"/>
        <w:rPr>
          <w:rFonts w:eastAsia="Times New Roman"/>
          <w:szCs w:val="28"/>
        </w:rPr>
      </w:pPr>
      <w:r>
        <w:rPr>
          <w:rFonts w:eastAsia="Times New Roman"/>
          <w:szCs w:val="28"/>
        </w:rPr>
        <w:t xml:space="preserve">- </w:t>
      </w:r>
      <w:r w:rsidRPr="00D07DA1">
        <w:rPr>
          <w:rFonts w:eastAsia="Times New Roman"/>
          <w:szCs w:val="28"/>
        </w:rPr>
        <w:t>платы за технологическое присоедин</w:t>
      </w:r>
      <w:r>
        <w:rPr>
          <w:rFonts w:eastAsia="Times New Roman"/>
          <w:szCs w:val="28"/>
        </w:rPr>
        <w:t>ение по индивидуальному проекту;</w:t>
      </w:r>
    </w:p>
    <w:p w:rsidR="00A712E1" w:rsidRDefault="00A712E1" w:rsidP="00A712E1">
      <w:pPr>
        <w:spacing w:after="0" w:line="240" w:lineRule="auto"/>
        <w:ind w:firstLine="708"/>
        <w:jc w:val="both"/>
        <w:rPr>
          <w:rFonts w:eastAsia="Times New Roman"/>
          <w:szCs w:val="28"/>
        </w:rPr>
      </w:pPr>
      <w:r>
        <w:rPr>
          <w:rFonts w:eastAsia="Times New Roman"/>
          <w:szCs w:val="28"/>
        </w:rPr>
        <w:t xml:space="preserve">- </w:t>
      </w:r>
      <w:r w:rsidRPr="00D07DA1">
        <w:rPr>
          <w:rFonts w:eastAsia="Times New Roman"/>
          <w:szCs w:val="28"/>
        </w:rPr>
        <w:t xml:space="preserve">стандартизированных тарифных ставок и ставок за единицу максимальной мощности для определения размера платы за технологическое присоединение энергопринимающих устройств юридических и физических лиц к электрическим сетям территориальных сетевых организаций, формулы платы за технологическое присоединение на территории Новосибирской области. </w:t>
      </w:r>
    </w:p>
    <w:p w:rsidR="00A712E1" w:rsidRPr="00D07DA1" w:rsidRDefault="00A712E1" w:rsidP="00A712E1">
      <w:pPr>
        <w:spacing w:after="0" w:line="240" w:lineRule="auto"/>
        <w:ind w:firstLine="708"/>
        <w:jc w:val="both"/>
        <w:rPr>
          <w:szCs w:val="28"/>
        </w:rPr>
      </w:pPr>
      <w:r>
        <w:rPr>
          <w:szCs w:val="28"/>
        </w:rPr>
        <w:t>В течение 2024</w:t>
      </w:r>
      <w:r w:rsidRPr="00D07DA1">
        <w:rPr>
          <w:szCs w:val="28"/>
        </w:rPr>
        <w:t xml:space="preserve"> года отделом регулирования электроэнергетики департамента </w:t>
      </w:r>
      <w:r w:rsidRPr="002018B1">
        <w:rPr>
          <w:szCs w:val="28"/>
        </w:rPr>
        <w:t xml:space="preserve">подготовлено </w:t>
      </w:r>
      <w:r>
        <w:rPr>
          <w:szCs w:val="28"/>
        </w:rPr>
        <w:t>46</w:t>
      </w:r>
      <w:r w:rsidRPr="00F957B6">
        <w:rPr>
          <w:color w:val="FF0000"/>
          <w:szCs w:val="28"/>
        </w:rPr>
        <w:t xml:space="preserve"> </w:t>
      </w:r>
      <w:r w:rsidRPr="002018B1">
        <w:rPr>
          <w:szCs w:val="28"/>
        </w:rPr>
        <w:t xml:space="preserve">экспертных </w:t>
      </w:r>
      <w:r>
        <w:rPr>
          <w:szCs w:val="28"/>
        </w:rPr>
        <w:t>заключений</w:t>
      </w:r>
      <w:r w:rsidRPr="00D07DA1">
        <w:rPr>
          <w:szCs w:val="28"/>
        </w:rPr>
        <w:t xml:space="preserve">, на основании которых правлением департамента приняты решения по установлению соответствующих тарифов. </w:t>
      </w:r>
    </w:p>
    <w:p w:rsidR="00A712E1" w:rsidRPr="00D07DA1" w:rsidRDefault="00A712E1" w:rsidP="00A712E1">
      <w:pPr>
        <w:tabs>
          <w:tab w:val="left" w:pos="9356"/>
        </w:tabs>
        <w:spacing w:after="0" w:line="240" w:lineRule="auto"/>
        <w:ind w:firstLine="720"/>
        <w:jc w:val="both"/>
        <w:rPr>
          <w:rFonts w:eastAsia="Times New Roman"/>
          <w:b/>
          <w:szCs w:val="28"/>
        </w:rPr>
      </w:pPr>
    </w:p>
    <w:p w:rsidR="00A712E1" w:rsidRPr="00D07DA1" w:rsidRDefault="00A712E1" w:rsidP="0005458F">
      <w:pPr>
        <w:pStyle w:val="4"/>
      </w:pPr>
      <w:bookmarkStart w:id="17" w:name="_Toc193810519"/>
      <w:r w:rsidRPr="00D07DA1">
        <w:lastRenderedPageBreak/>
        <w:t>2.1.1. Формирование балансов электрической энергии и мощности</w:t>
      </w:r>
      <w:bookmarkEnd w:id="17"/>
    </w:p>
    <w:p w:rsidR="00A712E1" w:rsidRDefault="00A712E1" w:rsidP="00A712E1">
      <w:pPr>
        <w:tabs>
          <w:tab w:val="left" w:pos="9356"/>
        </w:tabs>
        <w:spacing w:after="0" w:line="240" w:lineRule="auto"/>
        <w:ind w:firstLine="720"/>
        <w:jc w:val="both"/>
        <w:rPr>
          <w:rFonts w:eastAsia="Times New Roman"/>
          <w:szCs w:val="28"/>
        </w:rPr>
      </w:pPr>
      <w:r>
        <w:rPr>
          <w:rFonts w:eastAsia="Times New Roman"/>
          <w:szCs w:val="28"/>
        </w:rPr>
        <w:t>Работа по формированию и согласованию плановых балансов электрической энергии и мощности строилась в соответствии с приказом Федеральной службы по тарифам от 12.04.2012 № 53-э/1 «Об утверждении Порядка формирования Сводного прогнозного баланса производства и поставок электрической энергии (мощности) в рамках Единой энергетической системы России по субъектам Российской Федерации».</w:t>
      </w:r>
    </w:p>
    <w:p w:rsidR="00A712E1" w:rsidRDefault="00A712E1" w:rsidP="00A712E1">
      <w:pPr>
        <w:tabs>
          <w:tab w:val="left" w:pos="9356"/>
        </w:tabs>
        <w:spacing w:after="0" w:line="240" w:lineRule="auto"/>
        <w:ind w:firstLine="700"/>
        <w:jc w:val="both"/>
        <w:rPr>
          <w:rFonts w:eastAsia="Times New Roman"/>
          <w:szCs w:val="28"/>
        </w:rPr>
      </w:pPr>
      <w:r>
        <w:rPr>
          <w:rFonts w:eastAsia="Times New Roman"/>
          <w:szCs w:val="28"/>
        </w:rPr>
        <w:t xml:space="preserve">В течение 2024 года департаментом совместно с технологическими службами АО «Новосибирскэнергосбыт», </w:t>
      </w:r>
      <w:r w:rsidRPr="00DE19A7">
        <w:rPr>
          <w:rFonts w:eastAsia="Times New Roman"/>
          <w:szCs w:val="28"/>
        </w:rPr>
        <w:t>АО «Мосэнергосбыт», АО</w:t>
      </w:r>
      <w:r>
        <w:rPr>
          <w:rFonts w:eastAsia="Times New Roman"/>
          <w:szCs w:val="28"/>
        </w:rPr>
        <w:t> </w:t>
      </w:r>
      <w:r w:rsidRPr="00DE19A7">
        <w:rPr>
          <w:rFonts w:eastAsia="Times New Roman"/>
          <w:szCs w:val="28"/>
        </w:rPr>
        <w:t>«Система», ООО «АРСТЭМ-ЭнергоТрейд», ООО «ГлавЭнергоСбыт», ООО</w:t>
      </w:r>
      <w:r>
        <w:rPr>
          <w:rFonts w:eastAsia="Times New Roman"/>
          <w:szCs w:val="28"/>
        </w:rPr>
        <w:t> </w:t>
      </w:r>
      <w:r w:rsidRPr="00DE19A7">
        <w:rPr>
          <w:rFonts w:eastAsia="Times New Roman"/>
          <w:szCs w:val="28"/>
        </w:rPr>
        <w:t>«Русэнергосбыт», ООО «Транснефтьэнерго», ООО «ЭСК Потенциал», ООО «Энергосбытовая компания «Горкунов», ООО «ЕЭС-Гарант», ООО</w:t>
      </w:r>
      <w:r>
        <w:rPr>
          <w:rFonts w:eastAsia="Times New Roman"/>
          <w:szCs w:val="28"/>
        </w:rPr>
        <w:t> «</w:t>
      </w:r>
      <w:r w:rsidRPr="00DE19A7">
        <w:rPr>
          <w:rFonts w:eastAsia="Times New Roman"/>
          <w:szCs w:val="28"/>
        </w:rPr>
        <w:t>Трансэнергопром</w:t>
      </w:r>
      <w:r>
        <w:rPr>
          <w:rFonts w:eastAsia="Times New Roman"/>
          <w:szCs w:val="28"/>
        </w:rPr>
        <w:t>»</w:t>
      </w:r>
      <w:r w:rsidRPr="00DE19A7">
        <w:rPr>
          <w:rFonts w:eastAsia="Times New Roman"/>
          <w:szCs w:val="28"/>
        </w:rPr>
        <w:t xml:space="preserve">, ООО </w:t>
      </w:r>
      <w:r>
        <w:rPr>
          <w:rFonts w:eastAsia="Times New Roman"/>
          <w:szCs w:val="28"/>
        </w:rPr>
        <w:t>«РТК Энергосбыт», ООО «Ижэнергосбыт»</w:t>
      </w:r>
      <w:r w:rsidRPr="00DE19A7">
        <w:rPr>
          <w:rFonts w:eastAsia="Times New Roman"/>
          <w:szCs w:val="28"/>
        </w:rPr>
        <w:t xml:space="preserve">, ООО </w:t>
      </w:r>
      <w:r>
        <w:rPr>
          <w:rFonts w:eastAsia="Times New Roman"/>
          <w:szCs w:val="28"/>
        </w:rPr>
        <w:t>«</w:t>
      </w:r>
      <w:r w:rsidRPr="00DE19A7">
        <w:rPr>
          <w:rFonts w:eastAsia="Times New Roman"/>
          <w:szCs w:val="28"/>
        </w:rPr>
        <w:t>КЭС</w:t>
      </w:r>
      <w:r>
        <w:rPr>
          <w:rFonts w:eastAsia="Times New Roman"/>
          <w:szCs w:val="28"/>
        </w:rPr>
        <w:t>»</w:t>
      </w:r>
      <w:r w:rsidRPr="00DE19A7">
        <w:rPr>
          <w:rFonts w:eastAsia="Times New Roman"/>
          <w:szCs w:val="28"/>
        </w:rPr>
        <w:t xml:space="preserve">, ООО «Энергетическая компания «СТИ», </w:t>
      </w:r>
      <w:r w:rsidRPr="0035327D">
        <w:rPr>
          <w:rFonts w:eastAsia="Times New Roman"/>
          <w:szCs w:val="28"/>
        </w:rPr>
        <w:t>ОАО «ЭСК РусГидро»</w:t>
      </w:r>
      <w:r>
        <w:rPr>
          <w:rFonts w:eastAsia="Times New Roman"/>
          <w:szCs w:val="28"/>
        </w:rPr>
        <w:t xml:space="preserve">, </w:t>
      </w:r>
      <w:r w:rsidRPr="00DE19A7">
        <w:rPr>
          <w:rFonts w:eastAsia="Times New Roman"/>
          <w:szCs w:val="28"/>
        </w:rPr>
        <w:t xml:space="preserve">АО «СИБЭКО», </w:t>
      </w:r>
      <w:r>
        <w:rPr>
          <w:rFonts w:eastAsia="Times New Roman"/>
          <w:szCs w:val="28"/>
        </w:rPr>
        <w:t xml:space="preserve">ПАО «РусГидро» - филиал «Новосибирская ГЭС», АО «СО ЕЭС» - Новосибирское РДУ, а также с территориальными сетевыми организациями  проводилась  работа по разработке и согласованию плановых месячных, квартальных и в целом на 2025 год балансов электрической энергии (мощности) по Новосибирской области. </w:t>
      </w:r>
    </w:p>
    <w:p w:rsidR="00A712E1" w:rsidRDefault="00A712E1" w:rsidP="00A712E1">
      <w:pPr>
        <w:tabs>
          <w:tab w:val="left" w:pos="9356"/>
        </w:tabs>
        <w:spacing w:after="0" w:line="240" w:lineRule="auto"/>
        <w:ind w:firstLine="700"/>
        <w:jc w:val="both"/>
        <w:rPr>
          <w:rFonts w:eastAsia="Times New Roman"/>
          <w:szCs w:val="28"/>
        </w:rPr>
      </w:pPr>
      <w:r>
        <w:rPr>
          <w:rFonts w:eastAsia="Times New Roman"/>
          <w:szCs w:val="28"/>
        </w:rPr>
        <w:t xml:space="preserve">При формировании баланса электрической энергии и мощности на 2025 год были учтены объёмы передачи электрической энергии (мощности) 8 сетевых организаций. Департаментом в установленные сроки были согласованы и направлены в ФАС России предложения для утверждения сводного прогнозного баланса электрической энергии и мощности по Новосибирской области, в том числе в форматах шаблонов ФГИС ЕИАС ФАС России. </w:t>
      </w:r>
    </w:p>
    <w:p w:rsidR="00A712E1" w:rsidRDefault="00A712E1" w:rsidP="00A712E1">
      <w:pPr>
        <w:tabs>
          <w:tab w:val="left" w:pos="9356"/>
        </w:tabs>
        <w:spacing w:after="0" w:line="240" w:lineRule="auto"/>
        <w:ind w:firstLine="700"/>
        <w:jc w:val="both"/>
        <w:rPr>
          <w:rFonts w:eastAsia="Times New Roman"/>
          <w:szCs w:val="28"/>
        </w:rPr>
      </w:pPr>
      <w:r>
        <w:rPr>
          <w:rFonts w:eastAsia="Times New Roman"/>
          <w:szCs w:val="28"/>
        </w:rPr>
        <w:t xml:space="preserve">Сводный прогнозный баланс производства и поставок электрической энергии (мощности) в рамках Единой энергетической системы России по Новосибирской области на </w:t>
      </w:r>
      <w:r w:rsidRPr="004F23B7">
        <w:rPr>
          <w:rFonts w:eastAsia="Times New Roman"/>
          <w:szCs w:val="28"/>
        </w:rPr>
        <w:t>2025 год утверждён приказом ФАС России от 11 октября 2024 года № 720/24-ДСП, с учетом изменений, внесенных приказом ФАС России от 25 декабря 2024 № 1081/24-ДСП (далее</w:t>
      </w:r>
      <w:r w:rsidRPr="00A352F7">
        <w:rPr>
          <w:rFonts w:eastAsia="Times New Roman"/>
          <w:szCs w:val="28"/>
        </w:rPr>
        <w:t xml:space="preserve"> - утвержденный </w:t>
      </w:r>
      <w:r>
        <w:rPr>
          <w:rFonts w:eastAsia="Times New Roman"/>
          <w:szCs w:val="28"/>
        </w:rPr>
        <w:t>Сводный прогнозный баланс).</w:t>
      </w:r>
    </w:p>
    <w:p w:rsidR="00A712E1" w:rsidRDefault="00A712E1" w:rsidP="00A712E1">
      <w:pPr>
        <w:spacing w:after="0" w:line="240" w:lineRule="auto"/>
        <w:ind w:firstLine="708"/>
        <w:jc w:val="both"/>
        <w:rPr>
          <w:rFonts w:eastAsia="Times New Roman"/>
          <w:bCs/>
          <w:szCs w:val="28"/>
        </w:rPr>
      </w:pPr>
      <w:r>
        <w:rPr>
          <w:rFonts w:eastAsia="Times New Roman"/>
          <w:bCs/>
          <w:szCs w:val="28"/>
        </w:rPr>
        <w:t xml:space="preserve">Плановые объемы электропотребления на 2025 год были сформированы исходя из фактических показателей 2023 года и ожидаемых показателей 2024 года с учетом сложившихся тенденций роста и снижения объемов потребления по группам потребителей. </w:t>
      </w:r>
    </w:p>
    <w:p w:rsidR="00A712E1" w:rsidRDefault="00A712E1" w:rsidP="00A712E1">
      <w:pPr>
        <w:spacing w:after="0" w:line="240" w:lineRule="auto"/>
        <w:ind w:firstLine="708"/>
        <w:jc w:val="both"/>
        <w:rPr>
          <w:rFonts w:eastAsia="Times New Roman"/>
          <w:szCs w:val="28"/>
        </w:rPr>
      </w:pPr>
      <w:r>
        <w:rPr>
          <w:rFonts w:eastAsia="Times New Roman"/>
          <w:bCs/>
          <w:szCs w:val="28"/>
        </w:rPr>
        <w:t>О</w:t>
      </w:r>
      <w:r>
        <w:rPr>
          <w:rFonts w:eastAsia="Times New Roman"/>
          <w:szCs w:val="28"/>
        </w:rPr>
        <w:t xml:space="preserve">бъемы электропотребления тарифной группы  «Население» приняты в размере </w:t>
      </w:r>
      <w:r w:rsidRPr="00957B95">
        <w:rPr>
          <w:rFonts w:eastAsia="Times New Roman"/>
          <w:szCs w:val="28"/>
        </w:rPr>
        <w:t>4 643,42</w:t>
      </w:r>
      <w:r>
        <w:rPr>
          <w:rFonts w:eastAsia="Times New Roman"/>
          <w:szCs w:val="28"/>
        </w:rPr>
        <w:t xml:space="preserve"> млн. кВтч. (в том числе объемы населения, участвующие в расчете единых (котловых) тарифов </w:t>
      </w:r>
      <w:r w:rsidRPr="0088458A">
        <w:rPr>
          <w:rFonts w:eastAsia="Times New Roman"/>
          <w:szCs w:val="28"/>
        </w:rPr>
        <w:t>4 352,279</w:t>
      </w:r>
      <w:r>
        <w:rPr>
          <w:rFonts w:eastAsia="Times New Roman"/>
          <w:szCs w:val="28"/>
        </w:rPr>
        <w:t xml:space="preserve"> млн. кВт.ч.).</w:t>
      </w:r>
    </w:p>
    <w:p w:rsidR="00A712E1" w:rsidRDefault="00A712E1" w:rsidP="00A712E1">
      <w:pPr>
        <w:tabs>
          <w:tab w:val="left" w:pos="9356"/>
        </w:tabs>
        <w:spacing w:after="0" w:line="240" w:lineRule="auto"/>
        <w:ind w:firstLine="720"/>
        <w:jc w:val="both"/>
        <w:rPr>
          <w:rFonts w:eastAsia="Times New Roman"/>
          <w:bCs/>
          <w:szCs w:val="28"/>
        </w:rPr>
      </w:pPr>
      <w:r>
        <w:rPr>
          <w:rFonts w:eastAsia="Times New Roman"/>
          <w:bCs/>
          <w:szCs w:val="28"/>
        </w:rPr>
        <w:t>Баланс и структура полезного отпуска электрической энергии за 2023-2025 годы, соответствующая утвержденному плановому балансу электрической энергии и фактическим показателям отчетного периода, представлены в таблицах.</w:t>
      </w:r>
    </w:p>
    <w:p w:rsidR="004F4543" w:rsidRDefault="004F4543" w:rsidP="00A712E1">
      <w:pPr>
        <w:tabs>
          <w:tab w:val="left" w:pos="9356"/>
        </w:tabs>
        <w:spacing w:after="0" w:line="240" w:lineRule="auto"/>
        <w:ind w:firstLine="720"/>
        <w:jc w:val="both"/>
        <w:rPr>
          <w:rFonts w:eastAsia="Times New Roman"/>
          <w:bCs/>
          <w:szCs w:val="28"/>
        </w:rPr>
      </w:pPr>
    </w:p>
    <w:p w:rsidR="004F4543" w:rsidRDefault="004F4543" w:rsidP="00A712E1">
      <w:pPr>
        <w:tabs>
          <w:tab w:val="left" w:pos="9356"/>
        </w:tabs>
        <w:spacing w:after="0" w:line="240" w:lineRule="auto"/>
        <w:ind w:firstLine="720"/>
        <w:jc w:val="both"/>
        <w:rPr>
          <w:rFonts w:eastAsia="Times New Roman"/>
          <w:bCs/>
          <w:szCs w:val="28"/>
        </w:rPr>
      </w:pPr>
    </w:p>
    <w:p w:rsidR="00A712E1" w:rsidRPr="004F4543" w:rsidRDefault="00A712E1" w:rsidP="00A712E1">
      <w:pPr>
        <w:tabs>
          <w:tab w:val="left" w:pos="9356"/>
        </w:tabs>
        <w:spacing w:after="0" w:line="240" w:lineRule="auto"/>
        <w:ind w:firstLine="720"/>
        <w:rPr>
          <w:rFonts w:eastAsia="Times New Roman"/>
          <w:b/>
          <w:bCs/>
          <w:sz w:val="24"/>
        </w:rPr>
      </w:pPr>
      <w:r w:rsidRPr="004F4543">
        <w:rPr>
          <w:rFonts w:eastAsia="Times New Roman"/>
          <w:b/>
          <w:bCs/>
          <w:sz w:val="24"/>
        </w:rPr>
        <w:lastRenderedPageBreak/>
        <w:t>Динамика плановых и фактических показателей баланса электрической энергии  за 2023-2025 годы</w:t>
      </w:r>
    </w:p>
    <w:p w:rsidR="00A712E1" w:rsidRDefault="00A712E1" w:rsidP="00A712E1">
      <w:pPr>
        <w:tabs>
          <w:tab w:val="left" w:pos="9356"/>
        </w:tabs>
        <w:spacing w:after="0" w:line="240" w:lineRule="auto"/>
        <w:ind w:firstLine="720"/>
        <w:jc w:val="right"/>
        <w:rPr>
          <w:rFonts w:eastAsia="Times New Roman"/>
          <w:bCs/>
          <w:sz w:val="18"/>
          <w:szCs w:val="18"/>
        </w:rPr>
      </w:pPr>
      <w:r>
        <w:rPr>
          <w:rFonts w:eastAsia="Times New Roman"/>
          <w:sz w:val="20"/>
          <w:szCs w:val="20"/>
        </w:rPr>
        <w:t>млн.кВт.ч.</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4"/>
        <w:gridCol w:w="1417"/>
        <w:gridCol w:w="1277"/>
        <w:gridCol w:w="1145"/>
        <w:gridCol w:w="1328"/>
        <w:gridCol w:w="900"/>
      </w:tblGrid>
      <w:tr w:rsidR="004F4543" w:rsidTr="004F4543">
        <w:trPr>
          <w:trHeight w:val="20"/>
        </w:trPr>
        <w:tc>
          <w:tcPr>
            <w:tcW w:w="1831" w:type="pct"/>
            <w:vMerge w:val="restart"/>
            <w:noWrap/>
            <w:vAlign w:val="center"/>
            <w:hideMark/>
          </w:tcPr>
          <w:p w:rsidR="00A712E1" w:rsidRDefault="00A712E1" w:rsidP="004F4543">
            <w:pPr>
              <w:spacing w:after="0" w:line="240" w:lineRule="auto"/>
              <w:contextualSpacing/>
              <w:rPr>
                <w:rFonts w:eastAsia="Times New Roman"/>
                <w:sz w:val="20"/>
                <w:szCs w:val="20"/>
              </w:rPr>
            </w:pPr>
            <w:r>
              <w:rPr>
                <w:rFonts w:eastAsia="Times New Roman"/>
                <w:sz w:val="20"/>
                <w:szCs w:val="20"/>
              </w:rPr>
              <w:t>Показатели</w:t>
            </w:r>
          </w:p>
        </w:tc>
        <w:tc>
          <w:tcPr>
            <w:tcW w:w="741" w:type="pct"/>
            <w:noWrap/>
            <w:vAlign w:val="bottom"/>
            <w:hideMark/>
          </w:tcPr>
          <w:p w:rsidR="00A712E1" w:rsidRPr="001E289B" w:rsidRDefault="00A712E1" w:rsidP="00A712E1">
            <w:pPr>
              <w:spacing w:after="0" w:line="240" w:lineRule="auto"/>
              <w:contextualSpacing/>
              <w:rPr>
                <w:rFonts w:eastAsia="Times New Roman"/>
                <w:sz w:val="20"/>
                <w:szCs w:val="20"/>
              </w:rPr>
            </w:pPr>
            <w:r>
              <w:rPr>
                <w:rFonts w:eastAsia="Times New Roman"/>
                <w:sz w:val="20"/>
                <w:szCs w:val="20"/>
              </w:rPr>
              <w:t>2023 г.</w:t>
            </w:r>
          </w:p>
        </w:tc>
        <w:tc>
          <w:tcPr>
            <w:tcW w:w="667" w:type="pct"/>
            <w:noWrap/>
            <w:vAlign w:val="bottom"/>
            <w:hideMark/>
          </w:tcPr>
          <w:p w:rsidR="00A712E1" w:rsidRPr="00626687" w:rsidRDefault="00A712E1" w:rsidP="00A712E1">
            <w:pPr>
              <w:spacing w:after="0" w:line="240" w:lineRule="auto"/>
              <w:contextualSpacing/>
              <w:rPr>
                <w:rFonts w:eastAsia="Times New Roman"/>
                <w:sz w:val="20"/>
                <w:szCs w:val="20"/>
              </w:rPr>
            </w:pPr>
            <w:r w:rsidRPr="00626687">
              <w:rPr>
                <w:rFonts w:eastAsia="Times New Roman"/>
                <w:sz w:val="20"/>
                <w:szCs w:val="20"/>
              </w:rPr>
              <w:t>202</w:t>
            </w:r>
            <w:r>
              <w:rPr>
                <w:rFonts w:eastAsia="Times New Roman"/>
                <w:sz w:val="20"/>
                <w:szCs w:val="20"/>
              </w:rPr>
              <w:t>4 г.</w:t>
            </w:r>
          </w:p>
        </w:tc>
        <w:tc>
          <w:tcPr>
            <w:tcW w:w="1762" w:type="pct"/>
            <w:gridSpan w:val="3"/>
            <w:noWrap/>
            <w:vAlign w:val="bottom"/>
            <w:hideMark/>
          </w:tcPr>
          <w:p w:rsidR="00A712E1" w:rsidRPr="00096E5A" w:rsidRDefault="00A712E1" w:rsidP="00A712E1">
            <w:pPr>
              <w:spacing w:after="0" w:line="240" w:lineRule="auto"/>
              <w:contextualSpacing/>
              <w:rPr>
                <w:rFonts w:eastAsia="Times New Roman"/>
                <w:sz w:val="20"/>
                <w:szCs w:val="20"/>
              </w:rPr>
            </w:pPr>
            <w:r w:rsidRPr="00096E5A">
              <w:rPr>
                <w:rFonts w:eastAsia="Times New Roman"/>
                <w:sz w:val="20"/>
                <w:szCs w:val="20"/>
              </w:rPr>
              <w:t>202</w:t>
            </w:r>
            <w:r>
              <w:rPr>
                <w:rFonts w:eastAsia="Times New Roman"/>
                <w:sz w:val="20"/>
                <w:szCs w:val="20"/>
              </w:rPr>
              <w:t>5 г.</w:t>
            </w:r>
          </w:p>
        </w:tc>
      </w:tr>
      <w:tr w:rsidR="004F4543" w:rsidTr="004F4543">
        <w:trPr>
          <w:trHeight w:val="20"/>
        </w:trPr>
        <w:tc>
          <w:tcPr>
            <w:tcW w:w="1831" w:type="pct"/>
            <w:vMerge/>
            <w:vAlign w:val="center"/>
            <w:hideMark/>
          </w:tcPr>
          <w:p w:rsidR="00A712E1" w:rsidRDefault="00A712E1" w:rsidP="00A712E1">
            <w:pPr>
              <w:spacing w:after="0" w:line="240" w:lineRule="auto"/>
              <w:contextualSpacing/>
              <w:rPr>
                <w:rFonts w:eastAsia="Times New Roman"/>
                <w:sz w:val="20"/>
                <w:szCs w:val="20"/>
              </w:rPr>
            </w:pPr>
          </w:p>
        </w:tc>
        <w:tc>
          <w:tcPr>
            <w:tcW w:w="741" w:type="pct"/>
            <w:noWrap/>
            <w:vAlign w:val="bottom"/>
            <w:hideMark/>
          </w:tcPr>
          <w:p w:rsidR="00A712E1" w:rsidRPr="001E289B" w:rsidRDefault="00A712E1" w:rsidP="00A712E1">
            <w:pPr>
              <w:spacing w:after="0" w:line="240" w:lineRule="auto"/>
              <w:contextualSpacing/>
              <w:rPr>
                <w:rFonts w:eastAsia="Times New Roman"/>
                <w:sz w:val="20"/>
                <w:szCs w:val="20"/>
              </w:rPr>
            </w:pPr>
            <w:r w:rsidRPr="001E289B">
              <w:rPr>
                <w:rFonts w:eastAsia="Times New Roman"/>
                <w:sz w:val="20"/>
                <w:szCs w:val="20"/>
              </w:rPr>
              <w:t>Факт</w:t>
            </w:r>
          </w:p>
        </w:tc>
        <w:tc>
          <w:tcPr>
            <w:tcW w:w="667" w:type="pct"/>
            <w:noWrap/>
            <w:vAlign w:val="bottom"/>
            <w:hideMark/>
          </w:tcPr>
          <w:p w:rsidR="00A712E1" w:rsidRPr="00626687" w:rsidRDefault="00A712E1" w:rsidP="00A712E1">
            <w:pPr>
              <w:spacing w:after="0" w:line="240" w:lineRule="auto"/>
              <w:contextualSpacing/>
              <w:rPr>
                <w:rFonts w:eastAsia="Times New Roman"/>
                <w:sz w:val="20"/>
                <w:szCs w:val="20"/>
              </w:rPr>
            </w:pPr>
            <w:r w:rsidRPr="00626687">
              <w:rPr>
                <w:rFonts w:eastAsia="Times New Roman"/>
                <w:sz w:val="20"/>
                <w:szCs w:val="20"/>
              </w:rPr>
              <w:t>План</w:t>
            </w:r>
          </w:p>
        </w:tc>
        <w:tc>
          <w:tcPr>
            <w:tcW w:w="598" w:type="pct"/>
            <w:noWrap/>
            <w:vAlign w:val="bottom"/>
            <w:hideMark/>
          </w:tcPr>
          <w:p w:rsidR="00A712E1" w:rsidRPr="00A352F7" w:rsidRDefault="00A712E1" w:rsidP="00A712E1">
            <w:pPr>
              <w:spacing w:after="0" w:line="240" w:lineRule="auto"/>
              <w:contextualSpacing/>
              <w:rPr>
                <w:rFonts w:eastAsia="Times New Roman"/>
                <w:color w:val="FF0000"/>
                <w:sz w:val="20"/>
                <w:szCs w:val="20"/>
              </w:rPr>
            </w:pPr>
            <w:r w:rsidRPr="00096E5A">
              <w:rPr>
                <w:rFonts w:eastAsia="Times New Roman"/>
                <w:sz w:val="20"/>
                <w:szCs w:val="20"/>
              </w:rPr>
              <w:t>План</w:t>
            </w:r>
          </w:p>
        </w:tc>
        <w:tc>
          <w:tcPr>
            <w:tcW w:w="1163" w:type="pct"/>
            <w:gridSpan w:val="2"/>
            <w:noWrap/>
            <w:vAlign w:val="bottom"/>
            <w:hideMark/>
          </w:tcPr>
          <w:p w:rsidR="00A712E1" w:rsidRPr="00096E5A" w:rsidRDefault="00A712E1" w:rsidP="00A712E1">
            <w:pPr>
              <w:spacing w:after="0" w:line="240" w:lineRule="auto"/>
              <w:contextualSpacing/>
              <w:rPr>
                <w:rFonts w:eastAsia="Times New Roman"/>
                <w:sz w:val="20"/>
                <w:szCs w:val="20"/>
              </w:rPr>
            </w:pPr>
            <w:r w:rsidRPr="00096E5A">
              <w:rPr>
                <w:rFonts w:eastAsia="Times New Roman"/>
                <w:sz w:val="20"/>
                <w:szCs w:val="20"/>
              </w:rPr>
              <w:t>откл. от плана 202</w:t>
            </w:r>
            <w:r>
              <w:rPr>
                <w:rFonts w:eastAsia="Times New Roman"/>
                <w:sz w:val="20"/>
                <w:szCs w:val="20"/>
              </w:rPr>
              <w:t>4 г.</w:t>
            </w:r>
          </w:p>
        </w:tc>
      </w:tr>
      <w:tr w:rsidR="004F4543" w:rsidRPr="00725B40" w:rsidTr="004F4543">
        <w:trPr>
          <w:trHeight w:val="20"/>
        </w:trPr>
        <w:tc>
          <w:tcPr>
            <w:tcW w:w="1831" w:type="pct"/>
            <w:vAlign w:val="bottom"/>
            <w:hideMark/>
          </w:tcPr>
          <w:p w:rsidR="00A712E1" w:rsidRDefault="00A712E1" w:rsidP="00A712E1">
            <w:pPr>
              <w:spacing w:after="0" w:line="240" w:lineRule="auto"/>
              <w:contextualSpacing/>
              <w:rPr>
                <w:rFonts w:eastAsia="Times New Roman"/>
                <w:sz w:val="20"/>
                <w:szCs w:val="20"/>
              </w:rPr>
            </w:pPr>
            <w:r>
              <w:rPr>
                <w:rFonts w:eastAsia="Times New Roman"/>
                <w:sz w:val="20"/>
                <w:szCs w:val="20"/>
              </w:rPr>
              <w:t>Электропотребление Новосибирской области, в целом</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17 262,42</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17 639,60</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17 711,71</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72,11</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0,4%</w:t>
            </w:r>
          </w:p>
        </w:tc>
      </w:tr>
      <w:tr w:rsidR="004F4543" w:rsidRPr="00725B40" w:rsidTr="004F4543">
        <w:trPr>
          <w:trHeight w:val="20"/>
        </w:trPr>
        <w:tc>
          <w:tcPr>
            <w:tcW w:w="1831" w:type="pct"/>
            <w:noWrap/>
            <w:vAlign w:val="bottom"/>
            <w:hideMark/>
          </w:tcPr>
          <w:p w:rsidR="00A712E1" w:rsidRDefault="00A712E1" w:rsidP="00A712E1">
            <w:pPr>
              <w:spacing w:after="0" w:line="240" w:lineRule="auto"/>
              <w:contextualSpacing/>
              <w:rPr>
                <w:rFonts w:eastAsia="Times New Roman"/>
                <w:sz w:val="20"/>
                <w:szCs w:val="20"/>
              </w:rPr>
            </w:pPr>
            <w:r>
              <w:rPr>
                <w:rFonts w:eastAsia="Times New Roman"/>
                <w:sz w:val="20"/>
                <w:szCs w:val="20"/>
              </w:rPr>
              <w:t>Потери в сетях ФСК-ЕЭС</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159,65</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289</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289,39</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0,39</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0,1%</w:t>
            </w:r>
          </w:p>
        </w:tc>
      </w:tr>
      <w:tr w:rsidR="004F4543" w:rsidRPr="00725B40" w:rsidTr="004F4543">
        <w:trPr>
          <w:trHeight w:val="20"/>
        </w:trPr>
        <w:tc>
          <w:tcPr>
            <w:tcW w:w="1831" w:type="pct"/>
            <w:vAlign w:val="bottom"/>
            <w:hideMark/>
          </w:tcPr>
          <w:p w:rsidR="00A712E1" w:rsidRDefault="00A712E1" w:rsidP="00A712E1">
            <w:pPr>
              <w:spacing w:after="0" w:line="240" w:lineRule="auto"/>
              <w:contextualSpacing/>
              <w:rPr>
                <w:rFonts w:eastAsia="Times New Roman"/>
                <w:sz w:val="20"/>
                <w:szCs w:val="20"/>
              </w:rPr>
            </w:pPr>
            <w:r>
              <w:rPr>
                <w:rFonts w:eastAsia="Times New Roman"/>
                <w:sz w:val="20"/>
                <w:szCs w:val="20"/>
              </w:rPr>
              <w:t>Собственные и производственные нужды НГЭС</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20,12</w:t>
            </w:r>
          </w:p>
        </w:tc>
        <w:tc>
          <w:tcPr>
            <w:tcW w:w="667" w:type="pct"/>
            <w:noWrap/>
            <w:vAlign w:val="center"/>
          </w:tcPr>
          <w:p w:rsidR="00A712E1" w:rsidRPr="00653B0D" w:rsidRDefault="00A712E1" w:rsidP="004F4543">
            <w:pPr>
              <w:spacing w:after="0" w:line="240" w:lineRule="auto"/>
              <w:contextualSpacing/>
              <w:rPr>
                <w:sz w:val="20"/>
                <w:szCs w:val="20"/>
              </w:rPr>
            </w:pPr>
            <w:r w:rsidRPr="00653B0D">
              <w:rPr>
                <w:sz w:val="20"/>
                <w:szCs w:val="20"/>
              </w:rPr>
              <w:t>32,0</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33,50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1,50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4,7%</w:t>
            </w:r>
          </w:p>
        </w:tc>
      </w:tr>
      <w:tr w:rsidR="004F4543" w:rsidRPr="00725B40" w:rsidTr="004F4543">
        <w:trPr>
          <w:trHeight w:val="20"/>
        </w:trPr>
        <w:tc>
          <w:tcPr>
            <w:tcW w:w="1831" w:type="pct"/>
            <w:vAlign w:val="bottom"/>
            <w:hideMark/>
          </w:tcPr>
          <w:p w:rsidR="00A712E1" w:rsidRDefault="00A712E1" w:rsidP="00A712E1">
            <w:pPr>
              <w:spacing w:after="0" w:line="240" w:lineRule="auto"/>
              <w:contextualSpacing/>
              <w:rPr>
                <w:rFonts w:eastAsia="Times New Roman"/>
                <w:sz w:val="20"/>
                <w:szCs w:val="20"/>
              </w:rPr>
            </w:pPr>
            <w:r>
              <w:rPr>
                <w:rFonts w:eastAsia="Times New Roman"/>
                <w:sz w:val="20"/>
                <w:szCs w:val="20"/>
              </w:rPr>
              <w:t>Собственные нужды, производственные нужды, АО «СГК-Новосибирск»</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1 668,28</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1 345,5</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1 515,01</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169,48</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12,6%</w:t>
            </w:r>
          </w:p>
        </w:tc>
      </w:tr>
      <w:tr w:rsidR="004F4543" w:rsidRPr="00725B40" w:rsidTr="004F4543">
        <w:trPr>
          <w:trHeight w:val="20"/>
        </w:trPr>
        <w:tc>
          <w:tcPr>
            <w:tcW w:w="1831" w:type="pct"/>
            <w:vAlign w:val="bottom"/>
            <w:hideMark/>
          </w:tcPr>
          <w:p w:rsidR="00A712E1" w:rsidRDefault="00A712E1" w:rsidP="00A712E1">
            <w:pPr>
              <w:spacing w:after="0" w:line="240" w:lineRule="auto"/>
              <w:contextualSpacing/>
              <w:rPr>
                <w:rFonts w:eastAsia="Times New Roman"/>
                <w:sz w:val="20"/>
                <w:szCs w:val="20"/>
              </w:rPr>
            </w:pPr>
            <w:r>
              <w:rPr>
                <w:rFonts w:eastAsia="Times New Roman"/>
                <w:sz w:val="20"/>
                <w:szCs w:val="20"/>
              </w:rPr>
              <w:t>Покупка с оптового рынка, всего,   в т.ч.:</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15 574,02</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16 262,1</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16 163,20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-98,88</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-0,6%</w:t>
            </w:r>
          </w:p>
        </w:tc>
      </w:tr>
      <w:tr w:rsidR="004F4543" w:rsidRPr="00725B40" w:rsidTr="004F4543">
        <w:trPr>
          <w:trHeight w:val="20"/>
        </w:trPr>
        <w:tc>
          <w:tcPr>
            <w:tcW w:w="1831" w:type="pct"/>
            <w:vAlign w:val="bottom"/>
            <w:hideMark/>
          </w:tcPr>
          <w:p w:rsidR="00A712E1" w:rsidRPr="00653B0D" w:rsidRDefault="00A712E1" w:rsidP="00A712E1">
            <w:pPr>
              <w:spacing w:after="0" w:line="240" w:lineRule="auto"/>
              <w:contextualSpacing/>
              <w:rPr>
                <w:rFonts w:eastAsia="Times New Roman"/>
                <w:sz w:val="18"/>
                <w:szCs w:val="18"/>
              </w:rPr>
            </w:pPr>
            <w:r w:rsidRPr="00653B0D">
              <w:rPr>
                <w:rFonts w:eastAsia="Times New Roman"/>
                <w:sz w:val="18"/>
                <w:szCs w:val="18"/>
              </w:rPr>
              <w:t xml:space="preserve">АО «Новосибирскэнергосбыт» </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12 842,07</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13 357,3</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13 288,62</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-68,70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-0,5%</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АО «Мосэнергосбыт»</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7,23</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7,2</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7,23</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0,00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0,0%</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«Транснефтьэнерго»</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75,51</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8,4</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88,51</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80,15</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958,9%</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АО «Система»</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182,27</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155,7</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211,30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55,60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35,7%</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«ЭСК «Горкунов»</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236,95</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213,5</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218,40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4,92</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2,3%</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«АРСТЭМ-ЭнергоТрейд»</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37,12</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51,1</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52,26</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1,14</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2,2%</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«ГлавЭнергоСбыт»</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45,94</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44,9</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44,57</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-0,36</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-0,8%</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«Русэнергоресурс»</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0,00</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61,7</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0,00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-61,66</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-100,0%</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«Русэнергосбыт</w:t>
            </w:r>
            <w:r>
              <w:rPr>
                <w:sz w:val="20"/>
                <w:szCs w:val="20"/>
              </w:rPr>
              <w:t>»</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1 587,93</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1 735,39</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1 586,11</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-149,27</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-8,6%</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«ЭСК Потенциал»</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234,51</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271,9</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282,61</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10,72</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3,9%</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«ЕЭС-Гарант»</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284,79</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312,2</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312,20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0,00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0,0%</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"Трансэнергопром"</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23,96</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21,1</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23,96</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2,87</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13,6%</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"РТК Энергосбыт"</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3,28</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5,65</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7,44</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1,79</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31,7%</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"Ижэнергосбыт"</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3,36</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4,49</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3,78</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-0,71</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-15,7%</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"КЭС"</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5,11</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6,58</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7,02</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0,43</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6,6%</w:t>
            </w:r>
          </w:p>
        </w:tc>
      </w:tr>
      <w:tr w:rsidR="004F4543" w:rsidRPr="00725B40" w:rsidTr="004F4543">
        <w:trPr>
          <w:trHeight w:val="20"/>
        </w:trPr>
        <w:tc>
          <w:tcPr>
            <w:tcW w:w="1831" w:type="pct"/>
            <w:vAlign w:val="center"/>
          </w:tcPr>
          <w:p w:rsidR="00A712E1" w:rsidRPr="00653B0D" w:rsidRDefault="00A712E1" w:rsidP="00A712E1">
            <w:pPr>
              <w:spacing w:after="0" w:line="240" w:lineRule="auto"/>
              <w:contextualSpacing/>
              <w:rPr>
                <w:sz w:val="20"/>
                <w:szCs w:val="20"/>
              </w:rPr>
            </w:pPr>
            <w:r w:rsidRPr="00653B0D">
              <w:rPr>
                <w:sz w:val="20"/>
                <w:szCs w:val="20"/>
              </w:rPr>
              <w:t>ООО «Энергетическая компания «СТИ»</w:t>
            </w:r>
          </w:p>
        </w:tc>
        <w:tc>
          <w:tcPr>
            <w:tcW w:w="741" w:type="pct"/>
            <w:noWrap/>
            <w:vAlign w:val="center"/>
          </w:tcPr>
          <w:p w:rsidR="00A712E1" w:rsidRPr="00653B0D" w:rsidRDefault="00A712E1" w:rsidP="00A712E1">
            <w:pPr>
              <w:spacing w:after="0" w:line="240" w:lineRule="auto"/>
              <w:contextualSpacing/>
              <w:rPr>
                <w:sz w:val="20"/>
                <w:szCs w:val="20"/>
              </w:rPr>
            </w:pPr>
            <w:r w:rsidRPr="00653B0D">
              <w:rPr>
                <w:sz w:val="20"/>
                <w:szCs w:val="20"/>
              </w:rPr>
              <w:t>3,99</w:t>
            </w:r>
          </w:p>
        </w:tc>
        <w:tc>
          <w:tcPr>
            <w:tcW w:w="667" w:type="pct"/>
            <w:noWrap/>
            <w:vAlign w:val="center"/>
          </w:tcPr>
          <w:p w:rsidR="00A712E1" w:rsidRPr="00653B0D" w:rsidRDefault="00A712E1" w:rsidP="00A712E1">
            <w:pPr>
              <w:spacing w:after="0" w:line="240" w:lineRule="auto"/>
              <w:contextualSpacing/>
              <w:rPr>
                <w:sz w:val="20"/>
                <w:szCs w:val="20"/>
              </w:rPr>
            </w:pPr>
            <w:r w:rsidRPr="00653B0D">
              <w:rPr>
                <w:sz w:val="20"/>
                <w:szCs w:val="20"/>
              </w:rPr>
              <w:t>5</w:t>
            </w:r>
            <w:r>
              <w:rPr>
                <w:sz w:val="20"/>
                <w:szCs w:val="20"/>
              </w:rPr>
              <w:t>,00</w:t>
            </w:r>
          </w:p>
        </w:tc>
        <w:tc>
          <w:tcPr>
            <w:tcW w:w="598" w:type="pct"/>
            <w:noWrap/>
            <w:vAlign w:val="center"/>
          </w:tcPr>
          <w:p w:rsidR="00A712E1" w:rsidRPr="00653B0D" w:rsidRDefault="00A712E1" w:rsidP="00A712E1">
            <w:pPr>
              <w:spacing w:after="0" w:line="240" w:lineRule="auto"/>
              <w:contextualSpacing/>
              <w:rPr>
                <w:sz w:val="20"/>
                <w:szCs w:val="20"/>
              </w:rPr>
            </w:pPr>
            <w:r w:rsidRPr="00653B0D">
              <w:rPr>
                <w:sz w:val="20"/>
                <w:szCs w:val="20"/>
              </w:rPr>
              <w:t>29,20</w:t>
            </w:r>
          </w:p>
        </w:tc>
        <w:tc>
          <w:tcPr>
            <w:tcW w:w="694" w:type="pct"/>
            <w:noWrap/>
            <w:vAlign w:val="center"/>
          </w:tcPr>
          <w:p w:rsidR="00A712E1" w:rsidRPr="00653B0D" w:rsidRDefault="00A712E1" w:rsidP="00A712E1">
            <w:pPr>
              <w:spacing w:after="0" w:line="240" w:lineRule="auto"/>
              <w:contextualSpacing/>
              <w:rPr>
                <w:sz w:val="20"/>
                <w:szCs w:val="20"/>
              </w:rPr>
            </w:pPr>
            <w:r w:rsidRPr="00653B0D">
              <w:rPr>
                <w:sz w:val="20"/>
                <w:szCs w:val="20"/>
              </w:rPr>
              <w:t>24,20</w:t>
            </w:r>
          </w:p>
        </w:tc>
        <w:tc>
          <w:tcPr>
            <w:tcW w:w="470" w:type="pct"/>
            <w:noWrap/>
            <w:vAlign w:val="center"/>
          </w:tcPr>
          <w:p w:rsidR="00A712E1" w:rsidRPr="00653B0D" w:rsidRDefault="00A712E1" w:rsidP="00A712E1">
            <w:pPr>
              <w:spacing w:after="0" w:line="240" w:lineRule="auto"/>
              <w:contextualSpacing/>
              <w:rPr>
                <w:sz w:val="20"/>
                <w:szCs w:val="20"/>
              </w:rPr>
            </w:pPr>
            <w:r w:rsidRPr="00653B0D">
              <w:rPr>
                <w:sz w:val="20"/>
                <w:szCs w:val="20"/>
              </w:rPr>
              <w:t>484,0%</w:t>
            </w:r>
          </w:p>
        </w:tc>
      </w:tr>
    </w:tbl>
    <w:p w:rsidR="00A712E1" w:rsidRPr="00BF6F87" w:rsidRDefault="00A712E1" w:rsidP="00A712E1">
      <w:pPr>
        <w:tabs>
          <w:tab w:val="left" w:pos="9356"/>
        </w:tabs>
        <w:spacing w:after="0" w:line="240" w:lineRule="auto"/>
        <w:rPr>
          <w:rFonts w:eastAsia="Times New Roman"/>
          <w:sz w:val="24"/>
          <w:szCs w:val="16"/>
        </w:rPr>
      </w:pPr>
    </w:p>
    <w:p w:rsidR="00A712E1" w:rsidRPr="004F4543" w:rsidRDefault="00A712E1" w:rsidP="00A712E1">
      <w:pPr>
        <w:tabs>
          <w:tab w:val="left" w:pos="9356"/>
        </w:tabs>
        <w:spacing w:after="0" w:line="240" w:lineRule="auto"/>
        <w:rPr>
          <w:rFonts w:eastAsia="Times New Roman"/>
          <w:b/>
          <w:sz w:val="24"/>
        </w:rPr>
      </w:pPr>
      <w:r w:rsidRPr="004F4543">
        <w:rPr>
          <w:rFonts w:eastAsia="Times New Roman"/>
          <w:b/>
          <w:sz w:val="24"/>
        </w:rPr>
        <w:t>Динамика плановых и фактических показателей структуры полезного отпуска электрической энергии за 2022-2023 годы по отдельным категориям потребителей АО «Новосибирскэнергосбыт»</w:t>
      </w:r>
    </w:p>
    <w:p w:rsidR="00A712E1" w:rsidRDefault="00A712E1" w:rsidP="00A712E1">
      <w:pPr>
        <w:tabs>
          <w:tab w:val="left" w:pos="9356"/>
        </w:tabs>
        <w:spacing w:after="0" w:line="240" w:lineRule="auto"/>
        <w:jc w:val="right"/>
        <w:rPr>
          <w:rFonts w:eastAsia="Times New Roman"/>
          <w:szCs w:val="28"/>
        </w:rPr>
      </w:pPr>
      <w:r>
        <w:rPr>
          <w:rFonts w:eastAsia="Times New Roman"/>
          <w:sz w:val="20"/>
          <w:szCs w:val="20"/>
        </w:rPr>
        <w:t>млн.кВт.ч.</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5"/>
        <w:gridCol w:w="1275"/>
        <w:gridCol w:w="1275"/>
        <w:gridCol w:w="1275"/>
        <w:gridCol w:w="1275"/>
        <w:gridCol w:w="1116"/>
      </w:tblGrid>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 </w:t>
            </w:r>
          </w:p>
        </w:tc>
        <w:tc>
          <w:tcPr>
            <w:tcW w:w="666"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2022 г.</w:t>
            </w:r>
          </w:p>
        </w:tc>
        <w:tc>
          <w:tcPr>
            <w:tcW w:w="1332" w:type="pct"/>
            <w:gridSpan w:val="2"/>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2023 г.</w:t>
            </w:r>
          </w:p>
        </w:tc>
        <w:tc>
          <w:tcPr>
            <w:tcW w:w="1249" w:type="pct"/>
            <w:gridSpan w:val="2"/>
            <w:vMerge w:val="restar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Отклонение факта 2023 г. от факта 2022 г.</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Показатели</w:t>
            </w:r>
          </w:p>
        </w:tc>
        <w:tc>
          <w:tcPr>
            <w:tcW w:w="666"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Факт</w:t>
            </w:r>
          </w:p>
        </w:tc>
        <w:tc>
          <w:tcPr>
            <w:tcW w:w="666"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План</w:t>
            </w:r>
          </w:p>
        </w:tc>
        <w:tc>
          <w:tcPr>
            <w:tcW w:w="666"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Факт</w:t>
            </w:r>
          </w:p>
        </w:tc>
        <w:tc>
          <w:tcPr>
            <w:tcW w:w="1249" w:type="pct"/>
            <w:gridSpan w:val="2"/>
            <w:vMerge/>
            <w:vAlign w:val="center"/>
            <w:hideMark/>
          </w:tcPr>
          <w:p w:rsidR="00A712E1" w:rsidRPr="00CB6225" w:rsidRDefault="00A712E1" w:rsidP="00A712E1">
            <w:pPr>
              <w:spacing w:after="0" w:line="240" w:lineRule="auto"/>
              <w:rPr>
                <w:rFonts w:eastAsia="Times New Roman"/>
                <w:color w:val="FF0000"/>
                <w:sz w:val="20"/>
                <w:szCs w:val="20"/>
              </w:rPr>
            </w:pP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 Пром 750кВА и выше</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2 201,71</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2 235,67</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2 215,38</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13,67</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0,6%</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2. Пром. до 750 кВА</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646,89</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664,25</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656,12</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9,23</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1,4%</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3. Ж/д транспорт</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104,76</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102,70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107,30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2,53</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2,4%</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4. Городской транспорт</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74,75</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69,72</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77,12</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2,37</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3,2%</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5. Непром. потребители</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3 583,20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3 579,90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3 854,87</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271,67</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7,6%</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6. Сельхоз потребители</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297,02</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313,60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269,77</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-27,25</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-9,2%</w:t>
            </w:r>
          </w:p>
        </w:tc>
      </w:tr>
      <w:tr w:rsidR="00A712E1" w:rsidRPr="00CB6225" w:rsidTr="004F4543">
        <w:trPr>
          <w:trHeight w:val="315"/>
        </w:trPr>
        <w:tc>
          <w:tcPr>
            <w:tcW w:w="1753"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7. Население, всего</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4 229,66</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4 253,00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4 510,14</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280,48</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6,6%</w:t>
            </w:r>
          </w:p>
        </w:tc>
      </w:tr>
      <w:tr w:rsidR="00A712E1" w:rsidRPr="00CB6225" w:rsidTr="004F4543">
        <w:trPr>
          <w:trHeight w:val="525"/>
        </w:trPr>
        <w:tc>
          <w:tcPr>
            <w:tcW w:w="1753"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Отпущено  сетевым компаниям на компенсацию потерь</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1 687,33</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2 129,18</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1 708,66</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21,33</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1,3%</w:t>
            </w:r>
          </w:p>
        </w:tc>
      </w:tr>
      <w:tr w:rsidR="00A712E1" w:rsidRPr="00CB6225" w:rsidTr="004F4543">
        <w:trPr>
          <w:trHeight w:val="855"/>
        </w:trPr>
        <w:tc>
          <w:tcPr>
            <w:tcW w:w="1753"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Отпущено электростанциям и районным котельным на покрытие собственных и производственных нужд</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14,06</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6,46</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7,05</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-7,02</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-49,9%</w:t>
            </w:r>
          </w:p>
        </w:tc>
      </w:tr>
      <w:tr w:rsidR="00A712E1" w:rsidRPr="00CB6225" w:rsidTr="004F4543">
        <w:trPr>
          <w:trHeight w:val="780"/>
        </w:trPr>
        <w:tc>
          <w:tcPr>
            <w:tcW w:w="1753" w:type="pct"/>
            <w:vAlign w:val="center"/>
            <w:hideMark/>
          </w:tcPr>
          <w:p w:rsidR="00A712E1" w:rsidRPr="00CB6225" w:rsidRDefault="00A712E1" w:rsidP="00A712E1">
            <w:pPr>
              <w:spacing w:after="0" w:line="240" w:lineRule="auto"/>
              <w:rPr>
                <w:rFonts w:eastAsia="Times New Roman"/>
                <w:bCs/>
                <w:sz w:val="20"/>
                <w:szCs w:val="20"/>
              </w:rPr>
            </w:pPr>
            <w:r w:rsidRPr="00CB6225">
              <w:rPr>
                <w:rFonts w:eastAsia="Times New Roman"/>
                <w:bCs/>
                <w:sz w:val="20"/>
                <w:szCs w:val="20"/>
              </w:rPr>
              <w:t>Объем электроэнергии для реализации собственным потребителям, всего</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12 839,38</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13 354,49</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13 406,40</w:t>
            </w:r>
          </w:p>
        </w:tc>
        <w:tc>
          <w:tcPr>
            <w:tcW w:w="666" w:type="pct"/>
            <w:noWrap/>
            <w:vAlign w:val="center"/>
          </w:tcPr>
          <w:p w:rsidR="00A712E1" w:rsidRPr="00CB6225" w:rsidRDefault="00A712E1" w:rsidP="00A712E1">
            <w:pPr>
              <w:spacing w:after="0" w:line="240" w:lineRule="auto"/>
              <w:rPr>
                <w:sz w:val="20"/>
                <w:szCs w:val="20"/>
              </w:rPr>
            </w:pPr>
            <w:r w:rsidRPr="00CB6225">
              <w:rPr>
                <w:sz w:val="20"/>
                <w:szCs w:val="20"/>
              </w:rPr>
              <w:t>567,02</w:t>
            </w:r>
          </w:p>
        </w:tc>
        <w:tc>
          <w:tcPr>
            <w:tcW w:w="583" w:type="pct"/>
            <w:noWrap/>
            <w:vAlign w:val="center"/>
          </w:tcPr>
          <w:p w:rsidR="00A712E1" w:rsidRPr="00CB6225" w:rsidRDefault="00A712E1" w:rsidP="00A712E1">
            <w:pPr>
              <w:spacing w:after="0" w:line="240" w:lineRule="auto"/>
              <w:rPr>
                <w:sz w:val="20"/>
                <w:szCs w:val="20"/>
              </w:rPr>
            </w:pPr>
            <w:r w:rsidRPr="00CB6225">
              <w:rPr>
                <w:sz w:val="20"/>
                <w:szCs w:val="20"/>
              </w:rPr>
              <w:t>4,4%</w:t>
            </w:r>
          </w:p>
        </w:tc>
      </w:tr>
    </w:tbl>
    <w:p w:rsidR="00A712E1" w:rsidRDefault="00A712E1" w:rsidP="00A712E1">
      <w:pPr>
        <w:spacing w:after="0" w:line="240" w:lineRule="auto"/>
        <w:rPr>
          <w:rFonts w:ascii="Times New Roman CYR" w:eastAsia="Times New Roman" w:hAnsi="Times New Roman CYR" w:cs="Times New Roman CYR"/>
          <w:bCs/>
          <w:color w:val="FF0000"/>
          <w:szCs w:val="28"/>
          <w:lang w:val="en-US"/>
        </w:rPr>
      </w:pPr>
    </w:p>
    <w:p w:rsidR="00A712E1" w:rsidRPr="00CB6225" w:rsidRDefault="00A712E1" w:rsidP="00A712E1">
      <w:pPr>
        <w:spacing w:after="0" w:line="240" w:lineRule="auto"/>
        <w:rPr>
          <w:rFonts w:ascii="Times New Roman CYR" w:eastAsia="Times New Roman" w:hAnsi="Times New Roman CYR" w:cs="Times New Roman CYR"/>
          <w:b/>
          <w:bCs/>
          <w:sz w:val="24"/>
        </w:rPr>
      </w:pPr>
      <w:r w:rsidRPr="00CB6225">
        <w:rPr>
          <w:rFonts w:ascii="Times New Roman CYR" w:eastAsia="Times New Roman" w:hAnsi="Times New Roman CYR" w:cs="Times New Roman CYR"/>
          <w:b/>
          <w:bCs/>
          <w:sz w:val="24"/>
        </w:rPr>
        <w:t>Баланс электрической энергии, учтённый при формировании</w:t>
      </w:r>
    </w:p>
    <w:p w:rsidR="00A712E1" w:rsidRPr="00CB6225" w:rsidRDefault="00A712E1" w:rsidP="00A712E1">
      <w:pPr>
        <w:spacing w:after="0" w:line="240" w:lineRule="auto"/>
        <w:rPr>
          <w:rFonts w:eastAsia="Times New Roman"/>
          <w:b/>
          <w:sz w:val="24"/>
        </w:rPr>
      </w:pPr>
      <w:r w:rsidRPr="00CB6225">
        <w:rPr>
          <w:rFonts w:ascii="Times New Roman CYR" w:eastAsia="Times New Roman" w:hAnsi="Times New Roman CYR" w:cs="Times New Roman CYR"/>
          <w:b/>
          <w:bCs/>
          <w:sz w:val="24"/>
        </w:rPr>
        <w:t xml:space="preserve">единых (котловых) тарифов </w:t>
      </w:r>
      <w:r w:rsidRPr="00CB6225">
        <w:rPr>
          <w:rFonts w:eastAsia="Times New Roman"/>
          <w:b/>
          <w:sz w:val="24"/>
        </w:rPr>
        <w:t>на услуги по передаче электрической энергии по сетям Новосибирской области на 2025 год</w:t>
      </w:r>
    </w:p>
    <w:p w:rsidR="00A712E1" w:rsidRDefault="00A712E1" w:rsidP="00A712E1">
      <w:pPr>
        <w:spacing w:after="0" w:line="240" w:lineRule="auto"/>
        <w:jc w:val="right"/>
        <w:rPr>
          <w:rFonts w:eastAsia="Times New Roman"/>
          <w:sz w:val="18"/>
          <w:szCs w:val="18"/>
        </w:rPr>
      </w:pPr>
    </w:p>
    <w:p w:rsidR="00A712E1" w:rsidRPr="00CB6225" w:rsidRDefault="00A712E1" w:rsidP="00A712E1">
      <w:pPr>
        <w:spacing w:after="0" w:line="240" w:lineRule="auto"/>
        <w:jc w:val="right"/>
        <w:rPr>
          <w:rFonts w:eastAsia="Times New Roman"/>
          <w:sz w:val="20"/>
          <w:szCs w:val="20"/>
        </w:rPr>
      </w:pPr>
      <w:r w:rsidRPr="00CB6225">
        <w:rPr>
          <w:rFonts w:eastAsia="Times New Roman"/>
          <w:sz w:val="20"/>
          <w:szCs w:val="20"/>
        </w:rPr>
        <w:t>млн.кВт.ч</w:t>
      </w:r>
    </w:p>
    <w:tbl>
      <w:tblPr>
        <w:tblW w:w="49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0"/>
        <w:gridCol w:w="2842"/>
        <w:gridCol w:w="1134"/>
        <w:gridCol w:w="1276"/>
        <w:gridCol w:w="1134"/>
        <w:gridCol w:w="1134"/>
        <w:gridCol w:w="1060"/>
        <w:gridCol w:w="9"/>
      </w:tblGrid>
      <w:tr w:rsidR="00A712E1" w:rsidRPr="00CB6225" w:rsidTr="00CB6225">
        <w:trPr>
          <w:trHeight w:val="338"/>
        </w:trPr>
        <w:tc>
          <w:tcPr>
            <w:tcW w:w="431" w:type="pct"/>
            <w:vMerge w:val="restart"/>
            <w:noWrap/>
            <w:vAlign w:val="center"/>
            <w:hideMark/>
          </w:tcPr>
          <w:p w:rsidR="00A712E1" w:rsidRPr="00CB6225" w:rsidRDefault="00A712E1" w:rsidP="00A712E1">
            <w:pPr>
              <w:spacing w:after="0" w:line="240" w:lineRule="auto"/>
              <w:rPr>
                <w:rFonts w:eastAsia="Times New Roman"/>
                <w:bCs/>
                <w:sz w:val="20"/>
                <w:szCs w:val="20"/>
              </w:rPr>
            </w:pPr>
            <w:r w:rsidRPr="00CB6225">
              <w:rPr>
                <w:rFonts w:eastAsia="Times New Roman"/>
                <w:bCs/>
                <w:sz w:val="20"/>
                <w:szCs w:val="20"/>
              </w:rPr>
              <w:t>№ п/п</w:t>
            </w:r>
          </w:p>
        </w:tc>
        <w:tc>
          <w:tcPr>
            <w:tcW w:w="1512" w:type="pct"/>
            <w:vMerge w:val="restart"/>
            <w:vAlign w:val="center"/>
            <w:hideMark/>
          </w:tcPr>
          <w:p w:rsidR="00A712E1" w:rsidRPr="00CB6225" w:rsidRDefault="00A712E1" w:rsidP="00A712E1">
            <w:pPr>
              <w:spacing w:after="0" w:line="240" w:lineRule="auto"/>
              <w:rPr>
                <w:rFonts w:eastAsia="Times New Roman"/>
                <w:bCs/>
                <w:sz w:val="20"/>
                <w:szCs w:val="20"/>
              </w:rPr>
            </w:pPr>
            <w:r w:rsidRPr="00CB6225">
              <w:rPr>
                <w:rFonts w:eastAsia="Times New Roman"/>
                <w:bCs/>
                <w:sz w:val="20"/>
                <w:szCs w:val="20"/>
              </w:rPr>
              <w:t>Показатели</w:t>
            </w:r>
          </w:p>
        </w:tc>
        <w:tc>
          <w:tcPr>
            <w:tcW w:w="3057" w:type="pct"/>
            <w:gridSpan w:val="6"/>
            <w:vAlign w:val="center"/>
            <w:hideMark/>
          </w:tcPr>
          <w:p w:rsidR="00A712E1" w:rsidRPr="00CB6225" w:rsidRDefault="00A712E1" w:rsidP="00A712E1">
            <w:pPr>
              <w:spacing w:after="0" w:line="240" w:lineRule="auto"/>
              <w:rPr>
                <w:b/>
                <w:sz w:val="20"/>
                <w:szCs w:val="20"/>
              </w:rPr>
            </w:pPr>
            <w:r w:rsidRPr="00CB6225">
              <w:rPr>
                <w:rFonts w:eastAsia="Times New Roman"/>
                <w:b/>
                <w:bCs/>
                <w:sz w:val="20"/>
                <w:szCs w:val="20"/>
              </w:rPr>
              <w:t>2025 план</w:t>
            </w:r>
          </w:p>
        </w:tc>
      </w:tr>
      <w:tr w:rsidR="00CB6225" w:rsidRPr="00CB6225" w:rsidTr="00CB6225">
        <w:trPr>
          <w:gridAfter w:val="1"/>
          <w:wAfter w:w="5" w:type="pct"/>
          <w:trHeight w:val="315"/>
        </w:trPr>
        <w:tc>
          <w:tcPr>
            <w:tcW w:w="431" w:type="pct"/>
            <w:vMerge/>
            <w:vAlign w:val="center"/>
            <w:hideMark/>
          </w:tcPr>
          <w:p w:rsidR="00A712E1" w:rsidRPr="00CB6225" w:rsidRDefault="00A712E1" w:rsidP="00A712E1">
            <w:pPr>
              <w:spacing w:after="0" w:line="240" w:lineRule="auto"/>
              <w:rPr>
                <w:rFonts w:eastAsia="Times New Roman"/>
                <w:bCs/>
                <w:sz w:val="20"/>
                <w:szCs w:val="20"/>
              </w:rPr>
            </w:pPr>
          </w:p>
        </w:tc>
        <w:tc>
          <w:tcPr>
            <w:tcW w:w="1512" w:type="pct"/>
            <w:vMerge/>
            <w:vAlign w:val="center"/>
            <w:hideMark/>
          </w:tcPr>
          <w:p w:rsidR="00A712E1" w:rsidRPr="00CB6225" w:rsidRDefault="00A712E1" w:rsidP="00A712E1">
            <w:pPr>
              <w:spacing w:after="0" w:line="240" w:lineRule="auto"/>
              <w:rPr>
                <w:rFonts w:eastAsia="Times New Roman"/>
                <w:bCs/>
                <w:sz w:val="20"/>
                <w:szCs w:val="20"/>
              </w:rPr>
            </w:pPr>
          </w:p>
        </w:tc>
        <w:tc>
          <w:tcPr>
            <w:tcW w:w="603" w:type="pct"/>
            <w:noWrap/>
            <w:vAlign w:val="center"/>
            <w:hideMark/>
          </w:tcPr>
          <w:p w:rsidR="00A712E1" w:rsidRPr="00CB6225" w:rsidRDefault="00A712E1" w:rsidP="00A712E1">
            <w:pPr>
              <w:spacing w:after="0" w:line="240" w:lineRule="auto"/>
              <w:rPr>
                <w:rFonts w:eastAsia="Times New Roman"/>
                <w:bCs/>
                <w:sz w:val="20"/>
                <w:szCs w:val="20"/>
              </w:rPr>
            </w:pPr>
            <w:r w:rsidRPr="00CB6225">
              <w:rPr>
                <w:rFonts w:eastAsia="Times New Roman"/>
                <w:bCs/>
                <w:sz w:val="20"/>
                <w:szCs w:val="20"/>
              </w:rPr>
              <w:t>Всего</w:t>
            </w:r>
          </w:p>
        </w:tc>
        <w:tc>
          <w:tcPr>
            <w:tcW w:w="679" w:type="pct"/>
            <w:noWrap/>
            <w:vAlign w:val="center"/>
            <w:hideMark/>
          </w:tcPr>
          <w:p w:rsidR="00A712E1" w:rsidRPr="00CB6225" w:rsidRDefault="00A712E1" w:rsidP="00A712E1">
            <w:pPr>
              <w:spacing w:after="0" w:line="240" w:lineRule="auto"/>
              <w:rPr>
                <w:rFonts w:eastAsia="Times New Roman"/>
                <w:b/>
                <w:bCs/>
                <w:sz w:val="20"/>
                <w:szCs w:val="20"/>
              </w:rPr>
            </w:pPr>
            <w:r w:rsidRPr="00CB6225">
              <w:rPr>
                <w:rFonts w:eastAsia="Times New Roman"/>
                <w:b/>
                <w:bCs/>
                <w:sz w:val="20"/>
                <w:szCs w:val="20"/>
              </w:rPr>
              <w:t>ВН</w:t>
            </w:r>
          </w:p>
        </w:tc>
        <w:tc>
          <w:tcPr>
            <w:tcW w:w="603" w:type="pct"/>
            <w:noWrap/>
            <w:vAlign w:val="center"/>
            <w:hideMark/>
          </w:tcPr>
          <w:p w:rsidR="00A712E1" w:rsidRPr="00CB6225" w:rsidRDefault="00A712E1" w:rsidP="00A712E1">
            <w:pPr>
              <w:spacing w:after="0" w:line="240" w:lineRule="auto"/>
              <w:rPr>
                <w:rFonts w:eastAsia="Times New Roman"/>
                <w:b/>
                <w:bCs/>
                <w:sz w:val="20"/>
                <w:szCs w:val="20"/>
              </w:rPr>
            </w:pPr>
            <w:r w:rsidRPr="00CB6225">
              <w:rPr>
                <w:rFonts w:eastAsia="Times New Roman"/>
                <w:b/>
                <w:bCs/>
                <w:sz w:val="20"/>
                <w:szCs w:val="20"/>
              </w:rPr>
              <w:t>СН1</w:t>
            </w:r>
          </w:p>
        </w:tc>
        <w:tc>
          <w:tcPr>
            <w:tcW w:w="603" w:type="pct"/>
            <w:noWrap/>
            <w:vAlign w:val="center"/>
            <w:hideMark/>
          </w:tcPr>
          <w:p w:rsidR="00A712E1" w:rsidRPr="00CB6225" w:rsidRDefault="00A712E1" w:rsidP="00A712E1">
            <w:pPr>
              <w:spacing w:after="0" w:line="240" w:lineRule="auto"/>
              <w:rPr>
                <w:rFonts w:eastAsia="Times New Roman"/>
                <w:b/>
                <w:bCs/>
                <w:sz w:val="20"/>
                <w:szCs w:val="20"/>
              </w:rPr>
            </w:pPr>
            <w:r w:rsidRPr="00CB6225">
              <w:rPr>
                <w:rFonts w:eastAsia="Times New Roman"/>
                <w:b/>
                <w:bCs/>
                <w:sz w:val="20"/>
                <w:szCs w:val="20"/>
              </w:rPr>
              <w:t>СН2</w:t>
            </w:r>
          </w:p>
        </w:tc>
        <w:tc>
          <w:tcPr>
            <w:tcW w:w="564" w:type="pct"/>
            <w:noWrap/>
            <w:vAlign w:val="center"/>
            <w:hideMark/>
          </w:tcPr>
          <w:p w:rsidR="00A712E1" w:rsidRPr="00CB6225" w:rsidRDefault="00A712E1" w:rsidP="00A712E1">
            <w:pPr>
              <w:spacing w:after="0" w:line="240" w:lineRule="auto"/>
              <w:rPr>
                <w:rFonts w:eastAsia="Times New Roman"/>
                <w:b/>
                <w:bCs/>
                <w:sz w:val="20"/>
                <w:szCs w:val="20"/>
              </w:rPr>
            </w:pPr>
            <w:r w:rsidRPr="00CB6225">
              <w:rPr>
                <w:rFonts w:eastAsia="Times New Roman"/>
                <w:b/>
                <w:bCs/>
                <w:sz w:val="20"/>
                <w:szCs w:val="20"/>
              </w:rPr>
              <w:t>НН</w:t>
            </w:r>
          </w:p>
        </w:tc>
      </w:tr>
      <w:tr w:rsidR="00CB6225" w:rsidRPr="00CB6225" w:rsidTr="00CB6225">
        <w:trPr>
          <w:gridAfter w:val="1"/>
          <w:wAfter w:w="5" w:type="pct"/>
          <w:trHeight w:val="49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w:t>
            </w:r>
          </w:p>
        </w:tc>
        <w:tc>
          <w:tcPr>
            <w:tcW w:w="1512" w:type="pct"/>
            <w:vAlign w:val="center"/>
            <w:hideMark/>
          </w:tcPr>
          <w:p w:rsidR="00A712E1" w:rsidRPr="00CB6225" w:rsidRDefault="00A712E1" w:rsidP="00A712E1">
            <w:pPr>
              <w:spacing w:after="0" w:line="240" w:lineRule="auto"/>
              <w:jc w:val="both"/>
              <w:rPr>
                <w:rFonts w:eastAsia="Times New Roman"/>
                <w:sz w:val="20"/>
                <w:szCs w:val="20"/>
              </w:rPr>
            </w:pPr>
            <w:r w:rsidRPr="00CB6225">
              <w:rPr>
                <w:rFonts w:eastAsia="Times New Roman"/>
                <w:sz w:val="20"/>
                <w:szCs w:val="20"/>
              </w:rPr>
              <w:t xml:space="preserve">Поступление эл.энергии в сеть, ВСЕГО </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15 364,765</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15 364,765</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1 400,000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10 347,015</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6 127,821</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1.1</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из смежной сети, всего</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17 874,837</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1 400,000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10 347,015</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6 127,821</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 </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 xml:space="preserve">    в том числе из сети</w:t>
            </w:r>
          </w:p>
        </w:tc>
        <w:tc>
          <w:tcPr>
            <w:tcW w:w="603" w:type="pct"/>
            <w:noWrap/>
            <w:vAlign w:val="center"/>
          </w:tcPr>
          <w:p w:rsidR="00A712E1" w:rsidRPr="00CB6225" w:rsidRDefault="00A712E1" w:rsidP="00A712E1">
            <w:pPr>
              <w:spacing w:after="0" w:line="240" w:lineRule="auto"/>
              <w:rPr>
                <w:color w:val="000000"/>
                <w:sz w:val="20"/>
                <w:szCs w:val="20"/>
              </w:rPr>
            </w:pPr>
          </w:p>
        </w:tc>
        <w:tc>
          <w:tcPr>
            <w:tcW w:w="679"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p>
        </w:tc>
        <w:tc>
          <w:tcPr>
            <w:tcW w:w="564" w:type="pct"/>
            <w:noWrap/>
            <w:vAlign w:val="center"/>
          </w:tcPr>
          <w:p w:rsidR="00A712E1" w:rsidRPr="00CB6225" w:rsidRDefault="00A712E1" w:rsidP="00A712E1">
            <w:pPr>
              <w:spacing w:after="0" w:line="240" w:lineRule="auto"/>
              <w:rPr>
                <w:color w:val="000000"/>
                <w:sz w:val="20"/>
                <w:szCs w:val="20"/>
              </w:rPr>
            </w:pP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1.1.1</w:t>
            </w:r>
          </w:p>
        </w:tc>
        <w:tc>
          <w:tcPr>
            <w:tcW w:w="1512" w:type="pct"/>
            <w:vAlign w:val="center"/>
            <w:hideMark/>
          </w:tcPr>
          <w:p w:rsidR="00A712E1" w:rsidRPr="00CB6225" w:rsidRDefault="00A712E1" w:rsidP="00A712E1">
            <w:pPr>
              <w:spacing w:after="0" w:line="240" w:lineRule="auto"/>
              <w:ind w:firstLineChars="200" w:firstLine="400"/>
              <w:rPr>
                <w:rFonts w:eastAsia="Times New Roman"/>
                <w:sz w:val="20"/>
                <w:szCs w:val="20"/>
              </w:rPr>
            </w:pPr>
            <w:r w:rsidRPr="00CB6225">
              <w:rPr>
                <w:rFonts w:eastAsia="Times New Roman"/>
                <w:sz w:val="20"/>
                <w:szCs w:val="20"/>
              </w:rPr>
              <w:t>ЕНЭС</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1.1.2</w:t>
            </w:r>
          </w:p>
        </w:tc>
        <w:tc>
          <w:tcPr>
            <w:tcW w:w="1512" w:type="pct"/>
            <w:vAlign w:val="center"/>
            <w:hideMark/>
          </w:tcPr>
          <w:p w:rsidR="00A712E1" w:rsidRPr="00CB6225" w:rsidRDefault="00A712E1" w:rsidP="00A712E1">
            <w:pPr>
              <w:spacing w:after="0" w:line="240" w:lineRule="auto"/>
              <w:ind w:firstLineChars="200" w:firstLine="400"/>
              <w:rPr>
                <w:rFonts w:eastAsia="Times New Roman"/>
                <w:sz w:val="20"/>
                <w:szCs w:val="20"/>
              </w:rPr>
            </w:pPr>
            <w:r w:rsidRPr="00CB6225">
              <w:rPr>
                <w:rFonts w:eastAsia="Times New Roman"/>
                <w:sz w:val="20"/>
                <w:szCs w:val="20"/>
              </w:rPr>
              <w:t>ВН</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10 415,852</w:t>
            </w:r>
          </w:p>
        </w:tc>
        <w:tc>
          <w:tcPr>
            <w:tcW w:w="679"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1 400,000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9 015,852</w:t>
            </w:r>
          </w:p>
        </w:tc>
        <w:tc>
          <w:tcPr>
            <w:tcW w:w="564" w:type="pct"/>
            <w:noWrap/>
            <w:vAlign w:val="center"/>
          </w:tcPr>
          <w:p w:rsidR="00A712E1" w:rsidRPr="00CB6225" w:rsidRDefault="00A712E1" w:rsidP="00A712E1">
            <w:pPr>
              <w:spacing w:after="0" w:line="240" w:lineRule="auto"/>
              <w:rPr>
                <w:color w:val="000000"/>
                <w:sz w:val="20"/>
                <w:szCs w:val="20"/>
              </w:rPr>
            </w:pP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1.1.3</w:t>
            </w:r>
          </w:p>
        </w:tc>
        <w:tc>
          <w:tcPr>
            <w:tcW w:w="1512" w:type="pct"/>
            <w:vAlign w:val="center"/>
            <w:hideMark/>
          </w:tcPr>
          <w:p w:rsidR="00A712E1" w:rsidRPr="00CB6225" w:rsidRDefault="00A712E1" w:rsidP="00A712E1">
            <w:pPr>
              <w:spacing w:after="0" w:line="240" w:lineRule="auto"/>
              <w:ind w:firstLineChars="200" w:firstLine="400"/>
              <w:rPr>
                <w:rFonts w:eastAsia="Times New Roman"/>
                <w:sz w:val="20"/>
                <w:szCs w:val="20"/>
              </w:rPr>
            </w:pPr>
            <w:r w:rsidRPr="00CB6225">
              <w:rPr>
                <w:rFonts w:eastAsia="Times New Roman"/>
                <w:sz w:val="20"/>
                <w:szCs w:val="20"/>
              </w:rPr>
              <w:t>СН1</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1 331,163</w:t>
            </w:r>
          </w:p>
        </w:tc>
        <w:tc>
          <w:tcPr>
            <w:tcW w:w="679"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1 331,163</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1.1.4</w:t>
            </w:r>
          </w:p>
        </w:tc>
        <w:tc>
          <w:tcPr>
            <w:tcW w:w="1512" w:type="pct"/>
            <w:vAlign w:val="center"/>
            <w:hideMark/>
          </w:tcPr>
          <w:p w:rsidR="00A712E1" w:rsidRPr="00CB6225" w:rsidRDefault="00A712E1" w:rsidP="00A712E1">
            <w:pPr>
              <w:spacing w:after="0" w:line="240" w:lineRule="auto"/>
              <w:ind w:firstLineChars="200" w:firstLine="400"/>
              <w:rPr>
                <w:rFonts w:eastAsia="Times New Roman"/>
                <w:sz w:val="20"/>
                <w:szCs w:val="20"/>
              </w:rPr>
            </w:pPr>
            <w:r w:rsidRPr="00CB6225">
              <w:rPr>
                <w:rFonts w:eastAsia="Times New Roman"/>
                <w:sz w:val="20"/>
                <w:szCs w:val="20"/>
              </w:rPr>
              <w:t>СН2</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6 127,821</w:t>
            </w:r>
          </w:p>
        </w:tc>
        <w:tc>
          <w:tcPr>
            <w:tcW w:w="679"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p>
        </w:tc>
        <w:tc>
          <w:tcPr>
            <w:tcW w:w="603" w:type="pct"/>
            <w:noWrap/>
            <w:vAlign w:val="center"/>
          </w:tcPr>
          <w:p w:rsidR="00A712E1" w:rsidRPr="00CB6225" w:rsidRDefault="00A712E1" w:rsidP="00A712E1">
            <w:pPr>
              <w:spacing w:after="0" w:line="240" w:lineRule="auto"/>
              <w:rPr>
                <w:color w:val="000000"/>
                <w:sz w:val="20"/>
                <w:szCs w:val="20"/>
              </w:rPr>
            </w:pP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6 127,821</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1.2</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 xml:space="preserve">от электростанций ПЭ </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49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1.3</w:t>
            </w:r>
          </w:p>
        </w:tc>
        <w:tc>
          <w:tcPr>
            <w:tcW w:w="1512" w:type="pct"/>
            <w:vAlign w:val="center"/>
            <w:hideMark/>
          </w:tcPr>
          <w:p w:rsidR="00A712E1" w:rsidRPr="00CB6225" w:rsidRDefault="00A712E1" w:rsidP="00A712E1">
            <w:pPr>
              <w:spacing w:after="0" w:line="240" w:lineRule="auto"/>
              <w:ind w:left="229"/>
              <w:rPr>
                <w:rFonts w:eastAsia="Times New Roman"/>
                <w:sz w:val="20"/>
                <w:szCs w:val="20"/>
              </w:rPr>
            </w:pPr>
            <w:r w:rsidRPr="00CB6225">
              <w:rPr>
                <w:rFonts w:eastAsia="Times New Roman"/>
                <w:sz w:val="20"/>
                <w:szCs w:val="20"/>
              </w:rPr>
              <w:t>от других поставщиков (в т.ч. с оптового рынка)</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15 364,765</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15 364,765</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49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1.4</w:t>
            </w:r>
          </w:p>
        </w:tc>
        <w:tc>
          <w:tcPr>
            <w:tcW w:w="1512" w:type="pct"/>
            <w:vAlign w:val="center"/>
            <w:hideMark/>
          </w:tcPr>
          <w:p w:rsidR="00A712E1" w:rsidRPr="00CB6225" w:rsidRDefault="00A712E1" w:rsidP="00A712E1">
            <w:pPr>
              <w:spacing w:after="0" w:line="240" w:lineRule="auto"/>
              <w:ind w:leftChars="94" w:left="263" w:firstLine="1"/>
              <w:rPr>
                <w:rFonts w:eastAsia="Times New Roman"/>
                <w:sz w:val="20"/>
                <w:szCs w:val="20"/>
              </w:rPr>
            </w:pPr>
            <w:r w:rsidRPr="00CB6225">
              <w:rPr>
                <w:rFonts w:eastAsia="Times New Roman"/>
                <w:sz w:val="20"/>
                <w:szCs w:val="20"/>
              </w:rPr>
              <w:t xml:space="preserve">поступление эл. энергии от других организаций </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2</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 xml:space="preserve">Потери электроэнергии в сети </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2 129,212</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937,108</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38,408</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643,626</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510,070</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2.1</w:t>
            </w:r>
          </w:p>
        </w:tc>
        <w:tc>
          <w:tcPr>
            <w:tcW w:w="1512" w:type="pct"/>
            <w:vAlign w:val="center"/>
            <w:hideMark/>
          </w:tcPr>
          <w:p w:rsidR="00A712E1" w:rsidRPr="00CB6225" w:rsidRDefault="00A712E1" w:rsidP="00A712E1">
            <w:pPr>
              <w:spacing w:after="0" w:line="240" w:lineRule="auto"/>
              <w:ind w:firstLineChars="50" w:firstLine="100"/>
              <w:rPr>
                <w:rFonts w:eastAsia="Times New Roman"/>
                <w:sz w:val="20"/>
                <w:szCs w:val="20"/>
              </w:rPr>
            </w:pPr>
            <w:r w:rsidRPr="00CB6225">
              <w:rPr>
                <w:rFonts w:eastAsia="Times New Roman"/>
                <w:sz w:val="20"/>
                <w:szCs w:val="20"/>
              </w:rPr>
              <w:t>то же в % (п.1.1/п.1.3)</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13,858</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6,099</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2,743</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6,220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8,324</w:t>
            </w:r>
          </w:p>
        </w:tc>
      </w:tr>
      <w:tr w:rsidR="00CB6225" w:rsidRPr="00CB6225" w:rsidTr="00CB6225">
        <w:trPr>
          <w:gridAfter w:val="1"/>
          <w:wAfter w:w="5" w:type="pct"/>
          <w:trHeight w:val="49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3</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Расход электроэнергии на произв. и хоз. нужды</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49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4</w:t>
            </w:r>
          </w:p>
        </w:tc>
        <w:tc>
          <w:tcPr>
            <w:tcW w:w="1512" w:type="pct"/>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Полезный отпуск из сети потребителям услуг, в т.ч:</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13 235,553</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4 011,805</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30,429</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3 575,568</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5 617,751</w:t>
            </w:r>
          </w:p>
        </w:tc>
      </w:tr>
      <w:tr w:rsidR="00CB6225" w:rsidRPr="00CB6225" w:rsidTr="00CB6225">
        <w:trPr>
          <w:gridAfter w:val="1"/>
          <w:wAfter w:w="5" w:type="pct"/>
          <w:trHeight w:val="570"/>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4.1</w:t>
            </w:r>
          </w:p>
        </w:tc>
        <w:tc>
          <w:tcPr>
            <w:tcW w:w="1512" w:type="pct"/>
            <w:vAlign w:val="center"/>
            <w:hideMark/>
          </w:tcPr>
          <w:p w:rsidR="00A712E1" w:rsidRPr="00CB6225" w:rsidRDefault="00A712E1" w:rsidP="00A712E1">
            <w:pPr>
              <w:spacing w:after="0" w:line="240" w:lineRule="auto"/>
              <w:ind w:left="229"/>
              <w:rPr>
                <w:rFonts w:eastAsia="Times New Roman"/>
                <w:sz w:val="20"/>
                <w:szCs w:val="20"/>
              </w:rPr>
            </w:pPr>
            <w:r w:rsidRPr="00CB6225">
              <w:rPr>
                <w:rFonts w:eastAsia="Times New Roman"/>
                <w:sz w:val="20"/>
                <w:szCs w:val="20"/>
              </w:rPr>
              <w:t>потребителям ээ, за исключением указанных в п. 4.2</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8 883,274</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4 011,805</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30,429</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3 575,568</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1 265,472</w:t>
            </w:r>
          </w:p>
        </w:tc>
      </w:tr>
      <w:tr w:rsidR="00CB6225" w:rsidRPr="00CB6225" w:rsidTr="00CB6225">
        <w:trPr>
          <w:gridAfter w:val="1"/>
          <w:wAfter w:w="5" w:type="pct"/>
          <w:trHeight w:val="838"/>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4.1.1</w:t>
            </w:r>
          </w:p>
        </w:tc>
        <w:tc>
          <w:tcPr>
            <w:tcW w:w="1512" w:type="pct"/>
            <w:vAlign w:val="center"/>
            <w:hideMark/>
          </w:tcPr>
          <w:p w:rsidR="00A712E1" w:rsidRPr="00CB6225" w:rsidRDefault="00A712E1" w:rsidP="00CB6225">
            <w:pPr>
              <w:spacing w:after="0" w:line="240" w:lineRule="auto"/>
              <w:ind w:left="229"/>
              <w:jc w:val="both"/>
              <w:rPr>
                <w:rFonts w:eastAsia="Times New Roman"/>
                <w:sz w:val="20"/>
                <w:szCs w:val="20"/>
              </w:rPr>
            </w:pPr>
            <w:r w:rsidRPr="00CB6225">
              <w:rPr>
                <w:rFonts w:eastAsia="Times New Roman"/>
                <w:sz w:val="20"/>
                <w:szCs w:val="20"/>
              </w:rPr>
              <w:t>в т.ч. потребителям, присоединенным к центру питания на генераторном напряжении</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130,260</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130,260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r>
      <w:tr w:rsidR="00CB6225" w:rsidRPr="00CB6225" w:rsidTr="00CB6225">
        <w:trPr>
          <w:gridAfter w:val="1"/>
          <w:wAfter w:w="5" w:type="pct"/>
          <w:trHeight w:val="315"/>
        </w:trPr>
        <w:tc>
          <w:tcPr>
            <w:tcW w:w="431" w:type="pct"/>
            <w:noWrap/>
            <w:vAlign w:val="center"/>
            <w:hideMark/>
          </w:tcPr>
          <w:p w:rsidR="00A712E1" w:rsidRPr="00CB6225" w:rsidRDefault="00A712E1" w:rsidP="00A712E1">
            <w:pPr>
              <w:spacing w:after="0" w:line="240" w:lineRule="auto"/>
              <w:rPr>
                <w:rFonts w:eastAsia="Times New Roman"/>
                <w:sz w:val="20"/>
                <w:szCs w:val="20"/>
              </w:rPr>
            </w:pPr>
            <w:r w:rsidRPr="00CB6225">
              <w:rPr>
                <w:rFonts w:eastAsia="Times New Roman"/>
                <w:sz w:val="20"/>
                <w:szCs w:val="20"/>
              </w:rPr>
              <w:t>4.2</w:t>
            </w:r>
          </w:p>
        </w:tc>
        <w:tc>
          <w:tcPr>
            <w:tcW w:w="1512" w:type="pct"/>
            <w:vAlign w:val="center"/>
            <w:hideMark/>
          </w:tcPr>
          <w:p w:rsidR="00A712E1" w:rsidRPr="00CB6225" w:rsidRDefault="00A712E1" w:rsidP="00A712E1">
            <w:pPr>
              <w:spacing w:after="0" w:line="240" w:lineRule="auto"/>
              <w:ind w:firstLineChars="100" w:firstLine="200"/>
              <w:rPr>
                <w:rFonts w:eastAsia="Times New Roman"/>
                <w:sz w:val="20"/>
                <w:szCs w:val="20"/>
              </w:rPr>
            </w:pPr>
            <w:r w:rsidRPr="00CB6225">
              <w:rPr>
                <w:rFonts w:eastAsia="Times New Roman"/>
                <w:sz w:val="20"/>
                <w:szCs w:val="20"/>
              </w:rPr>
              <w:t xml:space="preserve">населению </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4 352,279</w:t>
            </w:r>
          </w:p>
        </w:tc>
        <w:tc>
          <w:tcPr>
            <w:tcW w:w="679"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603"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0,000</w:t>
            </w:r>
          </w:p>
        </w:tc>
        <w:tc>
          <w:tcPr>
            <w:tcW w:w="564" w:type="pct"/>
            <w:noWrap/>
            <w:vAlign w:val="center"/>
          </w:tcPr>
          <w:p w:rsidR="00A712E1" w:rsidRPr="00CB6225" w:rsidRDefault="00A712E1" w:rsidP="00A712E1">
            <w:pPr>
              <w:spacing w:after="0" w:line="240" w:lineRule="auto"/>
              <w:rPr>
                <w:color w:val="000000"/>
                <w:sz w:val="20"/>
                <w:szCs w:val="20"/>
              </w:rPr>
            </w:pPr>
            <w:r w:rsidRPr="00CB6225">
              <w:rPr>
                <w:color w:val="000000"/>
                <w:sz w:val="20"/>
                <w:szCs w:val="20"/>
              </w:rPr>
              <w:t>4 352,279</w:t>
            </w:r>
          </w:p>
        </w:tc>
      </w:tr>
    </w:tbl>
    <w:p w:rsidR="00A712E1" w:rsidRPr="00BF6F87" w:rsidRDefault="00A712E1" w:rsidP="00A712E1">
      <w:pPr>
        <w:tabs>
          <w:tab w:val="left" w:pos="9356"/>
        </w:tabs>
        <w:spacing w:after="0" w:line="240" w:lineRule="auto"/>
        <w:ind w:firstLine="567"/>
        <w:rPr>
          <w:rFonts w:eastAsia="Times New Roman"/>
          <w:bCs/>
          <w:color w:val="FF0000"/>
          <w:sz w:val="20"/>
          <w:szCs w:val="28"/>
        </w:rPr>
      </w:pPr>
    </w:p>
    <w:p w:rsidR="00A712E1" w:rsidRDefault="00A712E1" w:rsidP="00A712E1">
      <w:pPr>
        <w:tabs>
          <w:tab w:val="left" w:pos="9356"/>
        </w:tabs>
        <w:spacing w:after="0" w:line="240" w:lineRule="auto"/>
        <w:ind w:firstLine="567"/>
        <w:jc w:val="both"/>
        <w:rPr>
          <w:rFonts w:eastAsia="Times New Roman"/>
          <w:bCs/>
          <w:szCs w:val="28"/>
        </w:rPr>
      </w:pPr>
      <w:r w:rsidRPr="00626687">
        <w:rPr>
          <w:rFonts w:eastAsia="Times New Roman"/>
          <w:bCs/>
          <w:szCs w:val="28"/>
        </w:rPr>
        <w:t>Динамика электропотребления Новосибирской области за период 201</w:t>
      </w:r>
      <w:r>
        <w:rPr>
          <w:rFonts w:eastAsia="Times New Roman"/>
          <w:bCs/>
          <w:szCs w:val="28"/>
        </w:rPr>
        <w:t>5</w:t>
      </w:r>
      <w:r w:rsidRPr="00626687">
        <w:rPr>
          <w:rFonts w:eastAsia="Times New Roman"/>
          <w:bCs/>
          <w:szCs w:val="28"/>
        </w:rPr>
        <w:t xml:space="preserve"> – 202</w:t>
      </w:r>
      <w:r>
        <w:rPr>
          <w:rFonts w:eastAsia="Times New Roman"/>
          <w:bCs/>
          <w:szCs w:val="28"/>
        </w:rPr>
        <w:t>5</w:t>
      </w:r>
      <w:r w:rsidRPr="00626687">
        <w:rPr>
          <w:rFonts w:eastAsia="Times New Roman"/>
          <w:bCs/>
          <w:szCs w:val="28"/>
        </w:rPr>
        <w:t xml:space="preserve"> годы представлена на графике.</w:t>
      </w:r>
    </w:p>
    <w:p w:rsidR="00A712E1" w:rsidRPr="00626687" w:rsidRDefault="00A712E1" w:rsidP="00A712E1">
      <w:pPr>
        <w:tabs>
          <w:tab w:val="left" w:pos="9356"/>
        </w:tabs>
        <w:spacing w:after="0" w:line="240" w:lineRule="auto"/>
        <w:rPr>
          <w:rFonts w:eastAsia="Times New Roman"/>
          <w:bCs/>
          <w:szCs w:val="28"/>
        </w:rPr>
      </w:pPr>
      <w:r>
        <w:rPr>
          <w:noProof/>
        </w:rPr>
        <w:lastRenderedPageBreak/>
        <w:drawing>
          <wp:inline distT="0" distB="0" distL="0" distR="0" wp14:anchorId="07CE1119" wp14:editId="07729380">
            <wp:extent cx="5650523" cy="2737339"/>
            <wp:effectExtent l="0" t="0" r="0" b="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712E1" w:rsidRDefault="00A712E1" w:rsidP="0005458F">
      <w:pPr>
        <w:pStyle w:val="4"/>
      </w:pPr>
      <w:bookmarkStart w:id="18" w:name="_Toc193810520"/>
      <w:r w:rsidRPr="00FD0035">
        <w:t>2.1.2 Формирование тарифов для населения и приравненным к нему категориям потребителей</w:t>
      </w:r>
      <w:bookmarkEnd w:id="18"/>
      <w:r w:rsidRPr="00FD0035">
        <w:t xml:space="preserve"> </w:t>
      </w:r>
    </w:p>
    <w:p w:rsidR="00A712E1" w:rsidRPr="001864D3" w:rsidRDefault="00A712E1" w:rsidP="00A712E1">
      <w:pPr>
        <w:autoSpaceDE w:val="0"/>
        <w:autoSpaceDN w:val="0"/>
        <w:adjustRightInd w:val="0"/>
        <w:spacing w:after="0" w:line="240" w:lineRule="auto"/>
        <w:ind w:firstLine="709"/>
        <w:jc w:val="both"/>
        <w:outlineLvl w:val="1"/>
        <w:rPr>
          <w:rFonts w:eastAsia="Times New Roman"/>
          <w:szCs w:val="28"/>
        </w:rPr>
      </w:pPr>
      <w:r w:rsidRPr="001864D3">
        <w:rPr>
          <w:rFonts w:eastAsia="Times New Roman"/>
          <w:szCs w:val="28"/>
        </w:rPr>
        <w:t xml:space="preserve">Согласно ст. 23.1 Федерального закона от 26 марта 2003 года № 35-ФЗ «Об электроэнергетике» </w:t>
      </w:r>
      <w:r w:rsidRPr="00262C3B">
        <w:rPr>
          <w:rFonts w:eastAsia="Calibri"/>
          <w:szCs w:val="28"/>
        </w:rPr>
        <w:t>(далее – Закон об электроэнергетике)</w:t>
      </w:r>
      <w:r>
        <w:rPr>
          <w:rFonts w:eastAsia="Calibri"/>
          <w:szCs w:val="28"/>
        </w:rPr>
        <w:t xml:space="preserve"> </w:t>
      </w:r>
      <w:r w:rsidRPr="001864D3">
        <w:rPr>
          <w:rFonts w:eastAsia="Times New Roman"/>
          <w:szCs w:val="28"/>
        </w:rPr>
        <w:t>органы исполнительной власти субъектов Российской Федерации в области государственного регулирования тарифов устанавливают цены (тарифы) на электрическую энергию (мощность), поставляемую  населению и приравненным к нему категориям потребителей, в рамках предельных уровней цен (тарифов), установленных федеральным органом исполнительной власти в области государственного регулирования цен (тарифов).</w:t>
      </w:r>
    </w:p>
    <w:p w:rsidR="00A712E1" w:rsidRPr="00017B45" w:rsidRDefault="00A712E1" w:rsidP="00A712E1">
      <w:pPr>
        <w:autoSpaceDE w:val="0"/>
        <w:autoSpaceDN w:val="0"/>
        <w:adjustRightInd w:val="0"/>
        <w:spacing w:after="0" w:line="240" w:lineRule="auto"/>
        <w:ind w:firstLine="709"/>
        <w:jc w:val="both"/>
        <w:outlineLvl w:val="1"/>
        <w:rPr>
          <w:rFonts w:eastAsia="Times New Roman"/>
          <w:szCs w:val="28"/>
          <w:u w:val="single"/>
        </w:rPr>
      </w:pPr>
      <w:r w:rsidRPr="00017B45">
        <w:rPr>
          <w:rFonts w:eastAsia="Times New Roman"/>
          <w:szCs w:val="28"/>
          <w:u w:val="single"/>
        </w:rPr>
        <w:t>Пересмотр тарифов для населения и приравненных к нему категорий потребителей по Новосибирской области на 2024 год во исполнение Приказа ФАС России № 34/24</w:t>
      </w:r>
    </w:p>
    <w:p w:rsidR="00A712E1" w:rsidRPr="00FD2AFC" w:rsidRDefault="00A712E1" w:rsidP="00A712E1">
      <w:pPr>
        <w:autoSpaceDE w:val="0"/>
        <w:autoSpaceDN w:val="0"/>
        <w:adjustRightInd w:val="0"/>
        <w:spacing w:after="0" w:line="240" w:lineRule="auto"/>
        <w:ind w:firstLine="709"/>
        <w:jc w:val="both"/>
        <w:outlineLvl w:val="1"/>
        <w:rPr>
          <w:rFonts w:eastAsia="Times New Roman"/>
          <w:szCs w:val="28"/>
        </w:rPr>
      </w:pPr>
      <w:r>
        <w:rPr>
          <w:rFonts w:eastAsia="Times New Roman"/>
          <w:szCs w:val="28"/>
        </w:rPr>
        <w:t xml:space="preserve">Приказом департамента </w:t>
      </w:r>
      <w:r w:rsidRPr="00B57BB6">
        <w:rPr>
          <w:rFonts w:eastAsia="Times New Roman"/>
          <w:szCs w:val="28"/>
        </w:rPr>
        <w:t>от 29 ноября 2023 № 408-ЭЭ/НПА</w:t>
      </w:r>
      <w:r>
        <w:rPr>
          <w:rFonts w:eastAsia="Times New Roman"/>
          <w:szCs w:val="28"/>
        </w:rPr>
        <w:t xml:space="preserve"> были установлены цен (тарифы) на электрическую энергию (мощность), </w:t>
      </w:r>
      <w:r w:rsidRPr="00B57BB6">
        <w:rPr>
          <w:rFonts w:eastAsia="Times New Roman"/>
          <w:szCs w:val="28"/>
        </w:rPr>
        <w:t>поставляемую населению и приравненным к нему категориям потребителей</w:t>
      </w:r>
      <w:r>
        <w:rPr>
          <w:rFonts w:eastAsia="Times New Roman"/>
          <w:szCs w:val="28"/>
        </w:rPr>
        <w:t xml:space="preserve"> по Новосибирской области на 2024 год, в </w:t>
      </w:r>
      <w:r w:rsidRPr="00FD2AFC">
        <w:rPr>
          <w:rFonts w:eastAsia="Times New Roman"/>
          <w:szCs w:val="28"/>
        </w:rPr>
        <w:t>следующем размере:</w:t>
      </w:r>
    </w:p>
    <w:p w:rsidR="00A712E1" w:rsidRPr="00FD2AFC" w:rsidRDefault="00A712E1" w:rsidP="00A712E1">
      <w:pPr>
        <w:autoSpaceDE w:val="0"/>
        <w:autoSpaceDN w:val="0"/>
        <w:adjustRightInd w:val="0"/>
        <w:spacing w:after="0" w:line="240" w:lineRule="auto"/>
        <w:ind w:firstLine="709"/>
        <w:jc w:val="both"/>
        <w:outlineLvl w:val="1"/>
        <w:rPr>
          <w:rFonts w:eastAsia="Times New Roman"/>
          <w:szCs w:val="28"/>
        </w:rPr>
      </w:pPr>
      <w:r w:rsidRPr="00FD2AFC">
        <w:rPr>
          <w:rFonts w:eastAsia="Times New Roman"/>
          <w:szCs w:val="28"/>
        </w:rPr>
        <w:t xml:space="preserve">на 1 полугодие 2024 года в размере 3,36 руб./кВтч </w:t>
      </w:r>
      <w:r>
        <w:rPr>
          <w:rFonts w:eastAsia="Times New Roman"/>
          <w:szCs w:val="28"/>
        </w:rPr>
        <w:t xml:space="preserve">с НДС </w:t>
      </w:r>
      <w:r w:rsidRPr="00FD2AFC">
        <w:rPr>
          <w:rFonts w:eastAsia="Times New Roman"/>
          <w:szCs w:val="28"/>
        </w:rPr>
        <w:t>– в рамках предельных уровней цен (тарифов), установленных приказом ФАС России от 12.10.2023 №</w:t>
      </w:r>
      <w:r>
        <w:rPr>
          <w:rFonts w:eastAsia="Times New Roman"/>
          <w:szCs w:val="28"/>
        </w:rPr>
        <w:t> </w:t>
      </w:r>
      <w:r w:rsidRPr="00FD2AFC">
        <w:rPr>
          <w:rFonts w:eastAsia="Times New Roman"/>
          <w:szCs w:val="28"/>
        </w:rPr>
        <w:t>726/23, в соответствии с величиной, действовавшей во 2 полугодии 2023 года;</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sidRPr="00FD2AFC">
        <w:rPr>
          <w:rFonts w:eastAsia="Times New Roman"/>
          <w:szCs w:val="28"/>
        </w:rPr>
        <w:t xml:space="preserve">на 2 полугодие 2024 года в размере 3,66 руб./кВтч </w:t>
      </w:r>
      <w:r>
        <w:rPr>
          <w:rFonts w:eastAsia="Times New Roman"/>
          <w:szCs w:val="28"/>
        </w:rPr>
        <w:t xml:space="preserve">с НДС </w:t>
      </w:r>
      <w:r w:rsidRPr="00FD2AFC">
        <w:rPr>
          <w:rFonts w:eastAsia="Times New Roman"/>
          <w:szCs w:val="28"/>
        </w:rPr>
        <w:t>– в рамках предельных уровней цен (тарифов), установленных приказом ФАС России от 12.10.2023 №</w:t>
      </w:r>
      <w:r>
        <w:rPr>
          <w:rFonts w:eastAsia="Times New Roman"/>
          <w:szCs w:val="28"/>
        </w:rPr>
        <w:t> </w:t>
      </w:r>
      <w:r w:rsidRPr="00FD2AFC">
        <w:rPr>
          <w:rFonts w:eastAsia="Times New Roman"/>
          <w:szCs w:val="28"/>
        </w:rPr>
        <w:t>726/23, с ростом по отношению к уровню 1 полугодия 2024 года на  8,9%.</w:t>
      </w:r>
    </w:p>
    <w:p w:rsidR="00A712E1" w:rsidRPr="00B57BB6" w:rsidRDefault="00A712E1" w:rsidP="00A712E1">
      <w:pPr>
        <w:autoSpaceDE w:val="0"/>
        <w:autoSpaceDN w:val="0"/>
        <w:adjustRightInd w:val="0"/>
        <w:spacing w:after="0" w:line="240" w:lineRule="auto"/>
        <w:ind w:firstLine="709"/>
        <w:jc w:val="both"/>
        <w:outlineLvl w:val="1"/>
        <w:rPr>
          <w:rFonts w:eastAsia="Times New Roman"/>
          <w:szCs w:val="28"/>
        </w:rPr>
      </w:pPr>
      <w:r w:rsidRPr="00B57BB6">
        <w:rPr>
          <w:rFonts w:eastAsia="Times New Roman"/>
          <w:szCs w:val="28"/>
        </w:rPr>
        <w:t>Приказом ФАС Росси</w:t>
      </w:r>
      <w:r>
        <w:rPr>
          <w:rFonts w:eastAsia="Times New Roman"/>
          <w:szCs w:val="28"/>
        </w:rPr>
        <w:t>и от 24.01.2024 № 34/24 отменен</w:t>
      </w:r>
      <w:r w:rsidRPr="00B57BB6">
        <w:rPr>
          <w:rFonts w:eastAsia="Times New Roman"/>
          <w:szCs w:val="28"/>
        </w:rPr>
        <w:t xml:space="preserve"> с 01.05.2024 </w:t>
      </w:r>
      <w:r>
        <w:rPr>
          <w:rFonts w:eastAsia="Times New Roman"/>
          <w:szCs w:val="28"/>
        </w:rPr>
        <w:t>приказ департамента</w:t>
      </w:r>
      <w:r w:rsidRPr="00B57BB6">
        <w:t xml:space="preserve"> </w:t>
      </w:r>
      <w:r w:rsidRPr="00B57BB6">
        <w:rPr>
          <w:rFonts w:eastAsia="Times New Roman"/>
          <w:szCs w:val="28"/>
        </w:rPr>
        <w:t>от 29 ноября 2023 № 408-ЭЭ/НПА</w:t>
      </w:r>
      <w:r>
        <w:rPr>
          <w:rFonts w:eastAsia="Times New Roman"/>
          <w:szCs w:val="28"/>
        </w:rPr>
        <w:t>, устанавливающий</w:t>
      </w:r>
      <w:r w:rsidRPr="00B57BB6">
        <w:rPr>
          <w:rFonts w:eastAsia="Times New Roman"/>
          <w:szCs w:val="28"/>
        </w:rPr>
        <w:t xml:space="preserve"> тарифы</w:t>
      </w:r>
      <w:r>
        <w:rPr>
          <w:rFonts w:eastAsia="Times New Roman"/>
          <w:szCs w:val="28"/>
        </w:rPr>
        <w:t xml:space="preserve"> </w:t>
      </w:r>
      <w:r w:rsidRPr="00B57BB6">
        <w:rPr>
          <w:rFonts w:eastAsia="Times New Roman"/>
          <w:szCs w:val="28"/>
        </w:rPr>
        <w:t>на электрическую энергию (мощность)</w:t>
      </w:r>
      <w:r>
        <w:rPr>
          <w:rFonts w:eastAsia="Times New Roman"/>
          <w:szCs w:val="28"/>
        </w:rPr>
        <w:t xml:space="preserve">, поставляемую </w:t>
      </w:r>
      <w:r w:rsidRPr="00B57BB6">
        <w:rPr>
          <w:rFonts w:eastAsia="Times New Roman"/>
          <w:szCs w:val="28"/>
        </w:rPr>
        <w:t>населени</w:t>
      </w:r>
      <w:r>
        <w:rPr>
          <w:rFonts w:eastAsia="Times New Roman"/>
          <w:szCs w:val="28"/>
        </w:rPr>
        <w:t>ю</w:t>
      </w:r>
      <w:r w:rsidRPr="00B57BB6">
        <w:rPr>
          <w:rFonts w:eastAsia="Times New Roman"/>
          <w:szCs w:val="28"/>
        </w:rPr>
        <w:t xml:space="preserve"> и приравненным к нему категориям потребителей</w:t>
      </w:r>
      <w:r>
        <w:rPr>
          <w:rFonts w:eastAsia="Times New Roman"/>
          <w:szCs w:val="28"/>
        </w:rPr>
        <w:t xml:space="preserve"> по Новосибирской области</w:t>
      </w:r>
      <w:r w:rsidRPr="00B57BB6">
        <w:rPr>
          <w:rFonts w:eastAsia="Times New Roman"/>
          <w:szCs w:val="28"/>
        </w:rPr>
        <w:t xml:space="preserve"> </w:t>
      </w:r>
      <w:r w:rsidRPr="00B57BB6">
        <w:rPr>
          <w:rFonts w:eastAsia="Times New Roman"/>
          <w:szCs w:val="28"/>
        </w:rPr>
        <w:lastRenderedPageBreak/>
        <w:t>на 2024 год, в связи с превышением предельной величины перекрестного субсидирования, установленной приложением № 6 к Основам ценообразования</w:t>
      </w:r>
      <w:r>
        <w:rPr>
          <w:rFonts w:eastAsia="Times New Roman"/>
          <w:szCs w:val="28"/>
        </w:rPr>
        <w:t xml:space="preserve"> </w:t>
      </w:r>
      <w:r w:rsidRPr="00D07DA1">
        <w:rPr>
          <w:rFonts w:eastAsia="Calibri"/>
          <w:szCs w:val="28"/>
        </w:rPr>
        <w:t>в области регулируемых цен (тарифов) в электроэнергетике, утвержденным постановлением Правительства Российско</w:t>
      </w:r>
      <w:r>
        <w:rPr>
          <w:rFonts w:eastAsia="Calibri"/>
          <w:szCs w:val="28"/>
        </w:rPr>
        <w:t xml:space="preserve">й Федерации от 29 декабря 2011 года </w:t>
      </w:r>
      <w:r w:rsidRPr="00D07DA1">
        <w:rPr>
          <w:rFonts w:eastAsia="Calibri"/>
          <w:szCs w:val="28"/>
        </w:rPr>
        <w:t>№ 1178</w:t>
      </w:r>
      <w:r>
        <w:rPr>
          <w:rFonts w:eastAsia="Calibri"/>
          <w:szCs w:val="28"/>
        </w:rPr>
        <w:t xml:space="preserve"> </w:t>
      </w:r>
      <w:r w:rsidRPr="00262C3B">
        <w:rPr>
          <w:rFonts w:eastAsia="Times New Roman"/>
          <w:szCs w:val="28"/>
        </w:rPr>
        <w:t>(далее – Основы ценообразования</w:t>
      </w:r>
      <w:r>
        <w:rPr>
          <w:rFonts w:eastAsia="Times New Roman"/>
          <w:szCs w:val="28"/>
        </w:rPr>
        <w:t xml:space="preserve"> № 1178)</w:t>
      </w:r>
      <w:r w:rsidRPr="00B57BB6">
        <w:rPr>
          <w:rFonts w:eastAsia="Times New Roman"/>
          <w:szCs w:val="28"/>
        </w:rPr>
        <w:t>.</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sidRPr="00B57BB6">
        <w:rPr>
          <w:rFonts w:eastAsia="Times New Roman"/>
          <w:szCs w:val="28"/>
        </w:rPr>
        <w:t>Во исполнение Приказа ФАС России от 24.01.2024 № 34/</w:t>
      </w:r>
      <w:r>
        <w:rPr>
          <w:rFonts w:eastAsia="Times New Roman"/>
          <w:szCs w:val="28"/>
        </w:rPr>
        <w:t>24 департаментом принято решение</w:t>
      </w:r>
      <w:r w:rsidRPr="00B57BB6">
        <w:rPr>
          <w:rFonts w:eastAsia="Times New Roman"/>
          <w:szCs w:val="28"/>
        </w:rPr>
        <w:t xml:space="preserve"> об установлении </w:t>
      </w:r>
      <w:r>
        <w:rPr>
          <w:rFonts w:eastAsia="Times New Roman"/>
          <w:szCs w:val="28"/>
        </w:rPr>
        <w:t>цен (</w:t>
      </w:r>
      <w:r w:rsidRPr="00B57BB6">
        <w:rPr>
          <w:rFonts w:eastAsia="Times New Roman"/>
          <w:szCs w:val="28"/>
        </w:rPr>
        <w:t>тарифов</w:t>
      </w:r>
      <w:r>
        <w:rPr>
          <w:rFonts w:eastAsia="Times New Roman"/>
          <w:szCs w:val="28"/>
        </w:rPr>
        <w:t>)</w:t>
      </w:r>
      <w:r w:rsidRPr="00B57BB6">
        <w:rPr>
          <w:rFonts w:eastAsia="Times New Roman"/>
          <w:szCs w:val="28"/>
        </w:rPr>
        <w:t xml:space="preserve"> </w:t>
      </w:r>
      <w:r w:rsidRPr="00D16846">
        <w:rPr>
          <w:rFonts w:eastAsia="Times New Roman"/>
          <w:szCs w:val="28"/>
        </w:rPr>
        <w:t xml:space="preserve">на электрическую </w:t>
      </w:r>
      <w:r>
        <w:rPr>
          <w:rFonts w:eastAsia="Times New Roman"/>
          <w:szCs w:val="28"/>
        </w:rPr>
        <w:t xml:space="preserve">энергию (мощность) для </w:t>
      </w:r>
      <w:r w:rsidRPr="00D16846">
        <w:rPr>
          <w:rFonts w:eastAsia="Times New Roman"/>
          <w:szCs w:val="28"/>
        </w:rPr>
        <w:t>населени</w:t>
      </w:r>
      <w:r>
        <w:rPr>
          <w:rFonts w:eastAsia="Times New Roman"/>
          <w:szCs w:val="28"/>
        </w:rPr>
        <w:t>я и приравненных</w:t>
      </w:r>
      <w:r w:rsidRPr="00D16846">
        <w:rPr>
          <w:rFonts w:eastAsia="Times New Roman"/>
          <w:szCs w:val="28"/>
        </w:rPr>
        <w:t xml:space="preserve"> к нему категориям потребителей по Но</w:t>
      </w:r>
      <w:r>
        <w:rPr>
          <w:rFonts w:eastAsia="Times New Roman"/>
          <w:szCs w:val="28"/>
        </w:rPr>
        <w:t>восибирской области на 2024 год,</w:t>
      </w:r>
      <w:r w:rsidRPr="006B5571">
        <w:t xml:space="preserve"> </w:t>
      </w:r>
      <w:r w:rsidRPr="006B5571">
        <w:rPr>
          <w:rFonts w:eastAsia="Times New Roman"/>
          <w:szCs w:val="28"/>
        </w:rPr>
        <w:t>дифференцированны</w:t>
      </w:r>
      <w:r>
        <w:rPr>
          <w:rFonts w:eastAsia="Times New Roman"/>
          <w:szCs w:val="28"/>
        </w:rPr>
        <w:t>е</w:t>
      </w:r>
      <w:r w:rsidRPr="006B5571">
        <w:rPr>
          <w:rFonts w:eastAsia="Times New Roman"/>
          <w:szCs w:val="28"/>
        </w:rPr>
        <w:t xml:space="preserve"> по </w:t>
      </w:r>
      <w:r>
        <w:rPr>
          <w:rFonts w:eastAsia="Times New Roman"/>
          <w:szCs w:val="28"/>
        </w:rPr>
        <w:t xml:space="preserve">трем диапазонам объемов </w:t>
      </w:r>
      <w:r w:rsidRPr="006B5571">
        <w:rPr>
          <w:rFonts w:eastAsia="Times New Roman"/>
          <w:szCs w:val="28"/>
        </w:rPr>
        <w:t xml:space="preserve">потребления электрической энергии </w:t>
      </w:r>
      <w:r>
        <w:rPr>
          <w:rFonts w:eastAsia="Times New Roman"/>
          <w:szCs w:val="28"/>
        </w:rPr>
        <w:t xml:space="preserve">(мощности) </w:t>
      </w:r>
      <w:r w:rsidRPr="006B5571">
        <w:rPr>
          <w:rFonts w:eastAsia="Times New Roman"/>
          <w:szCs w:val="28"/>
        </w:rPr>
        <w:t xml:space="preserve">(приказ департамента от 16.04.2024 № 78-ЭЭ/НПА).  </w:t>
      </w:r>
    </w:p>
    <w:p w:rsidR="00A712E1" w:rsidRPr="0085399F" w:rsidRDefault="00A712E1" w:rsidP="00A712E1">
      <w:pPr>
        <w:autoSpaceDE w:val="0"/>
        <w:autoSpaceDN w:val="0"/>
        <w:adjustRightInd w:val="0"/>
        <w:spacing w:after="0" w:line="240" w:lineRule="auto"/>
        <w:ind w:firstLine="709"/>
        <w:jc w:val="both"/>
        <w:outlineLvl w:val="1"/>
        <w:rPr>
          <w:rFonts w:eastAsia="Times New Roman"/>
          <w:szCs w:val="28"/>
        </w:rPr>
      </w:pPr>
      <w:r w:rsidRPr="0085399F">
        <w:rPr>
          <w:rFonts w:eastAsia="Times New Roman"/>
          <w:szCs w:val="28"/>
        </w:rPr>
        <w:t xml:space="preserve">Пороговое значение </w:t>
      </w:r>
      <w:r>
        <w:rPr>
          <w:rFonts w:eastAsia="Times New Roman"/>
          <w:szCs w:val="28"/>
        </w:rPr>
        <w:t xml:space="preserve">для первого диапазона </w:t>
      </w:r>
      <w:r w:rsidRPr="0085399F">
        <w:rPr>
          <w:rFonts w:eastAsia="Times New Roman"/>
          <w:szCs w:val="28"/>
        </w:rPr>
        <w:t xml:space="preserve">определено департаментом исходя из максимальной мощности энергопринимающих устройств, которую потребитель вправе присоединить к электрическим сетям исходя из льготных ставок за 1 кВт запрашиваемой максимальной мощности, предусмотренных </w:t>
      </w:r>
      <w:r w:rsidRPr="00262C3B">
        <w:rPr>
          <w:rFonts w:eastAsia="Times New Roman"/>
          <w:szCs w:val="28"/>
        </w:rPr>
        <w:t>пунктом 17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 № 861</w:t>
      </w:r>
      <w:r w:rsidRPr="0085399F">
        <w:rPr>
          <w:rFonts w:eastAsia="Times New Roman"/>
          <w:szCs w:val="28"/>
        </w:rPr>
        <w:t>, в размере 15 кВт с учетом максимального числа часов использования мощности.</w:t>
      </w:r>
      <w:r>
        <w:rPr>
          <w:rFonts w:eastAsia="Times New Roman"/>
          <w:szCs w:val="28"/>
        </w:rPr>
        <w:t xml:space="preserve"> </w:t>
      </w:r>
      <w:r w:rsidRPr="0085399F">
        <w:rPr>
          <w:rFonts w:eastAsia="Times New Roman"/>
          <w:szCs w:val="28"/>
        </w:rPr>
        <w:t>Велич</w:t>
      </w:r>
      <w:r>
        <w:rPr>
          <w:rFonts w:eastAsia="Times New Roman"/>
          <w:szCs w:val="28"/>
        </w:rPr>
        <w:t>ина порогового значения составила</w:t>
      </w:r>
      <w:r w:rsidRPr="0085399F">
        <w:rPr>
          <w:rFonts w:eastAsia="Times New Roman"/>
          <w:szCs w:val="28"/>
        </w:rPr>
        <w:t xml:space="preserve"> 15 х 24 х 366 /12= 10980 кВтч.</w:t>
      </w:r>
    </w:p>
    <w:p w:rsidR="00A712E1" w:rsidRPr="0085399F" w:rsidRDefault="00A712E1" w:rsidP="00A712E1">
      <w:pPr>
        <w:autoSpaceDE w:val="0"/>
        <w:autoSpaceDN w:val="0"/>
        <w:adjustRightInd w:val="0"/>
        <w:spacing w:after="0" w:line="240" w:lineRule="auto"/>
        <w:ind w:firstLine="709"/>
        <w:jc w:val="both"/>
        <w:outlineLvl w:val="1"/>
        <w:rPr>
          <w:rFonts w:eastAsia="Times New Roman"/>
          <w:szCs w:val="28"/>
        </w:rPr>
      </w:pPr>
      <w:r w:rsidRPr="0085399F">
        <w:rPr>
          <w:rFonts w:eastAsia="Times New Roman"/>
          <w:szCs w:val="28"/>
        </w:rPr>
        <w:t xml:space="preserve">Величина порогового значения </w:t>
      </w:r>
      <w:r>
        <w:rPr>
          <w:rFonts w:eastAsia="Times New Roman"/>
          <w:szCs w:val="28"/>
        </w:rPr>
        <w:t xml:space="preserve">для второго диапазона потребления </w:t>
      </w:r>
      <w:r w:rsidRPr="0085399F">
        <w:rPr>
          <w:rFonts w:eastAsia="Times New Roman"/>
          <w:szCs w:val="28"/>
        </w:rPr>
        <w:t xml:space="preserve">определена </w:t>
      </w:r>
      <w:r>
        <w:rPr>
          <w:rFonts w:eastAsia="Times New Roman"/>
          <w:szCs w:val="28"/>
        </w:rPr>
        <w:t>с коэффициентом 1,333 и составила</w:t>
      </w:r>
      <w:r w:rsidRPr="0085399F">
        <w:rPr>
          <w:rFonts w:eastAsia="Times New Roman"/>
          <w:szCs w:val="28"/>
        </w:rPr>
        <w:t xml:space="preserve"> 10980 х 1,333 = 14640 кВтч.</w:t>
      </w:r>
    </w:p>
    <w:p w:rsidR="00A712E1" w:rsidRPr="0085399F" w:rsidRDefault="00A712E1" w:rsidP="00A712E1">
      <w:pPr>
        <w:autoSpaceDE w:val="0"/>
        <w:autoSpaceDN w:val="0"/>
        <w:adjustRightInd w:val="0"/>
        <w:spacing w:after="0" w:line="240" w:lineRule="auto"/>
        <w:ind w:firstLine="709"/>
        <w:jc w:val="both"/>
        <w:outlineLvl w:val="1"/>
        <w:rPr>
          <w:rFonts w:eastAsia="Times New Roman"/>
          <w:szCs w:val="28"/>
        </w:rPr>
      </w:pPr>
      <w:r w:rsidRPr="0085399F">
        <w:rPr>
          <w:rFonts w:eastAsia="Times New Roman"/>
          <w:szCs w:val="28"/>
        </w:rPr>
        <w:t>В целях соблюдения положений пункта 11(1) Основ ценообразования</w:t>
      </w:r>
      <w:r>
        <w:rPr>
          <w:rFonts w:eastAsia="Times New Roman"/>
          <w:szCs w:val="28"/>
        </w:rPr>
        <w:t xml:space="preserve"> № 1178</w:t>
      </w:r>
      <w:r w:rsidRPr="0085399F">
        <w:rPr>
          <w:rFonts w:eastAsia="Times New Roman"/>
          <w:szCs w:val="28"/>
        </w:rPr>
        <w:t xml:space="preserve"> тарифы </w:t>
      </w:r>
      <w:r w:rsidRPr="00A61CA4">
        <w:rPr>
          <w:rFonts w:eastAsia="Calibri"/>
          <w:szCs w:val="28"/>
        </w:rPr>
        <w:t xml:space="preserve">для населения </w:t>
      </w:r>
      <w:r w:rsidRPr="00B07180">
        <w:rPr>
          <w:rFonts w:eastAsia="Calibri"/>
          <w:szCs w:val="28"/>
        </w:rPr>
        <w:t>на первое полугодие 2024 года</w:t>
      </w:r>
      <w:r w:rsidRPr="0085399F">
        <w:rPr>
          <w:rFonts w:eastAsia="Times New Roman"/>
          <w:szCs w:val="28"/>
        </w:rPr>
        <w:t xml:space="preserve"> приняты едиными для всех трех диапазонов потребления в соответствии с величиной, действовавшей во 2 полугодии 2023 года.</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Pr>
          <w:rFonts w:eastAsia="Times New Roman"/>
          <w:szCs w:val="28"/>
        </w:rPr>
        <w:t>Т</w:t>
      </w:r>
      <w:r w:rsidRPr="00B07180">
        <w:rPr>
          <w:rFonts w:eastAsia="Times New Roman"/>
          <w:szCs w:val="28"/>
        </w:rPr>
        <w:t>арифы для населения на в</w:t>
      </w:r>
      <w:r>
        <w:rPr>
          <w:rFonts w:eastAsia="Times New Roman"/>
          <w:szCs w:val="28"/>
        </w:rPr>
        <w:t>тор</w:t>
      </w:r>
      <w:r w:rsidRPr="00B07180">
        <w:rPr>
          <w:rFonts w:eastAsia="Times New Roman"/>
          <w:szCs w:val="28"/>
        </w:rPr>
        <w:t xml:space="preserve">ое полугодие 2024 года </w:t>
      </w:r>
      <w:r>
        <w:rPr>
          <w:rFonts w:eastAsia="Times New Roman"/>
          <w:szCs w:val="28"/>
        </w:rPr>
        <w:t xml:space="preserve">установлены с дифференциацией </w:t>
      </w:r>
      <w:r w:rsidRPr="00DC0247">
        <w:rPr>
          <w:rFonts w:eastAsia="Times New Roman"/>
          <w:szCs w:val="28"/>
        </w:rPr>
        <w:t>диапазонов потребления по объемам</w:t>
      </w:r>
      <w:r>
        <w:rPr>
          <w:rFonts w:eastAsia="Times New Roman"/>
          <w:szCs w:val="28"/>
        </w:rPr>
        <w:t xml:space="preserve"> </w:t>
      </w:r>
      <w:r w:rsidRPr="00DC0247">
        <w:rPr>
          <w:rFonts w:eastAsia="Times New Roman"/>
          <w:szCs w:val="28"/>
        </w:rPr>
        <w:t>потребления эл</w:t>
      </w:r>
      <w:r>
        <w:rPr>
          <w:rFonts w:eastAsia="Times New Roman"/>
          <w:szCs w:val="28"/>
        </w:rPr>
        <w:t xml:space="preserve">ектрической энергии (мощности) и группам </w:t>
      </w:r>
      <w:r w:rsidRPr="00DC0247">
        <w:rPr>
          <w:rFonts w:eastAsia="Times New Roman"/>
          <w:szCs w:val="28"/>
        </w:rPr>
        <w:t>населения и приравненных к нему категорий</w:t>
      </w:r>
      <w:r>
        <w:rPr>
          <w:rFonts w:eastAsia="Times New Roman"/>
          <w:szCs w:val="28"/>
        </w:rPr>
        <w:t xml:space="preserve"> </w:t>
      </w:r>
      <w:r w:rsidRPr="00DC0247">
        <w:rPr>
          <w:rFonts w:eastAsia="Times New Roman"/>
          <w:szCs w:val="28"/>
        </w:rPr>
        <w:t xml:space="preserve">потребителей, предусмотренной </w:t>
      </w:r>
      <w:r w:rsidRPr="000F0978">
        <w:rPr>
          <w:rFonts w:eastAsia="Calibri"/>
          <w:szCs w:val="28"/>
        </w:rPr>
        <w:t>по расчету тарифов на электрическую энергию (мощность) для населения и приравненных к нему категорий потребителей, тарифов на услуги по передаче электрической энергии, поставляемой населению и приравненным к нему категориям потребителей, утверждёнными приказом ФА</w:t>
      </w:r>
      <w:r>
        <w:rPr>
          <w:rFonts w:eastAsia="Calibri"/>
          <w:szCs w:val="28"/>
        </w:rPr>
        <w:t>С России от 27.05.</w:t>
      </w:r>
      <w:r w:rsidRPr="000F0978">
        <w:rPr>
          <w:rFonts w:eastAsia="Calibri"/>
          <w:szCs w:val="28"/>
        </w:rPr>
        <w:t>2022 № 412/22</w:t>
      </w:r>
      <w:r>
        <w:rPr>
          <w:rFonts w:eastAsia="Calibri"/>
          <w:szCs w:val="28"/>
        </w:rPr>
        <w:t xml:space="preserve"> </w:t>
      </w:r>
      <w:r w:rsidRPr="00262C3B">
        <w:rPr>
          <w:rFonts w:eastAsia="Calibri"/>
          <w:szCs w:val="28"/>
        </w:rPr>
        <w:t>(далее – Методические указания № 412/22)</w:t>
      </w:r>
      <w:r w:rsidRPr="00262C3B">
        <w:rPr>
          <w:rFonts w:eastAsia="Times New Roman"/>
          <w:szCs w:val="28"/>
        </w:rPr>
        <w:t>,</w:t>
      </w:r>
      <w:r w:rsidRPr="00DC0247">
        <w:rPr>
          <w:rFonts w:eastAsia="Times New Roman"/>
          <w:szCs w:val="28"/>
        </w:rPr>
        <w:t xml:space="preserve"> </w:t>
      </w:r>
      <w:r>
        <w:rPr>
          <w:rFonts w:eastAsia="Times New Roman"/>
          <w:szCs w:val="28"/>
        </w:rPr>
        <w:t>в следующем размере:</w:t>
      </w:r>
    </w:p>
    <w:p w:rsidR="00A712E1" w:rsidRPr="0085399F" w:rsidRDefault="00A712E1" w:rsidP="00A712E1">
      <w:pPr>
        <w:autoSpaceDE w:val="0"/>
        <w:autoSpaceDN w:val="0"/>
        <w:adjustRightInd w:val="0"/>
        <w:spacing w:after="0" w:line="240" w:lineRule="auto"/>
        <w:ind w:firstLine="709"/>
        <w:jc w:val="both"/>
        <w:outlineLvl w:val="1"/>
        <w:rPr>
          <w:rFonts w:eastAsia="Times New Roman"/>
          <w:szCs w:val="28"/>
        </w:rPr>
      </w:pPr>
      <w:r>
        <w:rPr>
          <w:rFonts w:eastAsia="Times New Roman"/>
          <w:szCs w:val="28"/>
          <w:u w:val="single"/>
        </w:rPr>
        <w:t>-</w:t>
      </w:r>
      <w:r w:rsidRPr="00B07180">
        <w:rPr>
          <w:rFonts w:eastAsia="Times New Roman"/>
          <w:szCs w:val="28"/>
          <w:u w:val="single"/>
        </w:rPr>
        <w:t>для первого диапазона потребления</w:t>
      </w:r>
      <w:r w:rsidRPr="00B07180">
        <w:rPr>
          <w:rFonts w:eastAsia="Times New Roman"/>
          <w:szCs w:val="28"/>
        </w:rPr>
        <w:t xml:space="preserve"> без учета дифференциации по зонам суток и понижающих коэффициентов </w:t>
      </w:r>
      <w:r>
        <w:rPr>
          <w:rFonts w:eastAsia="Times New Roman"/>
          <w:szCs w:val="28"/>
        </w:rPr>
        <w:t xml:space="preserve">- </w:t>
      </w:r>
      <w:r w:rsidRPr="00B07180">
        <w:rPr>
          <w:rFonts w:eastAsia="Times New Roman"/>
          <w:szCs w:val="28"/>
        </w:rPr>
        <w:t xml:space="preserve">3,66 руб./кВтч </w:t>
      </w:r>
      <w:r>
        <w:rPr>
          <w:rFonts w:eastAsia="Times New Roman"/>
          <w:szCs w:val="28"/>
        </w:rPr>
        <w:t xml:space="preserve">(с НДС) в </w:t>
      </w:r>
      <w:r w:rsidRPr="00B07180">
        <w:rPr>
          <w:rFonts w:eastAsia="Times New Roman"/>
          <w:szCs w:val="28"/>
        </w:rPr>
        <w:t xml:space="preserve">рамках предельных минимальных и максимальных уровней тарифов на электрическую энергию (мощность), поставляемую населению и приравненным к нему категориям потребителей </w:t>
      </w:r>
      <w:r>
        <w:rPr>
          <w:rFonts w:eastAsia="Times New Roman"/>
          <w:szCs w:val="28"/>
        </w:rPr>
        <w:t xml:space="preserve">(согласно </w:t>
      </w:r>
      <w:r w:rsidRPr="0085399F">
        <w:rPr>
          <w:rFonts w:eastAsia="Times New Roman"/>
          <w:szCs w:val="28"/>
        </w:rPr>
        <w:t>пункт</w:t>
      </w:r>
      <w:r>
        <w:rPr>
          <w:rFonts w:eastAsia="Times New Roman"/>
          <w:szCs w:val="28"/>
        </w:rPr>
        <w:t>у</w:t>
      </w:r>
      <w:r w:rsidRPr="0085399F">
        <w:rPr>
          <w:rFonts w:eastAsia="Times New Roman"/>
          <w:szCs w:val="28"/>
        </w:rPr>
        <w:t xml:space="preserve"> 52 </w:t>
      </w:r>
      <w:r w:rsidRPr="0085399F">
        <w:rPr>
          <w:rFonts w:eastAsia="Times New Roman"/>
          <w:szCs w:val="28"/>
        </w:rPr>
        <w:lastRenderedPageBreak/>
        <w:t xml:space="preserve">Методических указаний № 412/22 </w:t>
      </w:r>
      <w:r>
        <w:rPr>
          <w:rFonts w:eastAsia="Times New Roman"/>
          <w:szCs w:val="28"/>
        </w:rPr>
        <w:t xml:space="preserve">в рамках предельных уровней тарифов </w:t>
      </w:r>
      <w:r w:rsidRPr="0085399F">
        <w:rPr>
          <w:rFonts w:eastAsia="Times New Roman"/>
          <w:szCs w:val="28"/>
        </w:rPr>
        <w:t>утверждается только тарифы для первого диапазона потребления</w:t>
      </w:r>
      <w:r>
        <w:rPr>
          <w:rFonts w:eastAsia="Times New Roman"/>
          <w:szCs w:val="28"/>
        </w:rPr>
        <w:t>);</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sidRPr="00B07180">
        <w:rPr>
          <w:rFonts w:eastAsia="Times New Roman"/>
          <w:szCs w:val="28"/>
          <w:u w:val="single"/>
        </w:rPr>
        <w:t>для второго диапазона потребления</w:t>
      </w:r>
      <w:r w:rsidRPr="00B07180">
        <w:rPr>
          <w:rFonts w:eastAsia="Times New Roman"/>
          <w:szCs w:val="28"/>
        </w:rPr>
        <w:t xml:space="preserve"> без учета дифференциации по зонам суток и понижающих коэффициентов </w:t>
      </w:r>
      <w:r>
        <w:rPr>
          <w:rFonts w:eastAsia="Times New Roman"/>
          <w:szCs w:val="28"/>
        </w:rPr>
        <w:t>- 5,39 руб./кВтч. (с НДС) (с</w:t>
      </w:r>
      <w:r w:rsidRPr="0085399F">
        <w:rPr>
          <w:rFonts w:eastAsia="Times New Roman"/>
          <w:szCs w:val="28"/>
        </w:rPr>
        <w:t>огласно пункту 55 Методических указаний № 412/22</w:t>
      </w:r>
      <w:r>
        <w:rPr>
          <w:rFonts w:eastAsia="Times New Roman"/>
          <w:szCs w:val="28"/>
        </w:rPr>
        <w:t>);</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sidRPr="002115E7">
        <w:rPr>
          <w:rFonts w:eastAsia="Times New Roman"/>
          <w:szCs w:val="28"/>
          <w:u w:val="single"/>
        </w:rPr>
        <w:t>для третьего диапазона потребления</w:t>
      </w:r>
      <w:r w:rsidRPr="002115E7">
        <w:rPr>
          <w:rFonts w:eastAsia="Times New Roman"/>
          <w:szCs w:val="28"/>
        </w:rPr>
        <w:t xml:space="preserve"> без учета дифференциации по зонам суток и понижающих коэффициентов определен департаментом исходя из сложившегося в среднем за второе полугодие 2023 года уровня нерегулируемых цен на электрическую энергию (мощность) для потребителей, не относящихся к населению и приравненным к нему категориям потребителей, максимальная мощность энергопринимающих устройств которых составляет менее 670 кВт, для первой ценовой категории на низком уровне напряжения и составил 7,11 руб./кВтч.</w:t>
      </w:r>
      <w:r>
        <w:rPr>
          <w:rFonts w:eastAsia="Times New Roman"/>
          <w:szCs w:val="28"/>
        </w:rPr>
        <w:t xml:space="preserve"> (с НДС) (с</w:t>
      </w:r>
      <w:r w:rsidRPr="0085399F">
        <w:rPr>
          <w:rFonts w:eastAsia="Times New Roman"/>
          <w:szCs w:val="28"/>
        </w:rPr>
        <w:t>огласно пункту 57 Методических указаний № 412/22</w:t>
      </w:r>
      <w:r>
        <w:rPr>
          <w:rFonts w:eastAsia="Times New Roman"/>
          <w:szCs w:val="28"/>
        </w:rPr>
        <w:t>).</w:t>
      </w:r>
    </w:p>
    <w:p w:rsidR="00A712E1" w:rsidRDefault="00A712E1" w:rsidP="00A712E1">
      <w:pPr>
        <w:autoSpaceDE w:val="0"/>
        <w:autoSpaceDN w:val="0"/>
        <w:adjustRightInd w:val="0"/>
        <w:spacing w:after="0" w:line="240" w:lineRule="auto"/>
        <w:ind w:firstLine="709"/>
        <w:jc w:val="both"/>
        <w:outlineLvl w:val="1"/>
        <w:rPr>
          <w:rFonts w:eastAsia="Times New Roman"/>
          <w:szCs w:val="28"/>
        </w:rPr>
      </w:pPr>
      <w:r w:rsidRPr="0085399F">
        <w:rPr>
          <w:rFonts w:eastAsia="Times New Roman"/>
          <w:szCs w:val="28"/>
        </w:rPr>
        <w:t xml:space="preserve"> Балансовые показатели планового объема полезного отпуска электрической энергии, используемые при расчете цен (тарифов) на электрическую энергию для населения и приравненным к нему категориям потребителей Новосибирской области </w:t>
      </w:r>
      <w:r>
        <w:rPr>
          <w:rFonts w:eastAsia="Times New Roman"/>
          <w:szCs w:val="28"/>
        </w:rPr>
        <w:t xml:space="preserve">на 2024 год </w:t>
      </w:r>
      <w:r w:rsidRPr="0085399F">
        <w:rPr>
          <w:rFonts w:eastAsia="Times New Roman"/>
          <w:szCs w:val="28"/>
        </w:rPr>
        <w:t>учтены в соответствии со Сводным прогнозным балансом производства и поставок электрической энергии (мощности) в рамках Единой энергетической системы России по субъектам Российской Федерации на 2024</w:t>
      </w:r>
      <w:r>
        <w:rPr>
          <w:rFonts w:eastAsia="Times New Roman"/>
          <w:szCs w:val="28"/>
        </w:rPr>
        <w:t xml:space="preserve"> </w:t>
      </w:r>
      <w:r w:rsidRPr="0085399F">
        <w:rPr>
          <w:rFonts w:eastAsia="Times New Roman"/>
          <w:szCs w:val="28"/>
        </w:rPr>
        <w:t>год, утвержденным приказом ФАС России от 30.06.2023 № 428/23-ДСП с учетом изменений, внесенных приказом ФАС России от 31.10.23 № 783/23-ДСП</w:t>
      </w:r>
      <w:r>
        <w:rPr>
          <w:rFonts w:eastAsia="Times New Roman"/>
          <w:szCs w:val="28"/>
        </w:rPr>
        <w:t>.</w:t>
      </w:r>
    </w:p>
    <w:p w:rsidR="00A712E1" w:rsidRPr="00017B45" w:rsidRDefault="00A712E1" w:rsidP="00017B45">
      <w:pPr>
        <w:autoSpaceDE w:val="0"/>
        <w:autoSpaceDN w:val="0"/>
        <w:adjustRightInd w:val="0"/>
        <w:spacing w:before="120" w:after="0" w:line="240" w:lineRule="auto"/>
        <w:ind w:firstLine="709"/>
        <w:jc w:val="both"/>
        <w:rPr>
          <w:szCs w:val="28"/>
          <w:u w:val="single"/>
        </w:rPr>
      </w:pPr>
      <w:r w:rsidRPr="00017B45">
        <w:rPr>
          <w:szCs w:val="28"/>
          <w:u w:val="single"/>
        </w:rPr>
        <w:t>Формирование тарифов на электрическую энергию (мощность) для населения и приравненных к нему категориям потребителей по Новосибирской области на 2025 год</w:t>
      </w:r>
    </w:p>
    <w:p w:rsidR="00A712E1" w:rsidRPr="00661EF8" w:rsidRDefault="00A712E1" w:rsidP="00A712E1">
      <w:pPr>
        <w:autoSpaceDE w:val="0"/>
        <w:autoSpaceDN w:val="0"/>
        <w:adjustRightInd w:val="0"/>
        <w:spacing w:after="0" w:line="240" w:lineRule="auto"/>
        <w:ind w:firstLine="709"/>
        <w:jc w:val="both"/>
        <w:rPr>
          <w:rFonts w:eastAsia="Times New Roman"/>
          <w:szCs w:val="28"/>
        </w:rPr>
      </w:pPr>
      <w:r w:rsidRPr="00661EF8">
        <w:rPr>
          <w:rFonts w:eastAsia="Times New Roman"/>
          <w:szCs w:val="28"/>
        </w:rPr>
        <w:t xml:space="preserve">Приказом Федеральной антимонопольной службы от 11.10.2024 № 718/24 «О предельных минимальных и максимальных уровнях тарифов на электрическую энергию (мощность), поставляемую населению и приравненным к нему категориям потребителей, по субъектам Российской Федерации на 2025 год» установлены предельные уровни тарифов на 2025 год, в том числе по Новосибирской области в следующих размерах с НДС: </w:t>
      </w:r>
    </w:p>
    <w:p w:rsidR="00A712E1" w:rsidRPr="00661EF8" w:rsidRDefault="00A712E1" w:rsidP="00A712E1">
      <w:pPr>
        <w:autoSpaceDE w:val="0"/>
        <w:autoSpaceDN w:val="0"/>
        <w:adjustRightInd w:val="0"/>
        <w:spacing w:after="0" w:line="240" w:lineRule="auto"/>
        <w:ind w:firstLine="709"/>
        <w:jc w:val="both"/>
        <w:rPr>
          <w:rFonts w:eastAsia="Times New Roman"/>
          <w:szCs w:val="28"/>
        </w:rPr>
      </w:pPr>
      <w:r w:rsidRPr="00661EF8">
        <w:rPr>
          <w:rFonts w:eastAsia="Times New Roman"/>
          <w:szCs w:val="28"/>
        </w:rPr>
        <w:t>на 1 полугодие 2025 года предельный минимальный уровень – 365,0 коп./кВтч., предельный максимальный уровень – 366,0 коп./кВтч;</w:t>
      </w:r>
    </w:p>
    <w:p w:rsidR="00A712E1" w:rsidRDefault="00A712E1" w:rsidP="00A712E1">
      <w:pPr>
        <w:autoSpaceDE w:val="0"/>
        <w:autoSpaceDN w:val="0"/>
        <w:adjustRightInd w:val="0"/>
        <w:spacing w:after="0" w:line="240" w:lineRule="auto"/>
        <w:ind w:firstLine="709"/>
        <w:jc w:val="both"/>
        <w:rPr>
          <w:rFonts w:eastAsia="Times New Roman"/>
          <w:szCs w:val="28"/>
        </w:rPr>
      </w:pPr>
      <w:r w:rsidRPr="00661EF8">
        <w:rPr>
          <w:rFonts w:eastAsia="Times New Roman"/>
          <w:szCs w:val="28"/>
        </w:rPr>
        <w:t>на 2 полугодие 2025 года предельный минимальный уровень – 411,0 коп./кВтч., предельный максимальный уровень – 412,0 коп./кВтч.</w:t>
      </w:r>
    </w:p>
    <w:p w:rsidR="00A712E1"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Т</w:t>
      </w:r>
      <w:r w:rsidRPr="00661EF8">
        <w:rPr>
          <w:rFonts w:eastAsia="Times New Roman"/>
          <w:szCs w:val="28"/>
        </w:rPr>
        <w:t>арифы на электрическую энергию, поставляемую населению и приравненным к нему категориям потребителей</w:t>
      </w:r>
      <w:r>
        <w:rPr>
          <w:rFonts w:eastAsia="Times New Roman"/>
          <w:szCs w:val="28"/>
        </w:rPr>
        <w:t>,</w:t>
      </w:r>
      <w:r w:rsidRPr="00661EF8">
        <w:rPr>
          <w:rFonts w:eastAsia="Times New Roman"/>
          <w:szCs w:val="28"/>
        </w:rPr>
        <w:t xml:space="preserve"> сформированы департаментом в соответствии с Методическими указаниями </w:t>
      </w:r>
      <w:r w:rsidRPr="00F8784E">
        <w:rPr>
          <w:rFonts w:eastAsia="Times New Roman"/>
          <w:szCs w:val="28"/>
        </w:rPr>
        <w:t>№ 412/22</w:t>
      </w:r>
      <w:r>
        <w:rPr>
          <w:rFonts w:eastAsia="Times New Roman"/>
          <w:szCs w:val="28"/>
        </w:rPr>
        <w:t xml:space="preserve"> следующим образом:</w:t>
      </w:r>
    </w:p>
    <w:p w:rsidR="00A712E1"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w:t>
      </w:r>
      <w:r w:rsidRPr="00064E97">
        <w:t xml:space="preserve"> </w:t>
      </w:r>
      <w:r w:rsidRPr="00345D48">
        <w:rPr>
          <w:rFonts w:eastAsia="Times New Roman"/>
          <w:szCs w:val="28"/>
          <w:u w:val="single"/>
        </w:rPr>
        <w:t>для первого диапазона потребления</w:t>
      </w:r>
      <w:r w:rsidRPr="00345D48">
        <w:t xml:space="preserve"> </w:t>
      </w:r>
      <w:r w:rsidRPr="00345D48">
        <w:rPr>
          <w:rFonts w:eastAsia="Times New Roman"/>
          <w:szCs w:val="28"/>
        </w:rPr>
        <w:t>без учета дифференциации по зонам суток и понижающих коэффициентов</w:t>
      </w:r>
      <w:r>
        <w:rPr>
          <w:rFonts w:eastAsia="Times New Roman"/>
          <w:szCs w:val="28"/>
        </w:rPr>
        <w:t>:</w:t>
      </w:r>
    </w:p>
    <w:p w:rsidR="00A712E1" w:rsidRPr="00064E97" w:rsidRDefault="00A712E1" w:rsidP="00A712E1">
      <w:pPr>
        <w:autoSpaceDE w:val="0"/>
        <w:autoSpaceDN w:val="0"/>
        <w:adjustRightInd w:val="0"/>
        <w:spacing w:after="0" w:line="240" w:lineRule="auto"/>
        <w:ind w:firstLine="709"/>
        <w:jc w:val="both"/>
        <w:rPr>
          <w:rFonts w:eastAsia="Times New Roman"/>
          <w:szCs w:val="28"/>
        </w:rPr>
      </w:pPr>
      <w:r w:rsidRPr="00064E97">
        <w:rPr>
          <w:rFonts w:eastAsia="Times New Roman"/>
          <w:szCs w:val="28"/>
        </w:rPr>
        <w:t xml:space="preserve">на 1 полугодие 2025 года в размере 3,66 руб./кВтч </w:t>
      </w:r>
      <w:r>
        <w:rPr>
          <w:rFonts w:eastAsia="Times New Roman"/>
          <w:szCs w:val="28"/>
        </w:rPr>
        <w:t xml:space="preserve">(с НДС) </w:t>
      </w:r>
      <w:r w:rsidRPr="00064E97">
        <w:rPr>
          <w:rFonts w:eastAsia="Times New Roman"/>
          <w:szCs w:val="28"/>
        </w:rPr>
        <w:t xml:space="preserve">– в рамках предельных уровней цен (тарифов), установленных приказом ФАС России от </w:t>
      </w:r>
      <w:r w:rsidRPr="00064E97">
        <w:rPr>
          <w:rFonts w:eastAsia="Times New Roman"/>
          <w:szCs w:val="28"/>
        </w:rPr>
        <w:lastRenderedPageBreak/>
        <w:t>11.10.2024 № 718/24, в соответствии с величиной, действовавшей во 2 полугодии 2024 года;</w:t>
      </w:r>
    </w:p>
    <w:p w:rsidR="00A712E1" w:rsidRDefault="00A712E1" w:rsidP="00A712E1">
      <w:pPr>
        <w:autoSpaceDE w:val="0"/>
        <w:autoSpaceDN w:val="0"/>
        <w:adjustRightInd w:val="0"/>
        <w:spacing w:after="0" w:line="240" w:lineRule="auto"/>
        <w:ind w:firstLine="709"/>
        <w:jc w:val="both"/>
        <w:rPr>
          <w:rFonts w:eastAsia="Times New Roman"/>
          <w:szCs w:val="28"/>
        </w:rPr>
      </w:pPr>
      <w:r w:rsidRPr="00064E97">
        <w:rPr>
          <w:rFonts w:eastAsia="Times New Roman"/>
          <w:szCs w:val="28"/>
        </w:rPr>
        <w:t xml:space="preserve">на 2 полугодие 2024 года в размере 4,12 руб./кВтч </w:t>
      </w:r>
      <w:r w:rsidRPr="000B2A2F">
        <w:rPr>
          <w:rFonts w:eastAsia="Times New Roman"/>
          <w:szCs w:val="28"/>
        </w:rPr>
        <w:t>(с НДС)</w:t>
      </w:r>
      <w:r>
        <w:rPr>
          <w:rFonts w:eastAsia="Times New Roman"/>
          <w:szCs w:val="28"/>
        </w:rPr>
        <w:t xml:space="preserve"> </w:t>
      </w:r>
      <w:r w:rsidRPr="00064E97">
        <w:rPr>
          <w:rFonts w:eastAsia="Times New Roman"/>
          <w:szCs w:val="28"/>
        </w:rPr>
        <w:t>– в рамках предельных уровней цен (тарифов), установленных приказом ФАС России от 11.10.2024 № 718/24, с ростом по отношению к уровню 1</w:t>
      </w:r>
      <w:r>
        <w:rPr>
          <w:rFonts w:eastAsia="Times New Roman"/>
          <w:szCs w:val="28"/>
        </w:rPr>
        <w:t xml:space="preserve"> полугодия 2024 года на  12,6 %;</w:t>
      </w:r>
    </w:p>
    <w:p w:rsidR="00A712E1" w:rsidRPr="00581CF6"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 xml:space="preserve">- </w:t>
      </w:r>
      <w:r w:rsidRPr="00345D48">
        <w:rPr>
          <w:rFonts w:eastAsia="Times New Roman"/>
          <w:szCs w:val="28"/>
          <w:u w:val="single"/>
        </w:rPr>
        <w:t xml:space="preserve">для второго диапазона </w:t>
      </w:r>
      <w:r w:rsidRPr="00581CF6">
        <w:rPr>
          <w:rFonts w:eastAsia="Times New Roman"/>
          <w:szCs w:val="28"/>
          <w:u w:val="single"/>
        </w:rPr>
        <w:t xml:space="preserve">потребления </w:t>
      </w:r>
      <w:r w:rsidRPr="00581CF6">
        <w:rPr>
          <w:rFonts w:eastAsia="Times New Roman"/>
          <w:szCs w:val="28"/>
        </w:rPr>
        <w:t>без учета дифференциации по зонам суток и понижающих коэффициентов:</w:t>
      </w:r>
    </w:p>
    <w:p w:rsidR="00A712E1" w:rsidRPr="00581CF6" w:rsidRDefault="00A712E1" w:rsidP="00A712E1">
      <w:pPr>
        <w:autoSpaceDE w:val="0"/>
        <w:autoSpaceDN w:val="0"/>
        <w:adjustRightInd w:val="0"/>
        <w:spacing w:after="0" w:line="240" w:lineRule="auto"/>
        <w:ind w:firstLine="709"/>
        <w:jc w:val="both"/>
        <w:rPr>
          <w:rFonts w:eastAsia="Times New Roman"/>
          <w:szCs w:val="28"/>
        </w:rPr>
      </w:pPr>
      <w:r w:rsidRPr="00581CF6">
        <w:rPr>
          <w:rFonts w:eastAsia="Times New Roman"/>
          <w:szCs w:val="28"/>
        </w:rPr>
        <w:t>на первое полугодие 2025 года – 5,32 руб./кВтч</w:t>
      </w:r>
      <w:r w:rsidRPr="00581CF6">
        <w:t xml:space="preserve"> </w:t>
      </w:r>
      <w:r w:rsidRPr="00581CF6">
        <w:rPr>
          <w:szCs w:val="28"/>
        </w:rPr>
        <w:t xml:space="preserve">(с НДС) </w:t>
      </w:r>
      <w:r w:rsidRPr="00581CF6">
        <w:rPr>
          <w:rFonts w:eastAsia="Times New Roman"/>
          <w:szCs w:val="28"/>
        </w:rPr>
        <w:t>на уровне экономически обоснованного тарифа;</w:t>
      </w:r>
    </w:p>
    <w:p w:rsidR="00A712E1" w:rsidRPr="00581CF6" w:rsidRDefault="00A712E1" w:rsidP="00A712E1">
      <w:pPr>
        <w:autoSpaceDE w:val="0"/>
        <w:autoSpaceDN w:val="0"/>
        <w:adjustRightInd w:val="0"/>
        <w:spacing w:after="0" w:line="240" w:lineRule="auto"/>
        <w:ind w:firstLine="709"/>
        <w:jc w:val="both"/>
        <w:rPr>
          <w:rFonts w:eastAsia="Times New Roman"/>
          <w:szCs w:val="28"/>
        </w:rPr>
      </w:pPr>
      <w:r w:rsidRPr="00581CF6">
        <w:rPr>
          <w:rFonts w:eastAsia="Times New Roman"/>
          <w:szCs w:val="28"/>
        </w:rPr>
        <w:t>на второе полугодие 2025 года – 6,18 руб./кВтч.</w:t>
      </w:r>
      <w:r w:rsidRPr="00581CF6">
        <w:rPr>
          <w:szCs w:val="28"/>
        </w:rPr>
        <w:t xml:space="preserve"> (с НДС) </w:t>
      </w:r>
      <w:r w:rsidRPr="00581CF6">
        <w:rPr>
          <w:rFonts w:eastAsia="Times New Roman"/>
          <w:szCs w:val="28"/>
        </w:rPr>
        <w:t>на уровне экономически обоснованного тарифа;</w:t>
      </w:r>
    </w:p>
    <w:p w:rsidR="00A712E1" w:rsidRPr="00581CF6" w:rsidRDefault="00A712E1" w:rsidP="00A712E1">
      <w:pPr>
        <w:autoSpaceDE w:val="0"/>
        <w:autoSpaceDN w:val="0"/>
        <w:adjustRightInd w:val="0"/>
        <w:spacing w:after="0" w:line="240" w:lineRule="auto"/>
        <w:ind w:firstLine="709"/>
        <w:jc w:val="both"/>
        <w:rPr>
          <w:rFonts w:eastAsia="Times New Roman"/>
          <w:szCs w:val="28"/>
        </w:rPr>
      </w:pPr>
      <w:r w:rsidRPr="00581CF6">
        <w:rPr>
          <w:rFonts w:eastAsia="Times New Roman"/>
          <w:szCs w:val="28"/>
        </w:rPr>
        <w:t xml:space="preserve">- </w:t>
      </w:r>
      <w:r w:rsidRPr="00581CF6">
        <w:rPr>
          <w:rFonts w:eastAsia="Times New Roman"/>
          <w:szCs w:val="28"/>
          <w:u w:val="single"/>
        </w:rPr>
        <w:t>для третьего диапазона потребления</w:t>
      </w:r>
      <w:r w:rsidRPr="00581CF6">
        <w:rPr>
          <w:rFonts w:eastAsia="Times New Roman"/>
          <w:szCs w:val="28"/>
        </w:rPr>
        <w:t xml:space="preserve"> без учета дифференциации по зонам суток и понижающих коэффициентов:</w:t>
      </w:r>
    </w:p>
    <w:p w:rsidR="00A712E1" w:rsidRPr="00F8784E" w:rsidRDefault="00A712E1" w:rsidP="00A712E1">
      <w:pPr>
        <w:autoSpaceDE w:val="0"/>
        <w:autoSpaceDN w:val="0"/>
        <w:adjustRightInd w:val="0"/>
        <w:spacing w:after="0" w:line="240" w:lineRule="auto"/>
        <w:ind w:firstLine="709"/>
        <w:jc w:val="both"/>
        <w:rPr>
          <w:rFonts w:eastAsia="Times New Roman"/>
          <w:szCs w:val="28"/>
        </w:rPr>
      </w:pPr>
      <w:r w:rsidRPr="00581CF6">
        <w:rPr>
          <w:rFonts w:eastAsia="Times New Roman"/>
          <w:szCs w:val="28"/>
        </w:rPr>
        <w:t>на первое полугодие 2025 года – 7,11 руб./кВтч (с НДС) на уровне</w:t>
      </w:r>
      <w:r w:rsidRPr="00F8784E">
        <w:rPr>
          <w:rFonts w:eastAsia="Times New Roman"/>
          <w:szCs w:val="28"/>
        </w:rPr>
        <w:t xml:space="preserve"> тарифа, действовавшего во втором полугодии 2024 года</w:t>
      </w:r>
      <w:r>
        <w:rPr>
          <w:rFonts w:eastAsia="Times New Roman"/>
          <w:szCs w:val="28"/>
        </w:rPr>
        <w:t>;</w:t>
      </w:r>
      <w:r w:rsidRPr="00F8784E">
        <w:rPr>
          <w:rFonts w:eastAsia="Times New Roman"/>
          <w:szCs w:val="28"/>
        </w:rPr>
        <w:t xml:space="preserve"> </w:t>
      </w:r>
    </w:p>
    <w:p w:rsidR="00A712E1" w:rsidRDefault="00A712E1" w:rsidP="00A712E1">
      <w:pPr>
        <w:autoSpaceDE w:val="0"/>
        <w:autoSpaceDN w:val="0"/>
        <w:adjustRightInd w:val="0"/>
        <w:spacing w:after="0" w:line="240" w:lineRule="auto"/>
        <w:ind w:firstLine="709"/>
        <w:jc w:val="both"/>
        <w:rPr>
          <w:rFonts w:eastAsia="Times New Roman"/>
          <w:szCs w:val="28"/>
        </w:rPr>
      </w:pPr>
      <w:r w:rsidRPr="00F8784E">
        <w:rPr>
          <w:rFonts w:eastAsia="Times New Roman"/>
          <w:szCs w:val="28"/>
        </w:rPr>
        <w:t xml:space="preserve">на второе полугодие 2025 года – 7,36 руб./кВтч </w:t>
      </w:r>
      <w:r w:rsidRPr="000B2A2F">
        <w:rPr>
          <w:rFonts w:eastAsia="Times New Roman"/>
          <w:szCs w:val="28"/>
        </w:rPr>
        <w:t xml:space="preserve">(с НДС) </w:t>
      </w:r>
      <w:r w:rsidRPr="00F8784E">
        <w:rPr>
          <w:rFonts w:eastAsia="Times New Roman"/>
          <w:szCs w:val="28"/>
        </w:rPr>
        <w:t>исходя из сложившегося в среднем за первое полугодие 2024 года уровня нерегулируемых цен на электрическую энергию (мощность) для потребителей, не относящихся к населению и приравненным к нему категориям потребителей, максимальная мощность энергопринимающих устройств которых составляет менее 670 кВт, для первой ценовой категории на низком уровне напряжения, с учетом применения индекса цен производителей по строке «Обеспечение электрической энергией, газом, паром» Прогноза социально-экономического развития Российской Федерации на 2025 год и на плановый период 2026 и 2027 годов в размере 109,8%.</w:t>
      </w:r>
    </w:p>
    <w:p w:rsidR="00A712E1" w:rsidRPr="00DD5857" w:rsidRDefault="00A712E1" w:rsidP="00A712E1">
      <w:pPr>
        <w:autoSpaceDE w:val="0"/>
        <w:autoSpaceDN w:val="0"/>
        <w:adjustRightInd w:val="0"/>
        <w:spacing w:after="0" w:line="240" w:lineRule="auto"/>
        <w:ind w:firstLine="709"/>
        <w:jc w:val="both"/>
        <w:rPr>
          <w:rFonts w:eastAsia="Times New Roman"/>
          <w:szCs w:val="28"/>
        </w:rPr>
      </w:pPr>
      <w:r w:rsidRPr="00DD5857">
        <w:rPr>
          <w:rFonts w:eastAsia="Times New Roman"/>
          <w:szCs w:val="28"/>
        </w:rPr>
        <w:t xml:space="preserve">Пороговые значения </w:t>
      </w:r>
      <w:r>
        <w:rPr>
          <w:rFonts w:eastAsia="Times New Roman"/>
          <w:szCs w:val="28"/>
        </w:rPr>
        <w:t xml:space="preserve">потребления </w:t>
      </w:r>
      <w:r w:rsidRPr="00DD5857">
        <w:rPr>
          <w:rFonts w:eastAsia="Times New Roman"/>
          <w:szCs w:val="28"/>
        </w:rPr>
        <w:t>электрическ</w:t>
      </w:r>
      <w:r>
        <w:rPr>
          <w:rFonts w:eastAsia="Times New Roman"/>
          <w:szCs w:val="28"/>
        </w:rPr>
        <w:t>ой</w:t>
      </w:r>
      <w:r w:rsidRPr="00DD5857">
        <w:rPr>
          <w:rFonts w:eastAsia="Times New Roman"/>
          <w:szCs w:val="28"/>
        </w:rPr>
        <w:t xml:space="preserve"> энерги</w:t>
      </w:r>
      <w:r>
        <w:rPr>
          <w:rFonts w:eastAsia="Times New Roman"/>
          <w:szCs w:val="28"/>
        </w:rPr>
        <w:t>и</w:t>
      </w:r>
      <w:r w:rsidRPr="00DD5857">
        <w:rPr>
          <w:rFonts w:eastAsia="Times New Roman"/>
          <w:szCs w:val="28"/>
        </w:rPr>
        <w:t xml:space="preserve"> (мощност</w:t>
      </w:r>
      <w:r>
        <w:rPr>
          <w:rFonts w:eastAsia="Times New Roman"/>
          <w:szCs w:val="28"/>
        </w:rPr>
        <w:t>и</w:t>
      </w:r>
      <w:r w:rsidRPr="00DD5857">
        <w:rPr>
          <w:rFonts w:eastAsia="Times New Roman"/>
          <w:szCs w:val="28"/>
        </w:rPr>
        <w:t>)</w:t>
      </w:r>
      <w:r>
        <w:rPr>
          <w:rFonts w:eastAsia="Times New Roman"/>
          <w:szCs w:val="28"/>
        </w:rPr>
        <w:t xml:space="preserve"> </w:t>
      </w:r>
      <w:r w:rsidRPr="00DD5857">
        <w:rPr>
          <w:rFonts w:eastAsia="Times New Roman"/>
          <w:szCs w:val="28"/>
        </w:rPr>
        <w:t xml:space="preserve">определены департаментом </w:t>
      </w:r>
      <w:r>
        <w:rPr>
          <w:rFonts w:eastAsia="Times New Roman"/>
          <w:szCs w:val="28"/>
        </w:rPr>
        <w:t xml:space="preserve">с учетом </w:t>
      </w:r>
      <w:r w:rsidRPr="00AB660E">
        <w:rPr>
          <w:rFonts w:eastAsia="Times New Roman"/>
          <w:szCs w:val="28"/>
        </w:rPr>
        <w:t>внесенных постановлением Правительства Российской Федерации от 01.11.2024 № 1469</w:t>
      </w:r>
      <w:r>
        <w:rPr>
          <w:rFonts w:eastAsia="Times New Roman"/>
          <w:szCs w:val="28"/>
        </w:rPr>
        <w:t xml:space="preserve"> </w:t>
      </w:r>
      <w:r w:rsidRPr="00FF2174">
        <w:rPr>
          <w:rFonts w:eastAsia="Times New Roman"/>
          <w:szCs w:val="28"/>
        </w:rPr>
        <w:t>«Об установлении лимита энергопотребления при осуществлении майнинга цифровой валюты (в том числе участии в майнинг-пуле) без включения в реестр лиц, осуществляющих майнинг цифровой валюты, физическими лицами – гражданами Российской Федерации, не являющимися индивидуальными предпринимателями, и о внесении изменений в постановление Правительства Российской Федерации от 29 декабря 2011 г. № 1178»</w:t>
      </w:r>
      <w:r>
        <w:rPr>
          <w:rFonts w:eastAsia="Times New Roman"/>
          <w:szCs w:val="28"/>
        </w:rPr>
        <w:t xml:space="preserve"> (далее – Постановление № 1469)</w:t>
      </w:r>
      <w:r w:rsidRPr="00FF2174">
        <w:rPr>
          <w:rFonts w:eastAsia="Times New Roman"/>
          <w:szCs w:val="28"/>
        </w:rPr>
        <w:t xml:space="preserve"> изменений в п. 70(1) Основ ценообразования </w:t>
      </w:r>
      <w:r>
        <w:rPr>
          <w:rFonts w:eastAsia="Times New Roman"/>
          <w:szCs w:val="28"/>
        </w:rPr>
        <w:t xml:space="preserve">№ 1178 </w:t>
      </w:r>
      <w:r w:rsidRPr="00DD5857">
        <w:rPr>
          <w:rFonts w:eastAsia="Times New Roman"/>
          <w:szCs w:val="28"/>
        </w:rPr>
        <w:t xml:space="preserve">в </w:t>
      </w:r>
      <w:r>
        <w:rPr>
          <w:rFonts w:eastAsia="Times New Roman"/>
          <w:szCs w:val="28"/>
        </w:rPr>
        <w:t xml:space="preserve">следующем </w:t>
      </w:r>
      <w:r w:rsidRPr="00DD5857">
        <w:rPr>
          <w:rFonts w:eastAsia="Times New Roman"/>
          <w:szCs w:val="28"/>
        </w:rPr>
        <w:t>размере:</w:t>
      </w:r>
    </w:p>
    <w:p w:rsidR="00A712E1" w:rsidRPr="00DD5857" w:rsidRDefault="00A712E1" w:rsidP="00A712E1">
      <w:pPr>
        <w:autoSpaceDE w:val="0"/>
        <w:autoSpaceDN w:val="0"/>
        <w:adjustRightInd w:val="0"/>
        <w:spacing w:after="0" w:line="240" w:lineRule="auto"/>
        <w:ind w:firstLine="709"/>
        <w:jc w:val="both"/>
        <w:rPr>
          <w:rFonts w:eastAsia="Times New Roman"/>
          <w:szCs w:val="28"/>
        </w:rPr>
      </w:pPr>
      <w:r w:rsidRPr="00B31913">
        <w:rPr>
          <w:rFonts w:eastAsia="Times New Roman"/>
          <w:szCs w:val="28"/>
          <w:u w:val="single"/>
        </w:rPr>
        <w:t>для первого диапазона потребления</w:t>
      </w:r>
      <w:r w:rsidRPr="00DD5857">
        <w:rPr>
          <w:rFonts w:eastAsia="Times New Roman"/>
          <w:szCs w:val="28"/>
        </w:rPr>
        <w:t xml:space="preserve"> </w:t>
      </w:r>
      <w:r>
        <w:rPr>
          <w:rFonts w:eastAsia="Times New Roman"/>
          <w:szCs w:val="28"/>
        </w:rPr>
        <w:t>до 3900 кВтч в месяц (6000 х 0,65) включительно</w:t>
      </w:r>
      <w:r w:rsidRPr="00DD5857">
        <w:rPr>
          <w:rFonts w:eastAsia="Times New Roman"/>
          <w:szCs w:val="28"/>
        </w:rPr>
        <w:t>;</w:t>
      </w:r>
    </w:p>
    <w:p w:rsidR="00A712E1" w:rsidRPr="00661EF8" w:rsidRDefault="00A712E1" w:rsidP="00A712E1">
      <w:pPr>
        <w:autoSpaceDE w:val="0"/>
        <w:autoSpaceDN w:val="0"/>
        <w:adjustRightInd w:val="0"/>
        <w:spacing w:after="0" w:line="240" w:lineRule="auto"/>
        <w:ind w:firstLine="709"/>
        <w:jc w:val="both"/>
        <w:rPr>
          <w:rFonts w:eastAsia="Times New Roman"/>
          <w:szCs w:val="28"/>
        </w:rPr>
      </w:pPr>
      <w:r w:rsidRPr="00B31913">
        <w:rPr>
          <w:rFonts w:eastAsia="Times New Roman"/>
          <w:szCs w:val="28"/>
          <w:u w:val="single"/>
        </w:rPr>
        <w:t>для второго диапазона потребления</w:t>
      </w:r>
      <w:r w:rsidRPr="00DD5857">
        <w:rPr>
          <w:rFonts w:eastAsia="Times New Roman"/>
          <w:szCs w:val="28"/>
        </w:rPr>
        <w:t xml:space="preserve"> </w:t>
      </w:r>
      <w:r>
        <w:rPr>
          <w:rFonts w:eastAsia="Times New Roman"/>
          <w:szCs w:val="28"/>
        </w:rPr>
        <w:t>свыше 3900</w:t>
      </w:r>
      <w:r w:rsidRPr="00DD5857">
        <w:rPr>
          <w:rFonts w:eastAsia="Times New Roman"/>
          <w:szCs w:val="28"/>
        </w:rPr>
        <w:t xml:space="preserve"> кВтч в месяц</w:t>
      </w:r>
      <w:r w:rsidRPr="00DD5857">
        <w:t xml:space="preserve"> </w:t>
      </w:r>
      <w:r w:rsidRPr="00DD5857">
        <w:rPr>
          <w:rFonts w:eastAsia="Times New Roman"/>
          <w:szCs w:val="28"/>
        </w:rPr>
        <w:t>до 6000 кВтч в месяц (включительно)</w:t>
      </w:r>
      <w:r>
        <w:rPr>
          <w:rFonts w:eastAsia="Times New Roman"/>
          <w:szCs w:val="28"/>
        </w:rPr>
        <w:t>;</w:t>
      </w:r>
    </w:p>
    <w:p w:rsidR="00A712E1" w:rsidRDefault="00A712E1" w:rsidP="00A712E1">
      <w:pPr>
        <w:autoSpaceDE w:val="0"/>
        <w:autoSpaceDN w:val="0"/>
        <w:adjustRightInd w:val="0"/>
        <w:spacing w:after="0" w:line="240" w:lineRule="auto"/>
        <w:ind w:firstLine="709"/>
        <w:jc w:val="both"/>
        <w:rPr>
          <w:rFonts w:eastAsia="Times New Roman"/>
          <w:szCs w:val="28"/>
        </w:rPr>
      </w:pPr>
      <w:r w:rsidRPr="00B31913">
        <w:rPr>
          <w:rFonts w:eastAsia="Times New Roman"/>
          <w:szCs w:val="28"/>
          <w:u w:val="single"/>
        </w:rPr>
        <w:t>для третьего диапазона потребления</w:t>
      </w:r>
      <w:r>
        <w:rPr>
          <w:rFonts w:eastAsia="Times New Roman"/>
          <w:szCs w:val="28"/>
        </w:rPr>
        <w:t xml:space="preserve"> свыше </w:t>
      </w:r>
      <w:r w:rsidRPr="00DD5857">
        <w:rPr>
          <w:rFonts w:eastAsia="Times New Roman"/>
          <w:szCs w:val="28"/>
        </w:rPr>
        <w:t>6000 кВтч в месяц</w:t>
      </w:r>
      <w:r>
        <w:rPr>
          <w:rFonts w:eastAsia="Times New Roman"/>
          <w:szCs w:val="28"/>
        </w:rPr>
        <w:t>.</w:t>
      </w:r>
    </w:p>
    <w:p w:rsidR="00A712E1" w:rsidRPr="00CC710F" w:rsidRDefault="00A712E1" w:rsidP="00A712E1">
      <w:pPr>
        <w:tabs>
          <w:tab w:val="left" w:pos="3261"/>
        </w:tabs>
        <w:spacing w:after="0" w:line="240" w:lineRule="auto"/>
        <w:ind w:firstLine="697"/>
        <w:jc w:val="both"/>
        <w:rPr>
          <w:rFonts w:eastAsia="Times New Roman"/>
          <w:szCs w:val="28"/>
        </w:rPr>
      </w:pPr>
      <w:r w:rsidRPr="00CC710F">
        <w:rPr>
          <w:rFonts w:eastAsia="Times New Roman"/>
          <w:szCs w:val="28"/>
        </w:rPr>
        <w:t xml:space="preserve">Балансовые показатели планового объема полезного отпуска электрической энергии, используемые при расчете цен (тарифов) на </w:t>
      </w:r>
      <w:r w:rsidRPr="00CC710F">
        <w:rPr>
          <w:rFonts w:eastAsia="Times New Roman"/>
          <w:szCs w:val="28"/>
        </w:rPr>
        <w:lastRenderedPageBreak/>
        <w:t xml:space="preserve">электрическую энергию для населения и приравненным к нему категориям потребителей Новосибирской области, учтены в соответствии с утвержденным Сводным прогнозным балансом. </w:t>
      </w:r>
    </w:p>
    <w:p w:rsidR="00A712E1" w:rsidRPr="007E6788" w:rsidRDefault="00A712E1" w:rsidP="00A712E1">
      <w:pPr>
        <w:adjustRightInd w:val="0"/>
        <w:spacing w:after="0" w:line="240" w:lineRule="auto"/>
        <w:ind w:firstLine="709"/>
        <w:jc w:val="both"/>
        <w:rPr>
          <w:rFonts w:ascii="Times New Roman CYR" w:eastAsia="Times New Roman" w:hAnsi="Times New Roman CYR" w:cs="Times New Roman CYR"/>
          <w:color w:val="FF0000"/>
          <w:szCs w:val="28"/>
        </w:rPr>
      </w:pPr>
      <w:r w:rsidRPr="00CC710F">
        <w:rPr>
          <w:rFonts w:ascii="Times New Roman CYR" w:eastAsia="Times New Roman" w:hAnsi="Times New Roman CYR" w:cs="Times New Roman CYR"/>
          <w:szCs w:val="28"/>
        </w:rPr>
        <w:t>При установлении тарифов для населения, проживающего в сельских населенных пунктах и приравненных к ним потребителям, а также для садоводческих и огороднических некоммерческих товариществ применен понижающий коэффициент 0,8 в соответствии с п. 71 Основ ценообразования</w:t>
      </w:r>
      <w:r>
        <w:rPr>
          <w:rFonts w:ascii="Times New Roman CYR" w:eastAsia="Times New Roman" w:hAnsi="Times New Roman CYR" w:cs="Times New Roman CYR"/>
          <w:szCs w:val="28"/>
        </w:rPr>
        <w:t xml:space="preserve"> № 1178.</w:t>
      </w:r>
      <w:r w:rsidRPr="00CC710F">
        <w:rPr>
          <w:rFonts w:ascii="Times New Roman CYR" w:eastAsia="Times New Roman" w:hAnsi="Times New Roman CYR" w:cs="Times New Roman CYR"/>
          <w:szCs w:val="28"/>
        </w:rPr>
        <w:t xml:space="preserve"> </w:t>
      </w:r>
    </w:p>
    <w:p w:rsidR="00A712E1" w:rsidRPr="006D7898" w:rsidRDefault="00A712E1" w:rsidP="00A712E1">
      <w:pPr>
        <w:spacing w:after="0" w:line="240" w:lineRule="auto"/>
        <w:ind w:firstLine="709"/>
        <w:jc w:val="both"/>
        <w:rPr>
          <w:szCs w:val="28"/>
        </w:rPr>
      </w:pPr>
      <w:r w:rsidRPr="006D7898">
        <w:rPr>
          <w:szCs w:val="28"/>
        </w:rPr>
        <w:t>Тариф на электрическую энергию для населения и приравненных к нему категориям потребителей по Новосибирской области на 2025 год без дифференциации по зонам суток включают следующие составляющие (без НДС):</w:t>
      </w:r>
    </w:p>
    <w:p w:rsidR="00A712E1" w:rsidRPr="0054672E" w:rsidRDefault="00A712E1" w:rsidP="00A712E1">
      <w:pPr>
        <w:autoSpaceDE w:val="0"/>
        <w:autoSpaceDN w:val="0"/>
        <w:adjustRightInd w:val="0"/>
        <w:spacing w:after="0" w:line="240" w:lineRule="auto"/>
        <w:ind w:firstLine="709"/>
        <w:jc w:val="both"/>
        <w:rPr>
          <w:szCs w:val="28"/>
        </w:rPr>
      </w:pPr>
      <w:r w:rsidRPr="006D7898">
        <w:rPr>
          <w:szCs w:val="28"/>
        </w:rPr>
        <w:t>1) одноставочную индикативную цену на электрическую энергию</w:t>
      </w:r>
      <w:r w:rsidRPr="0054672E">
        <w:rPr>
          <w:szCs w:val="28"/>
        </w:rPr>
        <w:t xml:space="preserve"> и мощность, поставляемую в ценовых зонах оптового рынка для покупателей - субъектов оптового рынка электрической энергии (мощности) по договорам, заключенным в соответствии с законодательством Российской Федерации с гарантирующими поставщиками) энергоснабжающими организациями, энергосбытовыми организациями, к числу покупателей электрической энергии (мощности) которых относятся население и (или) приравненные к нему категории потребителей), для обеспечения потребления электрической энергии населением и (или) приравненными к нему категориями потребителей</w:t>
      </w:r>
      <w:r>
        <w:rPr>
          <w:szCs w:val="28"/>
        </w:rPr>
        <w:t>:</w:t>
      </w:r>
      <w:r w:rsidRPr="0054672E">
        <w:rPr>
          <w:szCs w:val="28"/>
        </w:rPr>
        <w:t xml:space="preserve"> </w:t>
      </w:r>
      <w:r>
        <w:rPr>
          <w:szCs w:val="28"/>
        </w:rPr>
        <w:t xml:space="preserve">на первое полугодие - </w:t>
      </w:r>
      <w:r w:rsidRPr="002D42E4">
        <w:rPr>
          <w:szCs w:val="28"/>
        </w:rPr>
        <w:t>1,24963</w:t>
      </w:r>
      <w:r>
        <w:rPr>
          <w:szCs w:val="28"/>
        </w:rPr>
        <w:t xml:space="preserve"> </w:t>
      </w:r>
      <w:r w:rsidRPr="0054672E">
        <w:rPr>
          <w:szCs w:val="28"/>
        </w:rPr>
        <w:t>руб./кВтч.</w:t>
      </w:r>
      <w:r>
        <w:rPr>
          <w:szCs w:val="28"/>
        </w:rPr>
        <w:t xml:space="preserve">, </w:t>
      </w:r>
      <w:r w:rsidRPr="00DE3949">
        <w:rPr>
          <w:szCs w:val="28"/>
        </w:rPr>
        <w:t xml:space="preserve">на второе полугодие – </w:t>
      </w:r>
      <w:r w:rsidRPr="002D42E4">
        <w:rPr>
          <w:szCs w:val="28"/>
        </w:rPr>
        <w:t>1</w:t>
      </w:r>
      <w:r>
        <w:rPr>
          <w:szCs w:val="28"/>
        </w:rPr>
        <w:t>,</w:t>
      </w:r>
      <w:r w:rsidRPr="002D42E4">
        <w:rPr>
          <w:szCs w:val="28"/>
        </w:rPr>
        <w:t xml:space="preserve">40708 </w:t>
      </w:r>
      <w:r>
        <w:rPr>
          <w:szCs w:val="28"/>
        </w:rPr>
        <w:t>(рост на 12,6</w:t>
      </w:r>
      <w:r w:rsidRPr="0054672E">
        <w:rPr>
          <w:szCs w:val="28"/>
        </w:rPr>
        <w:t>%)</w:t>
      </w:r>
      <w:r>
        <w:rPr>
          <w:szCs w:val="28"/>
        </w:rPr>
        <w:t>.</w:t>
      </w:r>
    </w:p>
    <w:p w:rsidR="00A712E1" w:rsidRDefault="00A712E1" w:rsidP="00A712E1">
      <w:pPr>
        <w:spacing w:after="0" w:line="240" w:lineRule="auto"/>
        <w:ind w:firstLine="709"/>
        <w:jc w:val="both"/>
        <w:rPr>
          <w:szCs w:val="28"/>
        </w:rPr>
      </w:pPr>
      <w:r w:rsidRPr="002D42E4">
        <w:rPr>
          <w:szCs w:val="28"/>
        </w:rPr>
        <w:t>Одноставочная цена определена исходя из двухставочных цен</w:t>
      </w:r>
      <w:r>
        <w:rPr>
          <w:szCs w:val="28"/>
        </w:rPr>
        <w:t>:</w:t>
      </w:r>
    </w:p>
    <w:p w:rsidR="00A712E1" w:rsidRPr="002D42E4" w:rsidRDefault="00A712E1" w:rsidP="00A712E1">
      <w:pPr>
        <w:spacing w:after="0" w:line="240" w:lineRule="auto"/>
        <w:ind w:firstLine="709"/>
        <w:jc w:val="both"/>
        <w:rPr>
          <w:szCs w:val="28"/>
        </w:rPr>
      </w:pPr>
      <w:r w:rsidRPr="002D42E4">
        <w:rPr>
          <w:szCs w:val="28"/>
        </w:rPr>
        <w:t xml:space="preserve">на первое полугодие: на уровне ставок, установленных с 01.07.2024 по 31.12.2024 приказом ФАС России от 27.11.2023 № 892/23 </w:t>
      </w:r>
      <w:r>
        <w:rPr>
          <w:szCs w:val="28"/>
        </w:rPr>
        <w:t>«</w:t>
      </w:r>
      <w:r w:rsidRPr="002D42E4">
        <w:rPr>
          <w:szCs w:val="28"/>
        </w:rPr>
        <w:t>Об утверждении индикативных цен на электрическую энергию и на мощность для покупателей - субъектов оптового рынка электрической энергии (мощности) на территориях неценовых</w:t>
      </w:r>
      <w:r>
        <w:rPr>
          <w:szCs w:val="28"/>
        </w:rPr>
        <w:t xml:space="preserve"> зон оптового рынка на 2024 год»</w:t>
      </w:r>
      <w:r w:rsidRPr="002D42E4">
        <w:rPr>
          <w:szCs w:val="28"/>
        </w:rPr>
        <w:t xml:space="preserve"> (на электрическую энергию - 548,71 руб/МВт.ч; на мощность - 392 866,73 руб./МВт.ч (в месяц));</w:t>
      </w:r>
    </w:p>
    <w:p w:rsidR="00A712E1" w:rsidRDefault="00A712E1" w:rsidP="00A712E1">
      <w:pPr>
        <w:spacing w:after="0" w:line="240" w:lineRule="auto"/>
        <w:ind w:firstLine="709"/>
        <w:jc w:val="both"/>
        <w:rPr>
          <w:szCs w:val="28"/>
        </w:rPr>
      </w:pPr>
      <w:r w:rsidRPr="002D42E4">
        <w:rPr>
          <w:szCs w:val="28"/>
        </w:rPr>
        <w:t>на второе полугодие: с учетом применения к ним параметров индексации для населения в размере 112,6 % (на электрическую энергию - 617,84 руб/МВт.ч, на мощность -  442 367,94 руб./МВт.ч (в месяц));</w:t>
      </w:r>
    </w:p>
    <w:p w:rsidR="00A712E1" w:rsidRDefault="00A712E1" w:rsidP="00A712E1">
      <w:pPr>
        <w:tabs>
          <w:tab w:val="left" w:pos="993"/>
        </w:tabs>
        <w:spacing w:after="0" w:line="240" w:lineRule="auto"/>
        <w:ind w:firstLine="709"/>
        <w:jc w:val="both"/>
        <w:rPr>
          <w:szCs w:val="28"/>
        </w:rPr>
      </w:pPr>
      <w:r w:rsidRPr="0054672E">
        <w:rPr>
          <w:szCs w:val="28"/>
        </w:rPr>
        <w:t>2) сбытовую надбавку гарантирующего поставщика                                       АО «Новосибирскэнергосбыт», утвержде</w:t>
      </w:r>
      <w:r>
        <w:rPr>
          <w:szCs w:val="28"/>
        </w:rPr>
        <w:t xml:space="preserve">нную приказом департамента от </w:t>
      </w:r>
      <w:r w:rsidRPr="002D42E4">
        <w:rPr>
          <w:szCs w:val="28"/>
        </w:rPr>
        <w:t xml:space="preserve">23.10.2024 № 257-ЭЭ/НПА </w:t>
      </w:r>
      <w:r>
        <w:rPr>
          <w:szCs w:val="28"/>
        </w:rPr>
        <w:t>на 2025</w:t>
      </w:r>
      <w:r w:rsidRPr="0054672E">
        <w:rPr>
          <w:szCs w:val="28"/>
        </w:rPr>
        <w:t xml:space="preserve"> год</w:t>
      </w:r>
      <w:r>
        <w:rPr>
          <w:szCs w:val="28"/>
        </w:rPr>
        <w:t>:</w:t>
      </w:r>
    </w:p>
    <w:p w:rsidR="00A712E1" w:rsidRDefault="00A712E1" w:rsidP="00A712E1">
      <w:pPr>
        <w:tabs>
          <w:tab w:val="left" w:pos="993"/>
        </w:tabs>
        <w:spacing w:after="0" w:line="240" w:lineRule="auto"/>
        <w:ind w:firstLine="709"/>
        <w:jc w:val="both"/>
        <w:rPr>
          <w:szCs w:val="28"/>
        </w:rPr>
      </w:pPr>
      <w:r w:rsidRPr="00D02FAA">
        <w:rPr>
          <w:szCs w:val="28"/>
        </w:rPr>
        <w:t>на первое полугодие –</w:t>
      </w:r>
      <w:r>
        <w:rPr>
          <w:szCs w:val="28"/>
        </w:rPr>
        <w:t xml:space="preserve"> </w:t>
      </w:r>
      <w:r w:rsidRPr="002D42E4">
        <w:rPr>
          <w:szCs w:val="28"/>
        </w:rPr>
        <w:t>0,53058</w:t>
      </w:r>
      <w:r>
        <w:rPr>
          <w:szCs w:val="28"/>
        </w:rPr>
        <w:t xml:space="preserve"> </w:t>
      </w:r>
      <w:r w:rsidRPr="0054672E">
        <w:rPr>
          <w:szCs w:val="28"/>
        </w:rPr>
        <w:t>руб./кВт.ч</w:t>
      </w:r>
      <w:r>
        <w:rPr>
          <w:szCs w:val="28"/>
        </w:rPr>
        <w:t>;</w:t>
      </w:r>
    </w:p>
    <w:p w:rsidR="00A712E1" w:rsidRPr="0054672E" w:rsidRDefault="00A712E1" w:rsidP="00A712E1">
      <w:pPr>
        <w:tabs>
          <w:tab w:val="left" w:pos="993"/>
        </w:tabs>
        <w:spacing w:after="0" w:line="240" w:lineRule="auto"/>
        <w:ind w:firstLine="709"/>
        <w:jc w:val="both"/>
        <w:rPr>
          <w:szCs w:val="28"/>
        </w:rPr>
      </w:pPr>
      <w:r w:rsidRPr="00D02FAA">
        <w:rPr>
          <w:szCs w:val="28"/>
        </w:rPr>
        <w:t xml:space="preserve">на второе полугодие </w:t>
      </w:r>
      <w:r w:rsidRPr="009E65D0">
        <w:rPr>
          <w:szCs w:val="28"/>
        </w:rPr>
        <w:t>–</w:t>
      </w:r>
      <w:r>
        <w:rPr>
          <w:szCs w:val="28"/>
        </w:rPr>
        <w:t xml:space="preserve"> </w:t>
      </w:r>
      <w:r w:rsidRPr="002D42E4">
        <w:rPr>
          <w:szCs w:val="28"/>
        </w:rPr>
        <w:t xml:space="preserve">0,53058 </w:t>
      </w:r>
      <w:r>
        <w:rPr>
          <w:szCs w:val="28"/>
        </w:rPr>
        <w:t>руб./кВт.ч</w:t>
      </w:r>
      <w:r w:rsidRPr="0054672E">
        <w:rPr>
          <w:szCs w:val="28"/>
        </w:rPr>
        <w:t>;</w:t>
      </w:r>
    </w:p>
    <w:p w:rsidR="00A712E1" w:rsidRPr="00F963E3" w:rsidRDefault="00A712E1" w:rsidP="00A712E1">
      <w:pPr>
        <w:tabs>
          <w:tab w:val="center" w:pos="4677"/>
          <w:tab w:val="right" w:pos="9355"/>
        </w:tabs>
        <w:spacing w:after="0" w:line="240" w:lineRule="auto"/>
        <w:ind w:firstLine="709"/>
        <w:jc w:val="both"/>
        <w:rPr>
          <w:szCs w:val="28"/>
        </w:rPr>
      </w:pPr>
      <w:r>
        <w:rPr>
          <w:szCs w:val="28"/>
        </w:rPr>
        <w:t xml:space="preserve">3) </w:t>
      </w:r>
      <w:r w:rsidRPr="00F963E3">
        <w:rPr>
          <w:szCs w:val="28"/>
        </w:rPr>
        <w:t>платы за услуги, оказание которых неразрывно связано с процессом снабжения потребителей электрической энергией, которая составила в суммарном размере: на первое полугодие – 0,004811 руб./кВт.ч., на второе полугодие - 0,005113 руб./кВт.ч. (рост на 6,3%), рассчитанную исходя из следующих параметров:</w:t>
      </w:r>
    </w:p>
    <w:p w:rsidR="00A712E1" w:rsidRDefault="00A712E1" w:rsidP="00A712E1">
      <w:pPr>
        <w:tabs>
          <w:tab w:val="center" w:pos="4677"/>
          <w:tab w:val="right" w:pos="9355"/>
        </w:tabs>
        <w:spacing w:after="0" w:line="240" w:lineRule="auto"/>
        <w:ind w:firstLine="709"/>
        <w:jc w:val="both"/>
        <w:rPr>
          <w:szCs w:val="28"/>
        </w:rPr>
      </w:pPr>
      <w:r w:rsidRPr="00F8392C">
        <w:rPr>
          <w:szCs w:val="28"/>
        </w:rPr>
        <w:lastRenderedPageBreak/>
        <w:t>-</w:t>
      </w:r>
      <w:r>
        <w:rPr>
          <w:szCs w:val="28"/>
        </w:rPr>
        <w:t xml:space="preserve"> </w:t>
      </w:r>
      <w:r w:rsidRPr="003F1FD7">
        <w:rPr>
          <w:szCs w:val="28"/>
        </w:rPr>
        <w:t xml:space="preserve">в отношении услуг, оказываемых АО </w:t>
      </w:r>
      <w:r>
        <w:rPr>
          <w:szCs w:val="28"/>
        </w:rPr>
        <w:t>«АТС»</w:t>
      </w:r>
      <w:r w:rsidRPr="003F1FD7">
        <w:rPr>
          <w:szCs w:val="28"/>
        </w:rPr>
        <w:t xml:space="preserve"> на 1 полугодие - равной величине, утвержденной приказом ФАС России от 22.12.2023 № 1038/23 на 2 полугодие 2024 года, на 2 полугодие с учетом применения ИПЦ в размере 105,8%;</w:t>
      </w:r>
    </w:p>
    <w:p w:rsidR="00A712E1" w:rsidRDefault="00A712E1" w:rsidP="00A712E1">
      <w:pPr>
        <w:tabs>
          <w:tab w:val="center" w:pos="4677"/>
          <w:tab w:val="right" w:pos="9355"/>
        </w:tabs>
        <w:spacing w:after="0" w:line="240" w:lineRule="auto"/>
        <w:ind w:firstLine="709"/>
        <w:jc w:val="both"/>
        <w:rPr>
          <w:szCs w:val="28"/>
        </w:rPr>
      </w:pPr>
      <w:r>
        <w:rPr>
          <w:szCs w:val="28"/>
        </w:rPr>
        <w:t xml:space="preserve">- </w:t>
      </w:r>
      <w:r w:rsidRPr="003F1FD7">
        <w:rPr>
          <w:szCs w:val="28"/>
        </w:rPr>
        <w:t xml:space="preserve">в отношении услуг, оказываемых АО </w:t>
      </w:r>
      <w:r>
        <w:rPr>
          <w:szCs w:val="28"/>
        </w:rPr>
        <w:t>«</w:t>
      </w:r>
      <w:r w:rsidRPr="003F1FD7">
        <w:rPr>
          <w:szCs w:val="28"/>
        </w:rPr>
        <w:t>Системный оператор Ед</w:t>
      </w:r>
      <w:r>
        <w:rPr>
          <w:szCs w:val="28"/>
        </w:rPr>
        <w:t>иной энергетической системы»</w:t>
      </w:r>
      <w:r w:rsidRPr="003F1FD7">
        <w:rPr>
          <w:szCs w:val="28"/>
        </w:rPr>
        <w:t xml:space="preserve"> на 2025 год - равной величине, утвержденной приказом ФАС России от 22.12.2023 № 1039/23;</w:t>
      </w:r>
    </w:p>
    <w:p w:rsidR="00A712E1" w:rsidRPr="00F8392C" w:rsidRDefault="00A712E1" w:rsidP="00A712E1">
      <w:pPr>
        <w:tabs>
          <w:tab w:val="center" w:pos="4677"/>
          <w:tab w:val="right" w:pos="9355"/>
        </w:tabs>
        <w:spacing w:after="0" w:line="240" w:lineRule="auto"/>
        <w:ind w:firstLine="709"/>
        <w:jc w:val="both"/>
        <w:rPr>
          <w:szCs w:val="28"/>
        </w:rPr>
      </w:pPr>
      <w:r w:rsidRPr="00F8392C">
        <w:rPr>
          <w:szCs w:val="28"/>
        </w:rPr>
        <w:t>-</w:t>
      </w:r>
      <w:r>
        <w:rPr>
          <w:szCs w:val="28"/>
        </w:rPr>
        <w:t xml:space="preserve"> </w:t>
      </w:r>
      <w:r w:rsidRPr="003F1FD7">
        <w:rPr>
          <w:szCs w:val="28"/>
        </w:rPr>
        <w:t xml:space="preserve">в отношении услуг, оказываемых АО </w:t>
      </w:r>
      <w:r>
        <w:rPr>
          <w:szCs w:val="28"/>
        </w:rPr>
        <w:t>«</w:t>
      </w:r>
      <w:r w:rsidRPr="003F1FD7">
        <w:rPr>
          <w:szCs w:val="28"/>
        </w:rPr>
        <w:t>ЦФР</w:t>
      </w:r>
      <w:r>
        <w:rPr>
          <w:szCs w:val="28"/>
        </w:rPr>
        <w:t>»</w:t>
      </w:r>
      <w:r w:rsidRPr="003F1FD7">
        <w:rPr>
          <w:szCs w:val="28"/>
        </w:rPr>
        <w:t xml:space="preserve"> - на 1 полугодие в размере, определе</w:t>
      </w:r>
      <w:r>
        <w:rPr>
          <w:szCs w:val="28"/>
        </w:rPr>
        <w:t>нном Протоколом от 24.05.2024</w:t>
      </w:r>
      <w:r w:rsidRPr="003F1FD7">
        <w:rPr>
          <w:szCs w:val="28"/>
        </w:rPr>
        <w:t xml:space="preserve"> № 10/2024 заседания Наблюдательного совета Ассоциации «НП Совет рынка», на 2 полугодие с учетом ИПЦ в размере 105,8%</w:t>
      </w:r>
      <w:r>
        <w:rPr>
          <w:szCs w:val="28"/>
        </w:rPr>
        <w:t>;</w:t>
      </w:r>
      <w:r w:rsidRPr="00F8392C">
        <w:rPr>
          <w:szCs w:val="28"/>
        </w:rPr>
        <w:t xml:space="preserve"> </w:t>
      </w:r>
    </w:p>
    <w:p w:rsidR="00A712E1" w:rsidRDefault="00A712E1" w:rsidP="00A712E1">
      <w:pPr>
        <w:spacing w:after="0" w:line="240" w:lineRule="auto"/>
        <w:ind w:firstLine="709"/>
        <w:jc w:val="both"/>
        <w:rPr>
          <w:szCs w:val="28"/>
        </w:rPr>
      </w:pPr>
      <w:r w:rsidRPr="0054672E">
        <w:rPr>
          <w:szCs w:val="28"/>
        </w:rPr>
        <w:t xml:space="preserve">4) </w:t>
      </w:r>
      <w:r>
        <w:rPr>
          <w:szCs w:val="28"/>
        </w:rPr>
        <w:t>т</w:t>
      </w:r>
      <w:r w:rsidRPr="00F963E3">
        <w:rPr>
          <w:szCs w:val="28"/>
        </w:rPr>
        <w:t>арифы на услуги по передаче электрической энергии, поставляемой населению и приравненным к нему категориям потребителей, рассчитаны в соответствии с разделом VII Методических указаний № 412/22. Средневзвешенные тарифы на услуги по передаче электрической энергии, поставляемой населению и приравненным к нему категориям потребителей, относящимся к группе (подгруппе) населения и (или) приравненных к населению категорий потребителей, в диапазоне объемов потребления электрической энергии (мощности), а также в разрезе полугодий рассчитаны в следующем размере</w:t>
      </w:r>
      <w:r>
        <w:rPr>
          <w:szCs w:val="28"/>
        </w:rPr>
        <w:t>:</w:t>
      </w:r>
    </w:p>
    <w:p w:rsidR="00A712E1" w:rsidRPr="000B6C70" w:rsidRDefault="00A712E1" w:rsidP="00A712E1">
      <w:pPr>
        <w:spacing w:after="0" w:line="240" w:lineRule="auto"/>
        <w:ind w:firstLine="709"/>
        <w:jc w:val="both"/>
        <w:rPr>
          <w:szCs w:val="28"/>
        </w:rPr>
      </w:pPr>
      <w:r w:rsidRPr="000B6C70">
        <w:rPr>
          <w:szCs w:val="28"/>
        </w:rPr>
        <w:t>на п</w:t>
      </w:r>
      <w:r>
        <w:rPr>
          <w:szCs w:val="28"/>
        </w:rPr>
        <w:t>ервое полугодие – 1,04010 руб./к</w:t>
      </w:r>
      <w:r w:rsidRPr="000B6C70">
        <w:rPr>
          <w:szCs w:val="28"/>
        </w:rPr>
        <w:t>Вт.ч;</w:t>
      </w:r>
    </w:p>
    <w:p w:rsidR="00A712E1" w:rsidRDefault="00A712E1" w:rsidP="00A712E1">
      <w:pPr>
        <w:spacing w:after="0" w:line="240" w:lineRule="auto"/>
        <w:ind w:firstLine="709"/>
        <w:jc w:val="both"/>
        <w:rPr>
          <w:szCs w:val="28"/>
        </w:rPr>
      </w:pPr>
      <w:r w:rsidRPr="000B6C70">
        <w:rPr>
          <w:szCs w:val="28"/>
        </w:rPr>
        <w:t>на в</w:t>
      </w:r>
      <w:r>
        <w:rPr>
          <w:szCs w:val="28"/>
        </w:rPr>
        <w:t>торое полугодие – 1,34341 руб./к</w:t>
      </w:r>
      <w:r w:rsidRPr="000B6C70">
        <w:rPr>
          <w:szCs w:val="28"/>
        </w:rPr>
        <w:t>Вт.ч.</w:t>
      </w:r>
    </w:p>
    <w:p w:rsidR="00A712E1" w:rsidRPr="007C6973" w:rsidRDefault="00A712E1" w:rsidP="00A712E1">
      <w:pPr>
        <w:spacing w:after="0" w:line="240" w:lineRule="auto"/>
        <w:ind w:firstLine="709"/>
        <w:jc w:val="both"/>
        <w:rPr>
          <w:szCs w:val="28"/>
        </w:rPr>
      </w:pPr>
      <w:r w:rsidRPr="007C6973">
        <w:rPr>
          <w:szCs w:val="28"/>
        </w:rPr>
        <w:t xml:space="preserve">Ниже выборочно по годам приведена структура тарифа на электрическую энергию для населения и приравненных к нему категорий потребителей, установленных на второе полугодие (в 2023 году на год), без учета дифференциации по объемам потребления электрической энергии (мощности), группам и зонам суток. </w:t>
      </w:r>
    </w:p>
    <w:p w:rsidR="00A712E1" w:rsidRPr="0054672E" w:rsidRDefault="00A712E1" w:rsidP="00A712E1">
      <w:pPr>
        <w:spacing w:after="0" w:line="240" w:lineRule="auto"/>
        <w:jc w:val="both"/>
        <w:rPr>
          <w:sz w:val="24"/>
        </w:rPr>
      </w:pPr>
      <w:r>
        <w:rPr>
          <w:noProof/>
        </w:rPr>
        <w:drawing>
          <wp:inline distT="0" distB="0" distL="0" distR="0" wp14:anchorId="51913771" wp14:editId="4B08CEC1">
            <wp:extent cx="5886450" cy="3390900"/>
            <wp:effectExtent l="0" t="0" r="0" b="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712E1" w:rsidRDefault="00A712E1" w:rsidP="00A712E1">
      <w:pPr>
        <w:spacing w:after="0" w:line="240" w:lineRule="auto"/>
        <w:rPr>
          <w:sz w:val="24"/>
        </w:rPr>
      </w:pPr>
    </w:p>
    <w:p w:rsidR="00A712E1" w:rsidRDefault="00A712E1" w:rsidP="00A712E1">
      <w:pPr>
        <w:spacing w:after="0" w:line="240" w:lineRule="auto"/>
        <w:ind w:firstLine="709"/>
        <w:jc w:val="both"/>
      </w:pPr>
      <w:r w:rsidRPr="009E65D0">
        <w:lastRenderedPageBreak/>
        <w:t>Как видно из диаграммы, наибольший удельный вес в структуре конечной цены на электрическую энергию для населения практически за все представленные периоды занимает индикативная цена покупки электрической энергии с оптового рынка электрической энергии и мощности (в 202</w:t>
      </w:r>
      <w:r>
        <w:t>5 году 42</w:t>
      </w:r>
      <w:r w:rsidRPr="009E65D0">
        <w:t>,8%). Доля средневзвешенного тарифа на услуги по передаче электрической энергии в 202</w:t>
      </w:r>
      <w:r>
        <w:t>5</w:t>
      </w:r>
      <w:r w:rsidRPr="009E65D0">
        <w:t xml:space="preserve"> году составила </w:t>
      </w:r>
      <w:r>
        <w:t>40</w:t>
      </w:r>
      <w:r w:rsidRPr="009E65D0">
        <w:t>,</w:t>
      </w:r>
      <w:r>
        <w:t>9</w:t>
      </w:r>
      <w:r w:rsidRPr="009E65D0">
        <w:t xml:space="preserve">% и </w:t>
      </w:r>
      <w:r>
        <w:t>увеличи</w:t>
      </w:r>
      <w:r w:rsidRPr="009E65D0">
        <w:t>лась по сравнению с 202</w:t>
      </w:r>
      <w:r>
        <w:t>4</w:t>
      </w:r>
      <w:r w:rsidRPr="009E65D0">
        <w:t xml:space="preserve"> годом на </w:t>
      </w:r>
      <w:r>
        <w:t xml:space="preserve">12,3 процентных пункта. </w:t>
      </w:r>
      <w:r w:rsidRPr="009E65D0">
        <w:t xml:space="preserve">Удельный вес сбытовой надбавки </w:t>
      </w:r>
      <w:r>
        <w:t>сократился</w:t>
      </w:r>
      <w:r w:rsidRPr="009E65D0">
        <w:t xml:space="preserve"> в связи с</w:t>
      </w:r>
      <w:r>
        <w:t>о</w:t>
      </w:r>
      <w:r w:rsidRPr="009E65D0">
        <w:t xml:space="preserve"> </w:t>
      </w:r>
      <w:r>
        <w:t>снижением</w:t>
      </w:r>
      <w:r w:rsidRPr="009E65D0">
        <w:t xml:space="preserve"> сбытовой надбавки для населения</w:t>
      </w:r>
      <w:r>
        <w:t xml:space="preserve"> относительно 2024 года</w:t>
      </w:r>
      <w:r w:rsidRPr="009E65D0">
        <w:t>. В результате доля сбытовой надбавки в структуре конечной цены на электрическую энергию для населения состав</w:t>
      </w:r>
      <w:r>
        <w:t>и</w:t>
      </w:r>
      <w:r w:rsidRPr="009E65D0">
        <w:t>л</w:t>
      </w:r>
      <w:r>
        <w:t>а</w:t>
      </w:r>
      <w:r w:rsidRPr="009E65D0">
        <w:t xml:space="preserve"> в 202</w:t>
      </w:r>
      <w:r>
        <w:t>5</w:t>
      </w:r>
      <w:r w:rsidRPr="009E65D0">
        <w:t xml:space="preserve"> году </w:t>
      </w:r>
      <w:r>
        <w:t>16</w:t>
      </w:r>
      <w:r w:rsidRPr="009E65D0">
        <w:t>,</w:t>
      </w:r>
      <w:r>
        <w:t>15</w:t>
      </w:r>
      <w:r w:rsidRPr="009E65D0">
        <w:t>%. Инфраструктурные платежи занимают наименьший удельный вес и составляют 0,16% в 202</w:t>
      </w:r>
      <w:r>
        <w:t>5</w:t>
      </w:r>
      <w:r w:rsidRPr="009E65D0">
        <w:t xml:space="preserve"> году.</w:t>
      </w:r>
    </w:p>
    <w:p w:rsidR="00A712E1" w:rsidRPr="000961EA" w:rsidRDefault="00A712E1" w:rsidP="00A712E1">
      <w:pPr>
        <w:spacing w:after="0" w:line="240" w:lineRule="auto"/>
        <w:ind w:firstLine="709"/>
        <w:jc w:val="both"/>
        <w:rPr>
          <w:szCs w:val="28"/>
        </w:rPr>
      </w:pPr>
      <w:r w:rsidRPr="000961EA">
        <w:rPr>
          <w:szCs w:val="28"/>
        </w:rPr>
        <w:t>Установленные тарифы для населения и приравненных к нему категорий потребителей для первого диапазона потребления электрической энергии (мощности) (</w:t>
      </w:r>
      <w:r>
        <w:rPr>
          <w:szCs w:val="28"/>
        </w:rPr>
        <w:t>диапазоны объема потребления электрической энергии населением</w:t>
      </w:r>
      <w:r w:rsidRPr="000961EA">
        <w:rPr>
          <w:szCs w:val="28"/>
        </w:rPr>
        <w:t xml:space="preserve"> введены </w:t>
      </w:r>
      <w:r>
        <w:rPr>
          <w:szCs w:val="28"/>
        </w:rPr>
        <w:t xml:space="preserve">начиная </w:t>
      </w:r>
      <w:r w:rsidRPr="000961EA">
        <w:rPr>
          <w:szCs w:val="28"/>
        </w:rPr>
        <w:t xml:space="preserve">с 2024 года) существенно отличаются от </w:t>
      </w:r>
      <w:r w:rsidRPr="00E57A1F">
        <w:rPr>
          <w:szCs w:val="28"/>
        </w:rPr>
        <w:t>экономически обоснованного</w:t>
      </w:r>
      <w:r w:rsidRPr="00E57A1F">
        <w:t xml:space="preserve"> </w:t>
      </w:r>
      <w:r w:rsidRPr="00E57A1F">
        <w:rPr>
          <w:szCs w:val="28"/>
        </w:rPr>
        <w:t>тарифа.</w:t>
      </w:r>
      <w:r w:rsidRPr="000961EA">
        <w:rPr>
          <w:szCs w:val="28"/>
        </w:rPr>
        <w:t xml:space="preserve"> Так, тариф для городского населения во 2 полугодии 2025 года для первого диапазона потребления электрической энергии (мощности) составил 4,12 руб./кВт.ч.</w:t>
      </w:r>
      <w:r w:rsidRPr="00211321">
        <w:rPr>
          <w:szCs w:val="28"/>
        </w:rPr>
        <w:t xml:space="preserve"> </w:t>
      </w:r>
      <w:r w:rsidRPr="000961EA">
        <w:rPr>
          <w:szCs w:val="28"/>
        </w:rPr>
        <w:t>с НДС, экономически обоснованный тариф –</w:t>
      </w:r>
      <w:r w:rsidRPr="000961EA">
        <w:rPr>
          <w:rFonts w:ascii="Times New Roman CYR" w:eastAsia="Times New Roman" w:hAnsi="Times New Roman CYR" w:cs="Times New Roman CYR"/>
          <w:szCs w:val="28"/>
        </w:rPr>
        <w:t xml:space="preserve">6,18 руб./ кВт.ч. </w:t>
      </w:r>
      <w:r w:rsidRPr="000961EA">
        <w:rPr>
          <w:szCs w:val="28"/>
        </w:rPr>
        <w:t xml:space="preserve">с НДС </w:t>
      </w:r>
      <w:r w:rsidRPr="000961EA">
        <w:rPr>
          <w:rFonts w:ascii="Times New Roman CYR" w:eastAsia="Times New Roman" w:hAnsi="Times New Roman CYR" w:cs="Times New Roman CYR"/>
          <w:szCs w:val="28"/>
        </w:rPr>
        <w:t>(выше на 50 %).</w:t>
      </w:r>
    </w:p>
    <w:p w:rsidR="00A712E1" w:rsidRPr="009E65D0" w:rsidRDefault="00A712E1" w:rsidP="00A712E1">
      <w:pPr>
        <w:spacing w:after="0" w:line="240" w:lineRule="auto"/>
        <w:ind w:firstLine="709"/>
        <w:jc w:val="both"/>
        <w:rPr>
          <w:szCs w:val="28"/>
        </w:rPr>
      </w:pPr>
      <w:r w:rsidRPr="009E65D0">
        <w:rPr>
          <w:szCs w:val="28"/>
        </w:rPr>
        <w:t xml:space="preserve">Ниже приведена сравнительная динамика </w:t>
      </w:r>
      <w:r w:rsidRPr="00D045B6">
        <w:rPr>
          <w:szCs w:val="28"/>
        </w:rPr>
        <w:t xml:space="preserve">экономически обоснованных </w:t>
      </w:r>
      <w:r>
        <w:rPr>
          <w:szCs w:val="28"/>
        </w:rPr>
        <w:t xml:space="preserve">и </w:t>
      </w:r>
      <w:r w:rsidRPr="009E65D0">
        <w:rPr>
          <w:szCs w:val="28"/>
        </w:rPr>
        <w:t>установленных тарифов для населения и приравненных к нему категорий потребителей</w:t>
      </w:r>
      <w:r>
        <w:rPr>
          <w:szCs w:val="28"/>
        </w:rPr>
        <w:t xml:space="preserve"> по городу</w:t>
      </w:r>
      <w:r w:rsidRPr="009E65D0">
        <w:rPr>
          <w:szCs w:val="28"/>
        </w:rPr>
        <w:t xml:space="preserve"> Новосибирску и Ново</w:t>
      </w:r>
      <w:r>
        <w:rPr>
          <w:szCs w:val="28"/>
        </w:rPr>
        <w:t>сибирской области за период 2015-2025 годов, в том числе установленным по первому диапазону потребления электрической энергии (мощности) на период 2024-2025 годов</w:t>
      </w:r>
      <w:r w:rsidRPr="009E65D0">
        <w:rPr>
          <w:szCs w:val="28"/>
        </w:rPr>
        <w:t>.</w:t>
      </w:r>
    </w:p>
    <w:p w:rsidR="00A712E1" w:rsidRDefault="00A712E1" w:rsidP="00A712E1">
      <w:pPr>
        <w:spacing w:after="0" w:line="240" w:lineRule="auto"/>
        <w:jc w:val="both"/>
        <w:rPr>
          <w:szCs w:val="28"/>
        </w:rPr>
      </w:pPr>
      <w:r>
        <w:rPr>
          <w:noProof/>
        </w:rPr>
        <w:drawing>
          <wp:inline distT="0" distB="0" distL="0" distR="0" wp14:anchorId="2BF0A0C0" wp14:editId="4953A909">
            <wp:extent cx="6066846" cy="3180522"/>
            <wp:effectExtent l="0" t="0" r="0" b="127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712E1" w:rsidRPr="009E65D0" w:rsidRDefault="00A712E1" w:rsidP="00A712E1">
      <w:pPr>
        <w:spacing w:after="0" w:line="240" w:lineRule="auto"/>
        <w:ind w:firstLine="709"/>
        <w:jc w:val="both"/>
        <w:rPr>
          <w:szCs w:val="28"/>
        </w:rPr>
      </w:pPr>
      <w:r w:rsidRPr="009E65D0">
        <w:rPr>
          <w:szCs w:val="28"/>
        </w:rPr>
        <w:t xml:space="preserve">Как видно из графика, в 2016 - 2017 годах, темпы прироста экономически обоснованных тарифов (на 12,3% и 8,4% соответственно) значительно превысили темпы прироста установленных тарифов (на 3,4% и 2,9% соответственно), что привело к существенному росту перекрестного </w:t>
      </w:r>
      <w:r w:rsidRPr="009E65D0">
        <w:rPr>
          <w:szCs w:val="28"/>
        </w:rPr>
        <w:lastRenderedPageBreak/>
        <w:t xml:space="preserve">субсидирования. В дальнейшем таких расхождений в темпах роста экономически обоснованных и установленных тарифов не наблюдалось. </w:t>
      </w:r>
    </w:p>
    <w:p w:rsidR="00A712E1" w:rsidRDefault="00A712E1" w:rsidP="00A712E1">
      <w:pPr>
        <w:tabs>
          <w:tab w:val="center" w:pos="4677"/>
          <w:tab w:val="right" w:pos="9355"/>
        </w:tabs>
        <w:spacing w:after="0" w:line="240" w:lineRule="auto"/>
        <w:ind w:firstLine="709"/>
        <w:jc w:val="both"/>
        <w:rPr>
          <w:szCs w:val="28"/>
        </w:rPr>
      </w:pPr>
      <w:r w:rsidRPr="0010194C">
        <w:rPr>
          <w:szCs w:val="28"/>
        </w:rPr>
        <w:t>Величина перекрестного субсидирования на 202</w:t>
      </w:r>
      <w:r>
        <w:rPr>
          <w:szCs w:val="28"/>
        </w:rPr>
        <w:t>5</w:t>
      </w:r>
      <w:r w:rsidRPr="0010194C">
        <w:rPr>
          <w:szCs w:val="28"/>
        </w:rPr>
        <w:t xml:space="preserve"> год составила</w:t>
      </w:r>
      <w:r>
        <w:rPr>
          <w:szCs w:val="28"/>
        </w:rPr>
        <w:t xml:space="preserve">                          7 </w:t>
      </w:r>
      <w:r w:rsidRPr="00E57A1F">
        <w:rPr>
          <w:szCs w:val="28"/>
        </w:rPr>
        <w:t>546,8</w:t>
      </w:r>
      <w:r>
        <w:rPr>
          <w:szCs w:val="28"/>
        </w:rPr>
        <w:t xml:space="preserve"> </w:t>
      </w:r>
      <w:r w:rsidRPr="0010194C">
        <w:rPr>
          <w:szCs w:val="28"/>
        </w:rPr>
        <w:t>млн. руб. В таблице приведена динамика роста величины перекрестного субсидирования за период 201</w:t>
      </w:r>
      <w:r>
        <w:rPr>
          <w:szCs w:val="28"/>
        </w:rPr>
        <w:t>6</w:t>
      </w:r>
      <w:r w:rsidRPr="0010194C">
        <w:rPr>
          <w:szCs w:val="28"/>
        </w:rPr>
        <w:t>-2025 годов.</w:t>
      </w:r>
    </w:p>
    <w:p w:rsidR="00A712E1" w:rsidRPr="0010194C" w:rsidRDefault="00A712E1" w:rsidP="00A712E1">
      <w:pPr>
        <w:tabs>
          <w:tab w:val="center" w:pos="4677"/>
          <w:tab w:val="right" w:pos="9355"/>
        </w:tabs>
        <w:spacing w:after="0" w:line="240" w:lineRule="auto"/>
        <w:ind w:firstLine="709"/>
        <w:jc w:val="both"/>
        <w:rPr>
          <w:color w:val="FF0000"/>
          <w:szCs w:val="28"/>
        </w:rPr>
      </w:pPr>
    </w:p>
    <w:tbl>
      <w:tblPr>
        <w:tblW w:w="4868" w:type="pct"/>
        <w:tblInd w:w="108" w:type="dxa"/>
        <w:tblLayout w:type="fixed"/>
        <w:tblLook w:val="04A0" w:firstRow="1" w:lastRow="0" w:firstColumn="1" w:lastColumn="0" w:noHBand="0" w:noVBand="1"/>
      </w:tblPr>
      <w:tblGrid>
        <w:gridCol w:w="1281"/>
        <w:gridCol w:w="846"/>
        <w:gridCol w:w="855"/>
        <w:gridCol w:w="848"/>
        <w:gridCol w:w="855"/>
        <w:gridCol w:w="852"/>
        <w:gridCol w:w="844"/>
        <w:gridCol w:w="738"/>
        <w:gridCol w:w="738"/>
        <w:gridCol w:w="738"/>
        <w:gridCol w:w="723"/>
      </w:tblGrid>
      <w:tr w:rsidR="00B31913" w:rsidRPr="00B31913" w:rsidTr="00B31913">
        <w:trPr>
          <w:trHeight w:val="300"/>
        </w:trPr>
        <w:tc>
          <w:tcPr>
            <w:tcW w:w="687" w:type="pct"/>
            <w:tcBorders>
              <w:top w:val="single" w:sz="4" w:space="0" w:color="auto"/>
              <w:left w:val="single" w:sz="4" w:space="0" w:color="auto"/>
              <w:bottom w:val="single" w:sz="4" w:space="0" w:color="auto"/>
              <w:right w:val="single" w:sz="4" w:space="0" w:color="auto"/>
            </w:tcBorders>
            <w:noWrap/>
            <w:hideMark/>
          </w:tcPr>
          <w:p w:rsidR="00A712E1" w:rsidRPr="00B31913" w:rsidRDefault="00B31913" w:rsidP="00B31913">
            <w:pPr>
              <w:spacing w:after="0" w:line="240" w:lineRule="auto"/>
              <w:rPr>
                <w:rFonts w:eastAsia="Times New Roman"/>
                <w:color w:val="000000"/>
                <w:sz w:val="16"/>
                <w:szCs w:val="16"/>
              </w:rPr>
            </w:pPr>
            <w:r w:rsidRPr="00B31913">
              <w:rPr>
                <w:rFonts w:eastAsia="Times New Roman"/>
                <w:color w:val="000000"/>
                <w:sz w:val="16"/>
                <w:szCs w:val="16"/>
              </w:rPr>
              <w:t>год</w:t>
            </w:r>
          </w:p>
        </w:tc>
        <w:tc>
          <w:tcPr>
            <w:tcW w:w="454"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2016</w:t>
            </w:r>
          </w:p>
        </w:tc>
        <w:tc>
          <w:tcPr>
            <w:tcW w:w="459"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2017</w:t>
            </w:r>
          </w:p>
        </w:tc>
        <w:tc>
          <w:tcPr>
            <w:tcW w:w="455"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2018</w:t>
            </w:r>
          </w:p>
        </w:tc>
        <w:tc>
          <w:tcPr>
            <w:tcW w:w="459"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2019</w:t>
            </w:r>
          </w:p>
        </w:tc>
        <w:tc>
          <w:tcPr>
            <w:tcW w:w="457"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2020</w:t>
            </w:r>
          </w:p>
        </w:tc>
        <w:tc>
          <w:tcPr>
            <w:tcW w:w="453"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2021</w:t>
            </w:r>
          </w:p>
        </w:tc>
        <w:tc>
          <w:tcPr>
            <w:tcW w:w="396"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2022</w:t>
            </w:r>
          </w:p>
        </w:tc>
        <w:tc>
          <w:tcPr>
            <w:tcW w:w="396"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2023</w:t>
            </w:r>
          </w:p>
        </w:tc>
        <w:tc>
          <w:tcPr>
            <w:tcW w:w="396"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2024</w:t>
            </w:r>
          </w:p>
        </w:tc>
        <w:tc>
          <w:tcPr>
            <w:tcW w:w="388" w:type="pct"/>
            <w:tcBorders>
              <w:top w:val="single" w:sz="4" w:space="0" w:color="auto"/>
              <w:left w:val="nil"/>
              <w:bottom w:val="single" w:sz="4" w:space="0" w:color="auto"/>
              <w:right w:val="single" w:sz="4" w:space="0" w:color="auto"/>
            </w:tcBorders>
            <w:noWrap/>
            <w:vAlign w:val="center"/>
          </w:tcPr>
          <w:p w:rsidR="00A712E1" w:rsidRPr="00B31913" w:rsidRDefault="00A712E1" w:rsidP="00B31913">
            <w:pPr>
              <w:rPr>
                <w:sz w:val="16"/>
                <w:szCs w:val="16"/>
              </w:rPr>
            </w:pPr>
            <w:r w:rsidRPr="00B31913">
              <w:rPr>
                <w:sz w:val="16"/>
                <w:szCs w:val="16"/>
              </w:rPr>
              <w:t>2025</w:t>
            </w:r>
          </w:p>
        </w:tc>
      </w:tr>
      <w:tr w:rsidR="00B31913" w:rsidRPr="00B31913" w:rsidTr="00B31913">
        <w:trPr>
          <w:trHeight w:val="329"/>
        </w:trPr>
        <w:tc>
          <w:tcPr>
            <w:tcW w:w="687" w:type="pct"/>
            <w:tcBorders>
              <w:top w:val="nil"/>
              <w:left w:val="single" w:sz="4" w:space="0" w:color="auto"/>
              <w:bottom w:val="single" w:sz="4" w:space="0" w:color="auto"/>
              <w:right w:val="single" w:sz="4" w:space="0" w:color="auto"/>
            </w:tcBorders>
            <w:vAlign w:val="bottom"/>
            <w:hideMark/>
          </w:tcPr>
          <w:p w:rsidR="00A712E1" w:rsidRPr="00B31913" w:rsidRDefault="00A712E1" w:rsidP="00A712E1">
            <w:pPr>
              <w:spacing w:after="0" w:line="240" w:lineRule="auto"/>
              <w:rPr>
                <w:rFonts w:eastAsia="Times New Roman"/>
                <w:color w:val="000000"/>
                <w:sz w:val="16"/>
                <w:szCs w:val="16"/>
              </w:rPr>
            </w:pPr>
            <w:r w:rsidRPr="00B31913">
              <w:rPr>
                <w:rFonts w:eastAsia="Times New Roman"/>
                <w:color w:val="000000"/>
                <w:sz w:val="16"/>
                <w:szCs w:val="16"/>
              </w:rPr>
              <w:t xml:space="preserve">Величина перекрестного субсидирования, </w:t>
            </w:r>
            <w:r w:rsidRPr="008A0F45">
              <w:rPr>
                <w:rFonts w:eastAsia="Times New Roman"/>
                <w:b/>
                <w:color w:val="000000"/>
                <w:sz w:val="16"/>
                <w:szCs w:val="16"/>
              </w:rPr>
              <w:t>млн. руб</w:t>
            </w:r>
            <w:r w:rsidRPr="00B31913">
              <w:rPr>
                <w:rFonts w:eastAsia="Times New Roman"/>
                <w:color w:val="000000"/>
                <w:sz w:val="16"/>
                <w:szCs w:val="16"/>
              </w:rPr>
              <w:t>.</w:t>
            </w:r>
          </w:p>
        </w:tc>
        <w:tc>
          <w:tcPr>
            <w:tcW w:w="454"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3 660,3</w:t>
            </w: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4 090,6</w:t>
            </w:r>
          </w:p>
        </w:tc>
        <w:tc>
          <w:tcPr>
            <w:tcW w:w="455"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4 662,2</w:t>
            </w: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4 381,5</w:t>
            </w:r>
          </w:p>
        </w:tc>
        <w:tc>
          <w:tcPr>
            <w:tcW w:w="457"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4 510,2</w:t>
            </w:r>
          </w:p>
        </w:tc>
        <w:tc>
          <w:tcPr>
            <w:tcW w:w="453"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4 652,5</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4 652,5</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5 832,0</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6 367,9</w:t>
            </w:r>
          </w:p>
        </w:tc>
        <w:tc>
          <w:tcPr>
            <w:tcW w:w="388"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7 546,8</w:t>
            </w:r>
          </w:p>
        </w:tc>
      </w:tr>
      <w:tr w:rsidR="00B31913" w:rsidRPr="00B31913" w:rsidTr="00B31913">
        <w:trPr>
          <w:trHeight w:val="179"/>
        </w:trPr>
        <w:tc>
          <w:tcPr>
            <w:tcW w:w="687" w:type="pct"/>
            <w:tcBorders>
              <w:top w:val="nil"/>
              <w:left w:val="single" w:sz="4" w:space="0" w:color="auto"/>
              <w:bottom w:val="single" w:sz="4" w:space="0" w:color="auto"/>
              <w:right w:val="single" w:sz="4" w:space="0" w:color="auto"/>
            </w:tcBorders>
            <w:noWrap/>
            <w:vAlign w:val="center"/>
            <w:hideMark/>
          </w:tcPr>
          <w:p w:rsidR="00A712E1" w:rsidRPr="00B31913" w:rsidRDefault="00A712E1" w:rsidP="00A712E1">
            <w:pPr>
              <w:spacing w:after="0" w:line="240" w:lineRule="auto"/>
              <w:rPr>
                <w:rFonts w:eastAsia="Times New Roman"/>
                <w:color w:val="000000"/>
                <w:sz w:val="16"/>
                <w:szCs w:val="16"/>
              </w:rPr>
            </w:pPr>
            <w:r w:rsidRPr="00B31913">
              <w:rPr>
                <w:rFonts w:eastAsia="Times New Roman"/>
                <w:color w:val="000000"/>
                <w:sz w:val="16"/>
                <w:szCs w:val="16"/>
              </w:rPr>
              <w:t>в % год к году</w:t>
            </w:r>
          </w:p>
        </w:tc>
        <w:tc>
          <w:tcPr>
            <w:tcW w:w="454"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145,6%</w:t>
            </w: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111,8%</w:t>
            </w:r>
          </w:p>
        </w:tc>
        <w:tc>
          <w:tcPr>
            <w:tcW w:w="455"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114,0%</w:t>
            </w: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94,0%</w:t>
            </w:r>
          </w:p>
        </w:tc>
        <w:tc>
          <w:tcPr>
            <w:tcW w:w="457"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102,9%</w:t>
            </w:r>
          </w:p>
        </w:tc>
        <w:tc>
          <w:tcPr>
            <w:tcW w:w="453"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103,2%</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100,0%</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125,4%</w:t>
            </w: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109,2%</w:t>
            </w:r>
          </w:p>
        </w:tc>
        <w:tc>
          <w:tcPr>
            <w:tcW w:w="388"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118,5%</w:t>
            </w:r>
          </w:p>
        </w:tc>
      </w:tr>
      <w:tr w:rsidR="00B31913" w:rsidRPr="00B31913" w:rsidTr="00B31913">
        <w:trPr>
          <w:trHeight w:val="300"/>
        </w:trPr>
        <w:tc>
          <w:tcPr>
            <w:tcW w:w="687" w:type="pct"/>
            <w:tcBorders>
              <w:top w:val="nil"/>
              <w:left w:val="single" w:sz="4" w:space="0" w:color="auto"/>
              <w:bottom w:val="single" w:sz="4" w:space="0" w:color="auto"/>
              <w:right w:val="single" w:sz="4" w:space="0" w:color="auto"/>
            </w:tcBorders>
            <w:noWrap/>
            <w:vAlign w:val="bottom"/>
            <w:hideMark/>
          </w:tcPr>
          <w:p w:rsidR="00A712E1" w:rsidRPr="00B31913" w:rsidRDefault="00A712E1" w:rsidP="00A712E1">
            <w:pPr>
              <w:spacing w:after="0" w:line="240" w:lineRule="auto"/>
              <w:rPr>
                <w:rFonts w:eastAsia="Times New Roman"/>
                <w:color w:val="000000"/>
                <w:sz w:val="16"/>
                <w:szCs w:val="16"/>
              </w:rPr>
            </w:pPr>
            <w:r w:rsidRPr="00B31913">
              <w:rPr>
                <w:rFonts w:eastAsia="Times New Roman"/>
                <w:color w:val="000000"/>
                <w:sz w:val="16"/>
                <w:szCs w:val="16"/>
              </w:rPr>
              <w:t>в % 2025 год к 2016 году</w:t>
            </w:r>
          </w:p>
        </w:tc>
        <w:tc>
          <w:tcPr>
            <w:tcW w:w="454"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455"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459"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457"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453"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396"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p>
        </w:tc>
        <w:tc>
          <w:tcPr>
            <w:tcW w:w="388" w:type="pct"/>
            <w:tcBorders>
              <w:top w:val="nil"/>
              <w:left w:val="nil"/>
              <w:bottom w:val="single" w:sz="4" w:space="0" w:color="auto"/>
              <w:right w:val="single" w:sz="4" w:space="0" w:color="auto"/>
            </w:tcBorders>
            <w:noWrap/>
            <w:vAlign w:val="center"/>
          </w:tcPr>
          <w:p w:rsidR="00A712E1" w:rsidRPr="00B31913" w:rsidRDefault="00A712E1" w:rsidP="00A712E1">
            <w:pPr>
              <w:spacing w:after="0" w:line="240" w:lineRule="auto"/>
              <w:rPr>
                <w:sz w:val="16"/>
                <w:szCs w:val="16"/>
              </w:rPr>
            </w:pPr>
            <w:r w:rsidRPr="00B31913">
              <w:rPr>
                <w:sz w:val="16"/>
                <w:szCs w:val="16"/>
              </w:rPr>
              <w:t>206,2%</w:t>
            </w:r>
          </w:p>
        </w:tc>
      </w:tr>
    </w:tbl>
    <w:p w:rsidR="00A712E1" w:rsidRDefault="00A712E1" w:rsidP="00A712E1">
      <w:pPr>
        <w:tabs>
          <w:tab w:val="center" w:pos="4677"/>
          <w:tab w:val="right" w:pos="9355"/>
        </w:tabs>
        <w:spacing w:after="0" w:line="240" w:lineRule="auto"/>
        <w:ind w:firstLine="851"/>
        <w:jc w:val="both"/>
        <w:rPr>
          <w:szCs w:val="28"/>
        </w:rPr>
      </w:pPr>
    </w:p>
    <w:p w:rsidR="00A712E1" w:rsidRPr="00FA7212" w:rsidRDefault="00A712E1" w:rsidP="00A712E1">
      <w:pPr>
        <w:tabs>
          <w:tab w:val="center" w:pos="4677"/>
          <w:tab w:val="right" w:pos="9355"/>
        </w:tabs>
        <w:spacing w:after="0" w:line="240" w:lineRule="auto"/>
        <w:ind w:firstLine="851"/>
        <w:jc w:val="both"/>
        <w:rPr>
          <w:szCs w:val="28"/>
        </w:rPr>
      </w:pPr>
      <w:r w:rsidRPr="00FA7212">
        <w:rPr>
          <w:szCs w:val="28"/>
        </w:rPr>
        <w:t>Величина перекрестного субсидирования в 202</w:t>
      </w:r>
      <w:r>
        <w:rPr>
          <w:szCs w:val="28"/>
        </w:rPr>
        <w:t>5</w:t>
      </w:r>
      <w:r w:rsidRPr="00FA7212">
        <w:rPr>
          <w:szCs w:val="28"/>
        </w:rPr>
        <w:t xml:space="preserve"> году выше уровня 202</w:t>
      </w:r>
      <w:r>
        <w:rPr>
          <w:szCs w:val="28"/>
        </w:rPr>
        <w:t>4</w:t>
      </w:r>
      <w:r w:rsidRPr="00FA7212">
        <w:rPr>
          <w:szCs w:val="28"/>
        </w:rPr>
        <w:t xml:space="preserve"> года на </w:t>
      </w:r>
      <w:r>
        <w:rPr>
          <w:szCs w:val="28"/>
        </w:rPr>
        <w:t>18</w:t>
      </w:r>
      <w:r w:rsidRPr="00FA7212">
        <w:rPr>
          <w:szCs w:val="28"/>
        </w:rPr>
        <w:t>,</w:t>
      </w:r>
      <w:r>
        <w:rPr>
          <w:szCs w:val="28"/>
        </w:rPr>
        <w:t>5</w:t>
      </w:r>
      <w:r w:rsidRPr="00FA7212">
        <w:rPr>
          <w:szCs w:val="28"/>
        </w:rPr>
        <w:t>%. Рост величины перекрестного субсидирования за 201</w:t>
      </w:r>
      <w:r>
        <w:rPr>
          <w:szCs w:val="28"/>
        </w:rPr>
        <w:t>6</w:t>
      </w:r>
      <w:r w:rsidRPr="00FA7212">
        <w:rPr>
          <w:szCs w:val="28"/>
        </w:rPr>
        <w:t xml:space="preserve"> – 202</w:t>
      </w:r>
      <w:r>
        <w:rPr>
          <w:szCs w:val="28"/>
        </w:rPr>
        <w:t>5</w:t>
      </w:r>
      <w:r w:rsidRPr="00FA7212">
        <w:rPr>
          <w:szCs w:val="28"/>
        </w:rPr>
        <w:t xml:space="preserve"> годы составил </w:t>
      </w:r>
      <w:r w:rsidRPr="00704866">
        <w:rPr>
          <w:szCs w:val="28"/>
        </w:rPr>
        <w:t xml:space="preserve">206,2% и </w:t>
      </w:r>
      <w:r w:rsidRPr="00FA7212">
        <w:rPr>
          <w:szCs w:val="28"/>
        </w:rPr>
        <w:t xml:space="preserve">обусловлен: </w:t>
      </w:r>
    </w:p>
    <w:p w:rsidR="00A712E1" w:rsidRPr="00270EEA" w:rsidRDefault="00A712E1" w:rsidP="00A712E1">
      <w:pPr>
        <w:autoSpaceDE w:val="0"/>
        <w:autoSpaceDN w:val="0"/>
        <w:adjustRightInd w:val="0"/>
        <w:spacing w:after="0" w:line="240" w:lineRule="auto"/>
        <w:ind w:firstLine="851"/>
        <w:jc w:val="both"/>
        <w:rPr>
          <w:szCs w:val="28"/>
        </w:rPr>
      </w:pPr>
      <w:r>
        <w:rPr>
          <w:szCs w:val="28"/>
        </w:rPr>
        <w:t xml:space="preserve">- </w:t>
      </w:r>
      <w:r w:rsidRPr="00270EEA">
        <w:rPr>
          <w:szCs w:val="28"/>
        </w:rPr>
        <w:t>ростом экономически обоснованных единых котловых тарифов для населения</w:t>
      </w:r>
      <w:r w:rsidRPr="00270EEA">
        <w:rPr>
          <w:sz w:val="24"/>
        </w:rPr>
        <w:t xml:space="preserve"> </w:t>
      </w:r>
      <w:r w:rsidRPr="00270EEA">
        <w:rPr>
          <w:szCs w:val="28"/>
        </w:rPr>
        <w:t>и приравненным к нему категорий потребителей на низком уровне напряжения;</w:t>
      </w:r>
    </w:p>
    <w:p w:rsidR="00A712E1" w:rsidRPr="00270EEA" w:rsidRDefault="00A712E1" w:rsidP="00A712E1">
      <w:pPr>
        <w:spacing w:after="0" w:line="240" w:lineRule="auto"/>
        <w:ind w:firstLine="709"/>
        <w:jc w:val="both"/>
        <w:rPr>
          <w:rFonts w:eastAsia="Calibri"/>
          <w:szCs w:val="28"/>
        </w:rPr>
      </w:pPr>
      <w:r>
        <w:rPr>
          <w:color w:val="000000"/>
          <w:szCs w:val="28"/>
        </w:rPr>
        <w:t xml:space="preserve">- </w:t>
      </w:r>
      <w:r w:rsidRPr="00270EEA">
        <w:rPr>
          <w:color w:val="000000"/>
          <w:szCs w:val="28"/>
        </w:rPr>
        <w:t xml:space="preserve">ростом сбытовой надбавки гарантирующего поставщика для населения, главным образом, в связи с переходом на регулирование гарантирующего поставщика АО «Новосибирскэнергосбыт» </w:t>
      </w:r>
      <w:r w:rsidRPr="00270EEA">
        <w:rPr>
          <w:rFonts w:eastAsia="Times New Roman"/>
          <w:szCs w:val="28"/>
        </w:rPr>
        <w:t>методом сравнения аналогов</w:t>
      </w:r>
      <w:r w:rsidRPr="00270EEA">
        <w:rPr>
          <w:color w:val="000000"/>
          <w:szCs w:val="28"/>
        </w:rPr>
        <w:t>;</w:t>
      </w:r>
    </w:p>
    <w:p w:rsidR="00A712E1" w:rsidRPr="00270EEA" w:rsidRDefault="00A712E1" w:rsidP="00A712E1">
      <w:pPr>
        <w:spacing w:after="0" w:line="240" w:lineRule="auto"/>
        <w:ind w:firstLine="709"/>
        <w:jc w:val="both"/>
        <w:rPr>
          <w:color w:val="000000"/>
          <w:szCs w:val="28"/>
        </w:rPr>
      </w:pPr>
      <w:r>
        <w:rPr>
          <w:color w:val="000000"/>
          <w:szCs w:val="28"/>
        </w:rPr>
        <w:t xml:space="preserve">- </w:t>
      </w:r>
      <w:r w:rsidRPr="00270EEA">
        <w:rPr>
          <w:color w:val="000000"/>
          <w:szCs w:val="28"/>
        </w:rPr>
        <w:t xml:space="preserve">ростом индикативной цены на покупную электрическую энергию </w:t>
      </w:r>
      <w:r w:rsidRPr="00270EEA">
        <w:rPr>
          <w:rFonts w:eastAsia="Calibri"/>
          <w:szCs w:val="28"/>
        </w:rPr>
        <w:t xml:space="preserve">(мощность) </w:t>
      </w:r>
      <w:r w:rsidRPr="00270EEA">
        <w:rPr>
          <w:color w:val="000000"/>
          <w:szCs w:val="28"/>
        </w:rPr>
        <w:t>с О</w:t>
      </w:r>
      <w:r>
        <w:rPr>
          <w:color w:val="000000"/>
          <w:szCs w:val="28"/>
        </w:rPr>
        <w:t>РЭМ для населения и приравненных</w:t>
      </w:r>
      <w:r w:rsidRPr="00270EEA">
        <w:rPr>
          <w:color w:val="000000"/>
          <w:szCs w:val="28"/>
        </w:rPr>
        <w:t xml:space="preserve"> к нему категорий потребителей;</w:t>
      </w:r>
    </w:p>
    <w:p w:rsidR="00A712E1" w:rsidRPr="00270EEA" w:rsidRDefault="00A712E1" w:rsidP="00A712E1">
      <w:pPr>
        <w:tabs>
          <w:tab w:val="center" w:pos="4677"/>
          <w:tab w:val="right" w:pos="9355"/>
        </w:tabs>
        <w:spacing w:after="0" w:line="240" w:lineRule="auto"/>
        <w:ind w:firstLine="709"/>
        <w:jc w:val="both"/>
        <w:rPr>
          <w:color w:val="000000"/>
          <w:szCs w:val="28"/>
        </w:rPr>
      </w:pPr>
      <w:r>
        <w:rPr>
          <w:szCs w:val="28"/>
        </w:rPr>
        <w:t xml:space="preserve">- </w:t>
      </w:r>
      <w:r w:rsidRPr="00270EEA">
        <w:rPr>
          <w:szCs w:val="28"/>
        </w:rPr>
        <w:t xml:space="preserve">ростом относительно невысокими темпами конечных тарифов для населения </w:t>
      </w:r>
      <w:r w:rsidRPr="00270EEA">
        <w:rPr>
          <w:color w:val="000000"/>
          <w:szCs w:val="28"/>
        </w:rPr>
        <w:t xml:space="preserve">и приравненных к нему категорий потребителей; </w:t>
      </w:r>
    </w:p>
    <w:p w:rsidR="00A712E1" w:rsidRPr="00270EEA" w:rsidRDefault="00A712E1" w:rsidP="00A712E1">
      <w:pPr>
        <w:tabs>
          <w:tab w:val="center" w:pos="4677"/>
          <w:tab w:val="right" w:pos="9355"/>
        </w:tabs>
        <w:spacing w:after="0" w:line="240" w:lineRule="auto"/>
        <w:ind w:firstLine="709"/>
        <w:jc w:val="both"/>
        <w:rPr>
          <w:color w:val="000000"/>
          <w:szCs w:val="28"/>
        </w:rPr>
      </w:pPr>
      <w:r>
        <w:rPr>
          <w:color w:val="000000"/>
          <w:szCs w:val="28"/>
        </w:rPr>
        <w:t xml:space="preserve">- </w:t>
      </w:r>
      <w:r w:rsidRPr="00270EEA">
        <w:rPr>
          <w:color w:val="000000"/>
          <w:szCs w:val="28"/>
        </w:rPr>
        <w:t xml:space="preserve">наличием расчетной предпринимательской прибыли в составе необходимой валовой выручки АО «РЭС» на основании требований п. 38 Основ ценообразования </w:t>
      </w:r>
      <w:r>
        <w:rPr>
          <w:color w:val="000000"/>
          <w:szCs w:val="28"/>
        </w:rPr>
        <w:t xml:space="preserve">№ 1178 </w:t>
      </w:r>
      <w:r w:rsidRPr="00270EEA">
        <w:rPr>
          <w:color w:val="000000"/>
          <w:szCs w:val="28"/>
        </w:rPr>
        <w:t xml:space="preserve">(впервые учтена при проведении корректировки НВВ </w:t>
      </w:r>
      <w:r>
        <w:rPr>
          <w:color w:val="000000"/>
          <w:szCs w:val="28"/>
        </w:rPr>
        <w:t xml:space="preserve">АО «РЭС» </w:t>
      </w:r>
      <w:r w:rsidRPr="00270EEA">
        <w:rPr>
          <w:color w:val="000000"/>
          <w:szCs w:val="28"/>
        </w:rPr>
        <w:t>на 2023 год);</w:t>
      </w:r>
    </w:p>
    <w:p w:rsidR="00A712E1" w:rsidRPr="00270EEA" w:rsidRDefault="00A712E1" w:rsidP="00A712E1">
      <w:pPr>
        <w:tabs>
          <w:tab w:val="center" w:pos="4677"/>
          <w:tab w:val="right" w:pos="9355"/>
        </w:tabs>
        <w:spacing w:after="0" w:line="240" w:lineRule="auto"/>
        <w:ind w:firstLine="709"/>
        <w:jc w:val="both"/>
        <w:rPr>
          <w:color w:val="000000"/>
          <w:szCs w:val="28"/>
        </w:rPr>
      </w:pPr>
      <w:r>
        <w:rPr>
          <w:color w:val="000000"/>
          <w:szCs w:val="28"/>
        </w:rPr>
        <w:t xml:space="preserve">- </w:t>
      </w:r>
      <w:r w:rsidRPr="00270EEA">
        <w:rPr>
          <w:color w:val="000000"/>
          <w:szCs w:val="28"/>
        </w:rPr>
        <w:t>ростом оплаты услуг по передаче электрической энергии по ЕНЭС, оказываемых ПАО «ФСК-Россети» (существенное влияни</w:t>
      </w:r>
      <w:r>
        <w:rPr>
          <w:color w:val="000000"/>
          <w:szCs w:val="28"/>
        </w:rPr>
        <w:t>е указанного фактора в 2023-2025</w:t>
      </w:r>
      <w:r w:rsidRPr="00270EEA">
        <w:rPr>
          <w:color w:val="000000"/>
          <w:szCs w:val="28"/>
        </w:rPr>
        <w:t xml:space="preserve"> годах);</w:t>
      </w:r>
    </w:p>
    <w:p w:rsidR="00A712E1" w:rsidRPr="0058241E" w:rsidRDefault="00A712E1" w:rsidP="00A712E1">
      <w:pPr>
        <w:tabs>
          <w:tab w:val="center" w:pos="4677"/>
          <w:tab w:val="right" w:pos="9355"/>
        </w:tabs>
        <w:spacing w:after="0" w:line="240" w:lineRule="auto"/>
        <w:ind w:firstLine="709"/>
        <w:jc w:val="both"/>
        <w:rPr>
          <w:color w:val="000000"/>
          <w:szCs w:val="28"/>
        </w:rPr>
      </w:pPr>
      <w:r>
        <w:rPr>
          <w:color w:val="000000"/>
          <w:szCs w:val="28"/>
        </w:rPr>
        <w:t xml:space="preserve">- </w:t>
      </w:r>
      <w:r w:rsidRPr="00270EEA">
        <w:rPr>
          <w:color w:val="000000"/>
          <w:szCs w:val="28"/>
        </w:rPr>
        <w:t>ростом подконтрольных расходов</w:t>
      </w:r>
      <w:r>
        <w:rPr>
          <w:color w:val="000000"/>
          <w:szCs w:val="28"/>
        </w:rPr>
        <w:t xml:space="preserve"> ТСО</w:t>
      </w:r>
      <w:r w:rsidRPr="00FB5C0B">
        <w:rPr>
          <w:szCs w:val="28"/>
        </w:rPr>
        <w:t xml:space="preserve"> </w:t>
      </w:r>
      <w:r>
        <w:rPr>
          <w:szCs w:val="28"/>
        </w:rPr>
        <w:t xml:space="preserve">(включительно до </w:t>
      </w:r>
      <w:r>
        <w:rPr>
          <w:color w:val="000000"/>
          <w:szCs w:val="28"/>
        </w:rPr>
        <w:t xml:space="preserve">2024 года) в </w:t>
      </w:r>
      <w:r w:rsidRPr="00270EEA">
        <w:rPr>
          <w:color w:val="000000"/>
          <w:szCs w:val="28"/>
        </w:rPr>
        <w:t xml:space="preserve"> </w:t>
      </w:r>
      <w:r>
        <w:rPr>
          <w:color w:val="000000"/>
          <w:szCs w:val="28"/>
        </w:rPr>
        <w:t xml:space="preserve"> связи</w:t>
      </w:r>
      <w:r w:rsidRPr="00270EEA">
        <w:rPr>
          <w:color w:val="000000"/>
          <w:szCs w:val="28"/>
        </w:rPr>
        <w:t xml:space="preserve"> с изменением методологии расчета, применяемой при корректировке подконтрольных расходов ТСО на основании </w:t>
      </w:r>
      <w:r w:rsidRPr="0058241E">
        <w:rPr>
          <w:color w:val="000000"/>
          <w:szCs w:val="28"/>
        </w:rPr>
        <w:t>Методических указаний по расчету тарифов на услуги по передаче электрической энергии, устанавливаемых с применением метода долгосрочной индексации валовой выручки, утверждённых приказом Федеральной службы по тарифам от 17.02.2012 № 98-э (далее – Методические указания № 98-э);</w:t>
      </w:r>
    </w:p>
    <w:p w:rsidR="00A712E1" w:rsidRPr="00270EEA" w:rsidRDefault="00A712E1" w:rsidP="00A712E1">
      <w:pPr>
        <w:tabs>
          <w:tab w:val="center" w:pos="4677"/>
          <w:tab w:val="right" w:pos="9355"/>
        </w:tabs>
        <w:spacing w:after="0" w:line="240" w:lineRule="auto"/>
        <w:ind w:firstLine="709"/>
        <w:jc w:val="both"/>
        <w:rPr>
          <w:szCs w:val="28"/>
        </w:rPr>
      </w:pPr>
      <w:r w:rsidRPr="0058241E">
        <w:rPr>
          <w:szCs w:val="28"/>
        </w:rPr>
        <w:t>-</w:t>
      </w:r>
      <w:r>
        <w:rPr>
          <w:szCs w:val="28"/>
        </w:rPr>
        <w:t xml:space="preserve"> </w:t>
      </w:r>
      <w:r w:rsidRPr="0058241E">
        <w:rPr>
          <w:szCs w:val="28"/>
        </w:rPr>
        <w:t>снижением объемов котлового полезного отпуска электрической</w:t>
      </w:r>
      <w:r w:rsidRPr="00270EEA">
        <w:rPr>
          <w:szCs w:val="28"/>
        </w:rPr>
        <w:t xml:space="preserve"> энергии, обусловленным переходом ряда потребителей, присоединенных к </w:t>
      </w:r>
      <w:r w:rsidRPr="00270EEA">
        <w:rPr>
          <w:szCs w:val="28"/>
        </w:rPr>
        <w:lastRenderedPageBreak/>
        <w:t>сетям ЕНЭС, на обслуживание к ПАО «ФСК</w:t>
      </w:r>
      <w:r>
        <w:rPr>
          <w:szCs w:val="28"/>
        </w:rPr>
        <w:t>-Россети</w:t>
      </w:r>
      <w:r w:rsidRPr="00270EEA">
        <w:rPr>
          <w:szCs w:val="28"/>
        </w:rPr>
        <w:t>», а также снижением электропотребления некоторыми промышленными потребителями;</w:t>
      </w:r>
    </w:p>
    <w:p w:rsidR="00A712E1" w:rsidRDefault="00A712E1" w:rsidP="00A712E1">
      <w:pPr>
        <w:tabs>
          <w:tab w:val="center" w:pos="4677"/>
          <w:tab w:val="right" w:pos="9355"/>
        </w:tabs>
        <w:spacing w:after="0" w:line="240" w:lineRule="auto"/>
        <w:ind w:firstLine="709"/>
        <w:jc w:val="both"/>
        <w:rPr>
          <w:szCs w:val="28"/>
        </w:rPr>
      </w:pPr>
      <w:r>
        <w:rPr>
          <w:szCs w:val="28"/>
        </w:rPr>
        <w:t xml:space="preserve">- </w:t>
      </w:r>
      <w:r w:rsidRPr="00270EEA">
        <w:rPr>
          <w:szCs w:val="28"/>
        </w:rPr>
        <w:t>увеличением объемов электропотребления по группе «население и приравненные к нему категории потребителей».</w:t>
      </w:r>
    </w:p>
    <w:p w:rsidR="00A712E1" w:rsidRPr="007C2E95" w:rsidRDefault="00A712E1" w:rsidP="0005458F">
      <w:pPr>
        <w:pStyle w:val="4"/>
      </w:pPr>
      <w:bookmarkStart w:id="19" w:name="_Toc193810521"/>
      <w:r w:rsidRPr="007C2E95">
        <w:t>2.1.2.1. Сравнительный анализ уровней тарифов на электрическую энергию, поставляемую населению и приравненным к нему категориям потребителей, установленных для первого диапазона потребления электрической энергии (мощности), и величины перекрестного субсидирования в разрезе крупных городов Российской Федерации с численностью населения более 1 млн.</w:t>
      </w:r>
      <w:bookmarkEnd w:id="19"/>
    </w:p>
    <w:p w:rsidR="00A712E1" w:rsidRDefault="00A712E1" w:rsidP="00A712E1">
      <w:pPr>
        <w:spacing w:after="0" w:line="240" w:lineRule="auto"/>
        <w:ind w:firstLine="709"/>
        <w:jc w:val="both"/>
        <w:rPr>
          <w:szCs w:val="28"/>
        </w:rPr>
      </w:pPr>
      <w:r w:rsidRPr="0048299B">
        <w:rPr>
          <w:szCs w:val="28"/>
        </w:rPr>
        <w:t xml:space="preserve">В таблице ниже приведены тарифы на электрическую энергию, поставляемую населению, проживающему в городских населенных пунктах, в домах, оборудованных в установленном порядке стационарными электроплитами и электроотопительными установками, установленные за период </w:t>
      </w:r>
      <w:r>
        <w:rPr>
          <w:szCs w:val="28"/>
        </w:rPr>
        <w:t xml:space="preserve">с 1 июля </w:t>
      </w:r>
      <w:r w:rsidRPr="0048299B">
        <w:rPr>
          <w:szCs w:val="28"/>
        </w:rPr>
        <w:t>201</w:t>
      </w:r>
      <w:r>
        <w:rPr>
          <w:szCs w:val="28"/>
        </w:rPr>
        <w:t>5</w:t>
      </w:r>
      <w:r w:rsidRPr="0048299B">
        <w:rPr>
          <w:szCs w:val="28"/>
        </w:rPr>
        <w:t>-202</w:t>
      </w:r>
      <w:r>
        <w:rPr>
          <w:szCs w:val="28"/>
        </w:rPr>
        <w:t>5 годов</w:t>
      </w:r>
      <w:r w:rsidRPr="0048299B">
        <w:rPr>
          <w:szCs w:val="28"/>
        </w:rPr>
        <w:t xml:space="preserve"> в городах-миллионниках</w:t>
      </w:r>
      <w:r>
        <w:rPr>
          <w:szCs w:val="28"/>
        </w:rPr>
        <w:t xml:space="preserve"> (</w:t>
      </w:r>
      <w:r w:rsidRPr="004A68B9">
        <w:rPr>
          <w:szCs w:val="28"/>
          <w:u w:val="single"/>
        </w:rPr>
        <w:t>в том числе для первого диапазона потребления электрической энергии (мощности)</w:t>
      </w:r>
      <w:r>
        <w:rPr>
          <w:szCs w:val="28"/>
          <w:u w:val="single"/>
        </w:rPr>
        <w:t xml:space="preserve"> с</w:t>
      </w:r>
      <w:r w:rsidRPr="004A68B9">
        <w:rPr>
          <w:szCs w:val="28"/>
          <w:u w:val="single"/>
        </w:rPr>
        <w:t>о второго полугодия 2024-2025 годов</w:t>
      </w:r>
      <w:r>
        <w:rPr>
          <w:szCs w:val="28"/>
        </w:rPr>
        <w:t>).</w:t>
      </w:r>
    </w:p>
    <w:p w:rsidR="00A712E1" w:rsidRDefault="00A712E1" w:rsidP="00A712E1">
      <w:pPr>
        <w:spacing w:after="0" w:line="240" w:lineRule="auto"/>
        <w:ind w:firstLine="709"/>
        <w:jc w:val="both"/>
        <w:rPr>
          <w:szCs w:val="28"/>
        </w:rPr>
      </w:pPr>
      <w:r>
        <w:rPr>
          <w:szCs w:val="28"/>
        </w:rPr>
        <w:t>Следует отметить, тарифные решения для населения и приравненных к нему категорий потребителей в целях соблюдения требований действующего законодательства установлены с 2024 года по указанным регионам с дифференциацией по</w:t>
      </w:r>
      <w:r w:rsidRPr="00AA42F2">
        <w:t xml:space="preserve"> </w:t>
      </w:r>
      <w:r w:rsidRPr="00AA42F2">
        <w:rPr>
          <w:szCs w:val="28"/>
        </w:rPr>
        <w:t>диапазона</w:t>
      </w:r>
      <w:r>
        <w:rPr>
          <w:szCs w:val="28"/>
        </w:rPr>
        <w:t>м</w:t>
      </w:r>
      <w:r w:rsidRPr="00AA42F2">
        <w:rPr>
          <w:szCs w:val="28"/>
        </w:rPr>
        <w:t xml:space="preserve"> потребления электрической энергии (мощности)</w:t>
      </w:r>
      <w:r>
        <w:rPr>
          <w:szCs w:val="28"/>
        </w:rPr>
        <w:t>, за исключением городов Москва и Казань (отсутствие превышения установленной предельной величины перекрестного субсидирования), а также по Красноярску и Нижнему Новгороду, по которым введена социальная норма потребления электрической энергии (мощности).</w:t>
      </w:r>
      <w:r w:rsidRPr="00AA42F2">
        <w:rPr>
          <w:szCs w:val="28"/>
        </w:rPr>
        <w:t xml:space="preserve"> </w:t>
      </w:r>
      <w:r>
        <w:rPr>
          <w:szCs w:val="28"/>
        </w:rPr>
        <w:t xml:space="preserve"> </w:t>
      </w:r>
    </w:p>
    <w:p w:rsidR="00A712E1" w:rsidRDefault="00A712E1" w:rsidP="00A712E1">
      <w:pPr>
        <w:spacing w:after="0" w:line="240" w:lineRule="auto"/>
        <w:jc w:val="both"/>
        <w:rPr>
          <w:szCs w:val="28"/>
        </w:rPr>
      </w:pPr>
    </w:p>
    <w:p w:rsidR="00A712E1" w:rsidRDefault="00A712E1" w:rsidP="00A712E1">
      <w:pPr>
        <w:spacing w:after="0" w:line="240" w:lineRule="auto"/>
        <w:jc w:val="both"/>
        <w:rPr>
          <w:szCs w:val="28"/>
        </w:rPr>
      </w:pPr>
      <w:r w:rsidRPr="008A0F45">
        <w:rPr>
          <w:noProof/>
          <w:sz w:val="20"/>
          <w:szCs w:val="20"/>
        </w:rPr>
        <w:drawing>
          <wp:inline distT="0" distB="0" distL="0" distR="0" wp14:anchorId="29889C75" wp14:editId="78E6F457">
            <wp:extent cx="5920154" cy="2386475"/>
            <wp:effectExtent l="0" t="0" r="4445" b="0"/>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20201" cy="2386494"/>
                    </a:xfrm>
                    <a:prstGeom prst="rect">
                      <a:avLst/>
                    </a:prstGeom>
                    <a:noFill/>
                    <a:ln>
                      <a:noFill/>
                    </a:ln>
                  </pic:spPr>
                </pic:pic>
              </a:graphicData>
            </a:graphic>
          </wp:inline>
        </w:drawing>
      </w:r>
    </w:p>
    <w:p w:rsidR="00A712E1" w:rsidRDefault="00A712E1" w:rsidP="00A712E1">
      <w:pPr>
        <w:spacing w:after="0" w:line="240" w:lineRule="auto"/>
        <w:rPr>
          <w:sz w:val="24"/>
        </w:rPr>
      </w:pPr>
    </w:p>
    <w:p w:rsidR="00A712E1" w:rsidRDefault="00A712E1" w:rsidP="00A712E1">
      <w:pPr>
        <w:spacing w:after="0" w:line="240" w:lineRule="auto"/>
        <w:jc w:val="both"/>
        <w:rPr>
          <w:szCs w:val="28"/>
        </w:rPr>
      </w:pPr>
      <w:r>
        <w:rPr>
          <w:noProof/>
        </w:rPr>
        <w:lastRenderedPageBreak/>
        <w:drawing>
          <wp:inline distT="0" distB="0" distL="0" distR="0" wp14:anchorId="4F38A484" wp14:editId="4B0C3FFB">
            <wp:extent cx="5557961" cy="4063117"/>
            <wp:effectExtent l="0" t="0" r="5080" b="0"/>
            <wp:docPr id="267" name="Диаграмма 26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A712E1" w:rsidRDefault="00A712E1" w:rsidP="00A712E1">
      <w:pPr>
        <w:spacing w:after="0" w:line="240" w:lineRule="auto"/>
        <w:ind w:firstLine="709"/>
        <w:jc w:val="both"/>
        <w:rPr>
          <w:szCs w:val="28"/>
        </w:rPr>
      </w:pPr>
    </w:p>
    <w:p w:rsidR="00A712E1" w:rsidRPr="0048299B" w:rsidRDefault="00A712E1" w:rsidP="00A712E1">
      <w:pPr>
        <w:spacing w:after="0" w:line="240" w:lineRule="auto"/>
        <w:ind w:firstLine="709"/>
        <w:jc w:val="both"/>
        <w:rPr>
          <w:szCs w:val="28"/>
        </w:rPr>
      </w:pPr>
      <w:r w:rsidRPr="0048299B">
        <w:rPr>
          <w:szCs w:val="28"/>
        </w:rPr>
        <w:t xml:space="preserve">Как видно из графика, тарифы для указанной категории населения по            г. Новосибирску и Новосибирской области находятся в диапазоне среднего значения между минимальными и максимальными уровнями тарифов, установленными в сравниваемых городах-миллионниках, в начале анализируемого периода и существенно ниже максимальных значений в середине и конце анализируемого периода. </w:t>
      </w:r>
    </w:p>
    <w:p w:rsidR="00A712E1" w:rsidRDefault="00A712E1" w:rsidP="00A712E1">
      <w:pPr>
        <w:spacing w:after="0" w:line="240" w:lineRule="auto"/>
        <w:ind w:firstLine="709"/>
        <w:jc w:val="both"/>
        <w:rPr>
          <w:szCs w:val="28"/>
        </w:rPr>
      </w:pPr>
      <w:r w:rsidRPr="0048299B">
        <w:rPr>
          <w:szCs w:val="28"/>
        </w:rPr>
        <w:t>Далее приведены тарифы на электрическую энергию, поставляемую населению, проживающему в городских населенных пунктах, в домах, не оборудованных в установленном порядке стационарными электроплитами и электроотопительными установками, установленные за период с пе</w:t>
      </w:r>
      <w:r>
        <w:rPr>
          <w:szCs w:val="28"/>
        </w:rPr>
        <w:t>рвого июл</w:t>
      </w:r>
      <w:r w:rsidRPr="0048299B">
        <w:rPr>
          <w:szCs w:val="28"/>
        </w:rPr>
        <w:t>я 201</w:t>
      </w:r>
      <w:r>
        <w:rPr>
          <w:szCs w:val="28"/>
        </w:rPr>
        <w:t>5</w:t>
      </w:r>
      <w:r w:rsidRPr="0048299B">
        <w:rPr>
          <w:szCs w:val="28"/>
        </w:rPr>
        <w:t>-202</w:t>
      </w:r>
      <w:r>
        <w:rPr>
          <w:szCs w:val="28"/>
        </w:rPr>
        <w:t>5</w:t>
      </w:r>
      <w:r w:rsidRPr="0048299B">
        <w:rPr>
          <w:szCs w:val="28"/>
        </w:rPr>
        <w:t xml:space="preserve"> года в  городах-миллионниках.</w:t>
      </w:r>
    </w:p>
    <w:p w:rsidR="00A712E1" w:rsidRDefault="00A712E1" w:rsidP="00A712E1">
      <w:pPr>
        <w:spacing w:after="0" w:line="240" w:lineRule="auto"/>
        <w:ind w:firstLine="709"/>
        <w:jc w:val="both"/>
        <w:rPr>
          <w:szCs w:val="28"/>
        </w:rPr>
      </w:pPr>
    </w:p>
    <w:p w:rsidR="00A712E1" w:rsidRDefault="00A712E1" w:rsidP="00A712E1">
      <w:pPr>
        <w:spacing w:after="0" w:line="240" w:lineRule="auto"/>
        <w:jc w:val="both"/>
        <w:rPr>
          <w:sz w:val="24"/>
        </w:rPr>
      </w:pPr>
      <w:r w:rsidRPr="004D0D20">
        <w:rPr>
          <w:noProof/>
        </w:rPr>
        <w:drawing>
          <wp:inline distT="0" distB="0" distL="0" distR="0" wp14:anchorId="2FFF6CD5" wp14:editId="74FEE963">
            <wp:extent cx="5843954" cy="2298955"/>
            <wp:effectExtent l="0" t="0" r="4445" b="635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844001" cy="2298974"/>
                    </a:xfrm>
                    <a:prstGeom prst="rect">
                      <a:avLst/>
                    </a:prstGeom>
                    <a:noFill/>
                    <a:ln>
                      <a:noFill/>
                    </a:ln>
                  </pic:spPr>
                </pic:pic>
              </a:graphicData>
            </a:graphic>
          </wp:inline>
        </w:drawing>
      </w:r>
    </w:p>
    <w:p w:rsidR="00A712E1" w:rsidRDefault="00A712E1" w:rsidP="00A712E1">
      <w:pPr>
        <w:spacing w:after="0" w:line="240" w:lineRule="auto"/>
        <w:jc w:val="both"/>
        <w:rPr>
          <w:noProof/>
        </w:rPr>
      </w:pPr>
    </w:p>
    <w:p w:rsidR="00A712E1" w:rsidRDefault="00A712E1" w:rsidP="00A712E1">
      <w:pPr>
        <w:spacing w:after="0" w:line="240" w:lineRule="auto"/>
        <w:jc w:val="both"/>
        <w:rPr>
          <w:sz w:val="24"/>
        </w:rPr>
      </w:pPr>
      <w:r>
        <w:rPr>
          <w:noProof/>
        </w:rPr>
        <w:drawing>
          <wp:inline distT="0" distB="0" distL="0" distR="0" wp14:anchorId="724C7C23" wp14:editId="7B43509C">
            <wp:extent cx="5844209" cy="3888188"/>
            <wp:effectExtent l="0" t="0" r="4445" b="0"/>
            <wp:docPr id="270" name="Диаграмма 27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A712E1" w:rsidRDefault="00A712E1" w:rsidP="00A712E1">
      <w:pPr>
        <w:spacing w:after="0" w:line="240" w:lineRule="auto"/>
        <w:rPr>
          <w:sz w:val="24"/>
        </w:rPr>
      </w:pPr>
    </w:p>
    <w:p w:rsidR="00A712E1" w:rsidRPr="00370243" w:rsidRDefault="00A712E1" w:rsidP="00A712E1">
      <w:pPr>
        <w:spacing w:after="0" w:line="240" w:lineRule="auto"/>
        <w:ind w:firstLine="709"/>
        <w:jc w:val="both"/>
        <w:rPr>
          <w:szCs w:val="28"/>
        </w:rPr>
      </w:pPr>
      <w:r w:rsidRPr="00370243">
        <w:rPr>
          <w:szCs w:val="28"/>
        </w:rPr>
        <w:t xml:space="preserve">Как видно из графика, уровни тарифов для указанной категории населения по г. Новосибирску и Новосибирской области приближены к минимальным значениям тарифов, установленных в сравниваемых городах-миллионниках. </w:t>
      </w:r>
    </w:p>
    <w:p w:rsidR="00A712E1" w:rsidRPr="00882E1B" w:rsidRDefault="00A712E1" w:rsidP="00A712E1">
      <w:pPr>
        <w:spacing w:after="0" w:line="240" w:lineRule="auto"/>
        <w:ind w:firstLine="709"/>
        <w:jc w:val="both"/>
        <w:rPr>
          <w:szCs w:val="28"/>
          <w:highlight w:val="yellow"/>
        </w:rPr>
      </w:pPr>
      <w:r w:rsidRPr="00D407B8">
        <w:rPr>
          <w:szCs w:val="28"/>
        </w:rPr>
        <w:t xml:space="preserve">Также вышеприведенные графики отражают стабильно-умеренный рост тарифов для населения по г. Новосибирску и Новосибирской области, обусловленный инфляционными процессами. </w:t>
      </w:r>
      <w:r>
        <w:rPr>
          <w:szCs w:val="28"/>
        </w:rPr>
        <w:t>Так за период с 2015</w:t>
      </w:r>
      <w:r w:rsidRPr="00D94AAC">
        <w:rPr>
          <w:szCs w:val="28"/>
        </w:rPr>
        <w:t xml:space="preserve"> по 202</w:t>
      </w:r>
      <w:r>
        <w:rPr>
          <w:szCs w:val="28"/>
        </w:rPr>
        <w:t>4</w:t>
      </w:r>
      <w:r w:rsidRPr="00D94AAC">
        <w:rPr>
          <w:szCs w:val="28"/>
        </w:rPr>
        <w:t xml:space="preserve"> годы индекс роста тарифов составил</w:t>
      </w:r>
      <w:r>
        <w:rPr>
          <w:szCs w:val="28"/>
        </w:rPr>
        <w:t xml:space="preserve"> </w:t>
      </w:r>
      <w:r w:rsidRPr="0002328A">
        <w:rPr>
          <w:szCs w:val="28"/>
        </w:rPr>
        <w:t>1,679</w:t>
      </w:r>
      <w:r w:rsidRPr="00D94AAC">
        <w:rPr>
          <w:szCs w:val="28"/>
        </w:rPr>
        <w:t>, индекс потребительских цен за указанный период составил</w:t>
      </w:r>
      <w:r>
        <w:rPr>
          <w:szCs w:val="28"/>
        </w:rPr>
        <w:t xml:space="preserve"> </w:t>
      </w:r>
      <w:r w:rsidRPr="0002328A">
        <w:rPr>
          <w:szCs w:val="28"/>
        </w:rPr>
        <w:t>1,923</w:t>
      </w:r>
      <w:r>
        <w:rPr>
          <w:szCs w:val="28"/>
        </w:rPr>
        <w:t xml:space="preserve">. </w:t>
      </w:r>
      <w:r w:rsidRPr="00370243">
        <w:rPr>
          <w:szCs w:val="28"/>
        </w:rPr>
        <w:t>Индекс роста тарифа во втором полугодии 202</w:t>
      </w:r>
      <w:r>
        <w:rPr>
          <w:szCs w:val="28"/>
        </w:rPr>
        <w:t>5</w:t>
      </w:r>
      <w:r w:rsidRPr="00370243">
        <w:rPr>
          <w:szCs w:val="28"/>
        </w:rPr>
        <w:t xml:space="preserve"> года по отношению к первому полугодию составил </w:t>
      </w:r>
      <w:r w:rsidRPr="0002328A">
        <w:rPr>
          <w:szCs w:val="28"/>
        </w:rPr>
        <w:t>1,126</w:t>
      </w:r>
      <w:r>
        <w:rPr>
          <w:szCs w:val="28"/>
        </w:rPr>
        <w:t>.</w:t>
      </w:r>
    </w:p>
    <w:p w:rsidR="00A712E1" w:rsidRDefault="00A712E1" w:rsidP="00A712E1">
      <w:pPr>
        <w:tabs>
          <w:tab w:val="center" w:pos="4677"/>
          <w:tab w:val="right" w:pos="9355"/>
        </w:tabs>
        <w:spacing w:after="0" w:line="240" w:lineRule="auto"/>
        <w:ind w:firstLine="709"/>
        <w:jc w:val="both"/>
        <w:rPr>
          <w:rFonts w:eastAsia="Calibri"/>
        </w:rPr>
      </w:pPr>
      <w:r w:rsidRPr="00245046">
        <w:rPr>
          <w:rFonts w:eastAsia="Calibri"/>
          <w:szCs w:val="28"/>
        </w:rPr>
        <w:t xml:space="preserve">Сравнительный анализ изменения величины перекрестного субсидирования </w:t>
      </w:r>
      <w:r w:rsidRPr="00245046">
        <w:rPr>
          <w:szCs w:val="28"/>
        </w:rPr>
        <w:t>по крупным субъектам Российской Федерации</w:t>
      </w:r>
      <w:r>
        <w:rPr>
          <w:rFonts w:eastAsia="Calibri"/>
          <w:szCs w:val="28"/>
        </w:rPr>
        <w:t xml:space="preserve"> за период 2016</w:t>
      </w:r>
      <w:r w:rsidRPr="00245046">
        <w:rPr>
          <w:rFonts w:eastAsia="Calibri"/>
          <w:szCs w:val="28"/>
        </w:rPr>
        <w:t>-202</w:t>
      </w:r>
      <w:r>
        <w:rPr>
          <w:rFonts w:eastAsia="Calibri"/>
          <w:szCs w:val="28"/>
        </w:rPr>
        <w:t>5</w:t>
      </w:r>
      <w:r w:rsidRPr="00245046">
        <w:rPr>
          <w:rFonts w:eastAsia="Calibri"/>
          <w:szCs w:val="28"/>
        </w:rPr>
        <w:t xml:space="preserve"> годов приведен на графиках ниже.</w:t>
      </w:r>
      <w:r>
        <w:rPr>
          <w:rFonts w:eastAsia="Calibri"/>
        </w:rPr>
        <w:t xml:space="preserve"> </w:t>
      </w:r>
    </w:p>
    <w:p w:rsidR="00A712E1" w:rsidRDefault="00A712E1" w:rsidP="00A712E1">
      <w:pPr>
        <w:tabs>
          <w:tab w:val="center" w:pos="4677"/>
          <w:tab w:val="right" w:pos="9355"/>
        </w:tabs>
        <w:spacing w:after="0" w:line="240" w:lineRule="auto"/>
        <w:jc w:val="both"/>
        <w:rPr>
          <w:rFonts w:eastAsia="Calibri"/>
        </w:rPr>
      </w:pPr>
      <w:r>
        <w:rPr>
          <w:noProof/>
        </w:rPr>
        <w:lastRenderedPageBreak/>
        <w:drawing>
          <wp:inline distT="0" distB="0" distL="0" distR="0" wp14:anchorId="6078614A" wp14:editId="05392E07">
            <wp:extent cx="5914292" cy="3434862"/>
            <wp:effectExtent l="0" t="0" r="0" b="0"/>
            <wp:docPr id="272" name="Диаграмма 27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A712E1" w:rsidRPr="008A0F45" w:rsidRDefault="00A712E1" w:rsidP="00A712E1">
      <w:pPr>
        <w:tabs>
          <w:tab w:val="center" w:pos="4677"/>
          <w:tab w:val="right" w:pos="9355"/>
        </w:tabs>
        <w:spacing w:after="0" w:line="240" w:lineRule="auto"/>
        <w:ind w:firstLine="709"/>
        <w:jc w:val="right"/>
        <w:rPr>
          <w:rFonts w:eastAsia="Calibri"/>
          <w:sz w:val="20"/>
          <w:szCs w:val="20"/>
        </w:rPr>
      </w:pPr>
      <w:r w:rsidRPr="008A0F45">
        <w:rPr>
          <w:rFonts w:eastAsia="Calibri"/>
          <w:sz w:val="20"/>
          <w:szCs w:val="20"/>
        </w:rPr>
        <w:t>млн.руб.</w:t>
      </w:r>
    </w:p>
    <w:tbl>
      <w:tblPr>
        <w:tblW w:w="4913" w:type="pct"/>
        <w:tblInd w:w="-34" w:type="dxa"/>
        <w:tblLayout w:type="fixed"/>
        <w:tblLook w:val="04A0" w:firstRow="1" w:lastRow="0" w:firstColumn="1" w:lastColumn="0" w:noHBand="0" w:noVBand="1"/>
      </w:tblPr>
      <w:tblGrid>
        <w:gridCol w:w="1047"/>
        <w:gridCol w:w="811"/>
        <w:gridCol w:w="811"/>
        <w:gridCol w:w="865"/>
        <w:gridCol w:w="835"/>
        <w:gridCol w:w="831"/>
        <w:gridCol w:w="865"/>
        <w:gridCol w:w="861"/>
        <w:gridCol w:w="828"/>
        <w:gridCol w:w="828"/>
        <w:gridCol w:w="822"/>
      </w:tblGrid>
      <w:tr w:rsidR="00A712E1" w:rsidRPr="008A0F45" w:rsidTr="00017B45">
        <w:trPr>
          <w:trHeight w:val="296"/>
        </w:trPr>
        <w:tc>
          <w:tcPr>
            <w:tcW w:w="557" w:type="pct"/>
            <w:tcBorders>
              <w:top w:val="single" w:sz="4" w:space="0" w:color="auto"/>
              <w:left w:val="single" w:sz="4" w:space="0" w:color="auto"/>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w:t>
            </w:r>
          </w:p>
        </w:tc>
        <w:tc>
          <w:tcPr>
            <w:tcW w:w="431"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2016</w:t>
            </w:r>
          </w:p>
        </w:tc>
        <w:tc>
          <w:tcPr>
            <w:tcW w:w="431"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2017</w:t>
            </w:r>
          </w:p>
        </w:tc>
        <w:tc>
          <w:tcPr>
            <w:tcW w:w="460"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2018</w:t>
            </w:r>
          </w:p>
        </w:tc>
        <w:tc>
          <w:tcPr>
            <w:tcW w:w="444"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2019</w:t>
            </w:r>
          </w:p>
        </w:tc>
        <w:tc>
          <w:tcPr>
            <w:tcW w:w="442"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2020</w:t>
            </w:r>
          </w:p>
        </w:tc>
        <w:tc>
          <w:tcPr>
            <w:tcW w:w="460"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2021</w:t>
            </w:r>
          </w:p>
        </w:tc>
        <w:tc>
          <w:tcPr>
            <w:tcW w:w="458" w:type="pct"/>
            <w:tcBorders>
              <w:top w:val="single" w:sz="4" w:space="0" w:color="auto"/>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2022</w:t>
            </w:r>
          </w:p>
        </w:tc>
        <w:tc>
          <w:tcPr>
            <w:tcW w:w="440" w:type="pct"/>
            <w:tcBorders>
              <w:top w:val="single" w:sz="4" w:space="0" w:color="auto"/>
              <w:left w:val="nil"/>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2023</w:t>
            </w:r>
          </w:p>
        </w:tc>
        <w:tc>
          <w:tcPr>
            <w:tcW w:w="440" w:type="pct"/>
            <w:tcBorders>
              <w:top w:val="single" w:sz="4" w:space="0" w:color="auto"/>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2024</w:t>
            </w:r>
          </w:p>
        </w:tc>
        <w:tc>
          <w:tcPr>
            <w:tcW w:w="437" w:type="pct"/>
            <w:tcBorders>
              <w:top w:val="single" w:sz="4" w:space="0" w:color="auto"/>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b/>
                <w:bCs/>
                <w:color w:val="000000"/>
                <w:sz w:val="16"/>
                <w:szCs w:val="16"/>
              </w:rPr>
            </w:pPr>
            <w:r w:rsidRPr="008A0F45">
              <w:rPr>
                <w:rFonts w:eastAsia="Times New Roman"/>
                <w:b/>
                <w:bCs/>
                <w:color w:val="000000"/>
                <w:sz w:val="16"/>
                <w:szCs w:val="16"/>
              </w:rPr>
              <w:t>2025</w:t>
            </w:r>
          </w:p>
        </w:tc>
      </w:tr>
      <w:tr w:rsidR="00A712E1" w:rsidRPr="008A0F45" w:rsidTr="00017B45">
        <w:trPr>
          <w:trHeight w:val="598"/>
        </w:trPr>
        <w:tc>
          <w:tcPr>
            <w:tcW w:w="557" w:type="pct"/>
            <w:tcBorders>
              <w:top w:val="nil"/>
              <w:left w:val="single" w:sz="4" w:space="0" w:color="auto"/>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xml:space="preserve">Максималь-ная величина </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12 583,8</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11 240,8</w:t>
            </w:r>
          </w:p>
        </w:tc>
        <w:tc>
          <w:tcPr>
            <w:tcW w:w="460" w:type="pct"/>
            <w:tcBorders>
              <w:top w:val="nil"/>
              <w:left w:val="nil"/>
              <w:bottom w:val="single" w:sz="4" w:space="0" w:color="auto"/>
              <w:right w:val="single" w:sz="4" w:space="0" w:color="auto"/>
            </w:tcBorders>
            <w:noWrap/>
            <w:vAlign w:val="bottom"/>
            <w:hideMark/>
          </w:tcPr>
          <w:p w:rsid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w:t>
            </w:r>
            <w:r w:rsidR="008A0F45">
              <w:rPr>
                <w:rFonts w:eastAsia="Times New Roman"/>
                <w:color w:val="000000"/>
                <w:sz w:val="16"/>
                <w:szCs w:val="16"/>
              </w:rPr>
              <w:t>–</w:t>
            </w:r>
          </w:p>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 </w:t>
            </w:r>
            <w:r w:rsidRPr="008A0F45">
              <w:rPr>
                <w:rFonts w:eastAsia="Times New Roman"/>
                <w:b/>
                <w:i/>
                <w:color w:val="000000"/>
                <w:sz w:val="16"/>
                <w:szCs w:val="16"/>
              </w:rPr>
              <w:t>11 878,6</w:t>
            </w:r>
          </w:p>
        </w:tc>
        <w:tc>
          <w:tcPr>
            <w:tcW w:w="444" w:type="pct"/>
            <w:tcBorders>
              <w:top w:val="nil"/>
              <w:left w:val="nil"/>
              <w:bottom w:val="single" w:sz="4" w:space="0" w:color="auto"/>
              <w:right w:val="single" w:sz="4" w:space="0" w:color="auto"/>
            </w:tcBorders>
            <w:noWrap/>
            <w:vAlign w:val="bottom"/>
            <w:hideMark/>
          </w:tcPr>
          <w:p w:rsidR="008A0F45" w:rsidRDefault="00A712E1" w:rsidP="00A712E1">
            <w:pPr>
              <w:spacing w:after="0" w:line="240" w:lineRule="auto"/>
              <w:ind w:left="-45"/>
              <w:jc w:val="right"/>
              <w:rPr>
                <w:rFonts w:eastAsia="Times New Roman"/>
                <w:color w:val="000000"/>
                <w:sz w:val="16"/>
                <w:szCs w:val="16"/>
              </w:rPr>
            </w:pPr>
            <w:r w:rsidRPr="008A0F45">
              <w:rPr>
                <w:rFonts w:eastAsia="Times New Roman"/>
                <w:color w:val="000000"/>
                <w:sz w:val="16"/>
                <w:szCs w:val="16"/>
              </w:rPr>
              <w:t xml:space="preserve">г. Екатеринбург </w:t>
            </w:r>
            <w:r w:rsidR="008A0F45">
              <w:rPr>
                <w:rFonts w:eastAsia="Times New Roman"/>
                <w:color w:val="000000"/>
                <w:sz w:val="16"/>
                <w:szCs w:val="16"/>
              </w:rPr>
              <w:t>–</w:t>
            </w:r>
            <w:r w:rsidRPr="008A0F45">
              <w:rPr>
                <w:rFonts w:eastAsia="Times New Roman"/>
                <w:color w:val="000000"/>
                <w:sz w:val="16"/>
                <w:szCs w:val="16"/>
              </w:rPr>
              <w:t xml:space="preserve"> </w:t>
            </w:r>
          </w:p>
          <w:p w:rsidR="00A712E1" w:rsidRPr="008A0F45" w:rsidRDefault="00A712E1" w:rsidP="00A712E1">
            <w:pPr>
              <w:spacing w:after="0" w:line="240" w:lineRule="auto"/>
              <w:ind w:left="-45"/>
              <w:jc w:val="right"/>
              <w:rPr>
                <w:rFonts w:eastAsia="Times New Roman"/>
                <w:color w:val="000000"/>
                <w:sz w:val="16"/>
                <w:szCs w:val="16"/>
              </w:rPr>
            </w:pPr>
            <w:r w:rsidRPr="008A0F45">
              <w:rPr>
                <w:rFonts w:eastAsia="Times New Roman"/>
                <w:b/>
                <w:i/>
                <w:color w:val="000000"/>
                <w:sz w:val="16"/>
                <w:szCs w:val="16"/>
              </w:rPr>
              <w:t>12 582,7</w:t>
            </w:r>
          </w:p>
        </w:tc>
        <w:tc>
          <w:tcPr>
            <w:tcW w:w="442"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12 564,9</w:t>
            </w:r>
          </w:p>
        </w:tc>
        <w:tc>
          <w:tcPr>
            <w:tcW w:w="460" w:type="pct"/>
            <w:tcBorders>
              <w:top w:val="nil"/>
              <w:left w:val="nil"/>
              <w:bottom w:val="single" w:sz="4" w:space="0" w:color="auto"/>
              <w:right w:val="single" w:sz="4" w:space="0" w:color="auto"/>
            </w:tcBorders>
            <w:noWrap/>
            <w:vAlign w:val="bottom"/>
            <w:hideMark/>
          </w:tcPr>
          <w:p w:rsid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w:t>
            </w:r>
            <w:r w:rsidR="008A0F45">
              <w:rPr>
                <w:rFonts w:eastAsia="Times New Roman"/>
                <w:color w:val="000000"/>
                <w:sz w:val="16"/>
                <w:szCs w:val="16"/>
              </w:rPr>
              <w:t>–</w:t>
            </w:r>
          </w:p>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 </w:t>
            </w:r>
            <w:r w:rsidRPr="008A0F45">
              <w:rPr>
                <w:rFonts w:eastAsia="Times New Roman"/>
                <w:b/>
                <w:i/>
                <w:color w:val="000000"/>
                <w:sz w:val="16"/>
                <w:szCs w:val="16"/>
              </w:rPr>
              <w:t>12 634,0</w:t>
            </w:r>
          </w:p>
        </w:tc>
        <w:tc>
          <w:tcPr>
            <w:tcW w:w="458" w:type="pct"/>
            <w:tcBorders>
              <w:top w:val="nil"/>
              <w:left w:val="nil"/>
              <w:bottom w:val="single" w:sz="4" w:space="0" w:color="auto"/>
              <w:right w:val="single" w:sz="4" w:space="0" w:color="auto"/>
            </w:tcBorders>
            <w:noWrap/>
            <w:vAlign w:val="bottom"/>
            <w:hideMark/>
          </w:tcPr>
          <w:p w:rsid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w:t>
            </w:r>
            <w:r w:rsidR="008A0F45">
              <w:rPr>
                <w:rFonts w:eastAsia="Times New Roman"/>
                <w:color w:val="000000"/>
                <w:sz w:val="16"/>
                <w:szCs w:val="16"/>
              </w:rPr>
              <w:t>–</w:t>
            </w:r>
            <w:r w:rsidRPr="008A0F45">
              <w:rPr>
                <w:rFonts w:eastAsia="Times New Roman"/>
                <w:color w:val="000000"/>
                <w:sz w:val="16"/>
                <w:szCs w:val="16"/>
              </w:rPr>
              <w:t xml:space="preserve"> </w:t>
            </w:r>
          </w:p>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b/>
                <w:i/>
                <w:color w:val="000000"/>
                <w:sz w:val="16"/>
                <w:szCs w:val="16"/>
              </w:rPr>
              <w:t>12 752,8</w:t>
            </w:r>
          </w:p>
        </w:tc>
        <w:tc>
          <w:tcPr>
            <w:tcW w:w="440" w:type="pct"/>
            <w:tcBorders>
              <w:top w:val="nil"/>
              <w:left w:val="nil"/>
              <w:bottom w:val="single" w:sz="4" w:space="0" w:color="auto"/>
              <w:right w:val="single" w:sz="4" w:space="0" w:color="auto"/>
            </w:tcBorders>
            <w:vAlign w:val="bottom"/>
            <w:hideMark/>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15 078,7</w:t>
            </w:r>
          </w:p>
        </w:tc>
        <w:tc>
          <w:tcPr>
            <w:tcW w:w="440" w:type="pct"/>
            <w:tcBorders>
              <w:top w:val="nil"/>
              <w:left w:val="nil"/>
              <w:bottom w:val="single" w:sz="4" w:space="0" w:color="auto"/>
              <w:right w:val="single" w:sz="4" w:space="0" w:color="auto"/>
            </w:tcBorders>
            <w:vAlign w:val="bottom"/>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15 405,6</w:t>
            </w:r>
          </w:p>
        </w:tc>
        <w:tc>
          <w:tcPr>
            <w:tcW w:w="437" w:type="pct"/>
            <w:tcBorders>
              <w:top w:val="nil"/>
              <w:left w:val="nil"/>
              <w:bottom w:val="single" w:sz="4" w:space="0" w:color="auto"/>
              <w:right w:val="single" w:sz="4" w:space="0" w:color="auto"/>
            </w:tcBorders>
          </w:tcPr>
          <w:p w:rsidR="00A712E1" w:rsidRPr="008A0F45" w:rsidRDefault="00A712E1" w:rsidP="00A712E1">
            <w:pPr>
              <w:spacing w:after="0" w:line="240" w:lineRule="auto"/>
              <w:jc w:val="right"/>
              <w:rPr>
                <w:rFonts w:eastAsia="Times New Roman"/>
                <w:color w:val="000000"/>
                <w:sz w:val="16"/>
                <w:szCs w:val="16"/>
              </w:rPr>
            </w:pPr>
            <w:r w:rsidRPr="008A0F45">
              <w:rPr>
                <w:rFonts w:eastAsia="Times New Roman"/>
                <w:color w:val="000000"/>
                <w:sz w:val="16"/>
                <w:szCs w:val="16"/>
              </w:rPr>
              <w:t xml:space="preserve">г. Екатеринбург – </w:t>
            </w:r>
            <w:r w:rsidRPr="008A0F45">
              <w:rPr>
                <w:rFonts w:eastAsia="Times New Roman"/>
                <w:b/>
                <w:i/>
                <w:color w:val="000000"/>
                <w:sz w:val="16"/>
                <w:szCs w:val="16"/>
              </w:rPr>
              <w:t>18 584,2</w:t>
            </w:r>
          </w:p>
        </w:tc>
      </w:tr>
      <w:tr w:rsidR="00A712E1" w:rsidRPr="008A0F45" w:rsidTr="00017B45">
        <w:trPr>
          <w:trHeight w:val="296"/>
        </w:trPr>
        <w:tc>
          <w:tcPr>
            <w:tcW w:w="557" w:type="pct"/>
            <w:tcBorders>
              <w:top w:val="nil"/>
              <w:left w:val="single" w:sz="4" w:space="0" w:color="auto"/>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 Новоси-бирск</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3 660,3</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4 090,6</w:t>
            </w:r>
          </w:p>
        </w:tc>
        <w:tc>
          <w:tcPr>
            <w:tcW w:w="460"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4 662,2</w:t>
            </w:r>
          </w:p>
        </w:tc>
        <w:tc>
          <w:tcPr>
            <w:tcW w:w="444"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4 381,5</w:t>
            </w:r>
          </w:p>
        </w:tc>
        <w:tc>
          <w:tcPr>
            <w:tcW w:w="442"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4 510,2</w:t>
            </w:r>
          </w:p>
        </w:tc>
        <w:tc>
          <w:tcPr>
            <w:tcW w:w="460"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4 652,5</w:t>
            </w:r>
          </w:p>
        </w:tc>
        <w:tc>
          <w:tcPr>
            <w:tcW w:w="458"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4 652,5</w:t>
            </w:r>
          </w:p>
        </w:tc>
        <w:tc>
          <w:tcPr>
            <w:tcW w:w="440" w:type="pct"/>
            <w:tcBorders>
              <w:top w:val="nil"/>
              <w:left w:val="nil"/>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5 832,0</w:t>
            </w:r>
          </w:p>
        </w:tc>
        <w:tc>
          <w:tcPr>
            <w:tcW w:w="440" w:type="pct"/>
            <w:tcBorders>
              <w:top w:val="nil"/>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b/>
                <w:i/>
                <w:color w:val="000000"/>
                <w:sz w:val="16"/>
                <w:szCs w:val="16"/>
              </w:rPr>
            </w:pPr>
            <w:r w:rsidRPr="008A0F45">
              <w:rPr>
                <w:rFonts w:eastAsia="Times New Roman"/>
                <w:b/>
                <w:i/>
                <w:color w:val="000000"/>
                <w:sz w:val="16"/>
                <w:szCs w:val="16"/>
              </w:rPr>
              <w:t>6 367,9</w:t>
            </w:r>
          </w:p>
        </w:tc>
        <w:tc>
          <w:tcPr>
            <w:tcW w:w="437" w:type="pct"/>
            <w:tcBorders>
              <w:top w:val="nil"/>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b/>
                <w:i/>
                <w:sz w:val="16"/>
                <w:szCs w:val="16"/>
              </w:rPr>
            </w:pPr>
            <w:r w:rsidRPr="008A0F45">
              <w:rPr>
                <w:rFonts w:eastAsia="Times New Roman"/>
                <w:b/>
                <w:i/>
                <w:sz w:val="16"/>
                <w:szCs w:val="16"/>
              </w:rPr>
              <w:t>7 546,8</w:t>
            </w:r>
          </w:p>
        </w:tc>
      </w:tr>
      <w:tr w:rsidR="00A712E1" w:rsidRPr="008A0F45" w:rsidTr="00017B45">
        <w:trPr>
          <w:trHeight w:val="592"/>
        </w:trPr>
        <w:tc>
          <w:tcPr>
            <w:tcW w:w="557" w:type="pct"/>
            <w:tcBorders>
              <w:top w:val="nil"/>
              <w:left w:val="single" w:sz="4" w:space="0" w:color="auto"/>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xml:space="preserve">Минималь-ная величина </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ind w:left="-27"/>
              <w:rPr>
                <w:rFonts w:eastAsia="Times New Roman"/>
                <w:color w:val="000000"/>
                <w:sz w:val="16"/>
                <w:szCs w:val="16"/>
              </w:rPr>
            </w:pPr>
            <w:r w:rsidRPr="008A0F45">
              <w:rPr>
                <w:rFonts w:eastAsia="Times New Roman"/>
                <w:color w:val="000000"/>
                <w:sz w:val="16"/>
                <w:szCs w:val="16"/>
              </w:rPr>
              <w:t xml:space="preserve">г. Омск - </w:t>
            </w:r>
            <w:r w:rsidRPr="008A0F45">
              <w:rPr>
                <w:rFonts w:eastAsia="Times New Roman"/>
                <w:b/>
                <w:i/>
                <w:color w:val="000000"/>
                <w:sz w:val="16"/>
                <w:szCs w:val="16"/>
              </w:rPr>
              <w:t>1 273,2</w:t>
            </w:r>
          </w:p>
        </w:tc>
        <w:tc>
          <w:tcPr>
            <w:tcW w:w="431"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ind w:left="-15"/>
              <w:rPr>
                <w:rFonts w:eastAsia="Times New Roman"/>
                <w:color w:val="000000"/>
                <w:sz w:val="16"/>
                <w:szCs w:val="16"/>
              </w:rPr>
            </w:pPr>
            <w:r w:rsidRPr="008A0F45">
              <w:rPr>
                <w:rFonts w:eastAsia="Times New Roman"/>
                <w:color w:val="000000"/>
                <w:sz w:val="16"/>
                <w:szCs w:val="16"/>
              </w:rPr>
              <w:t xml:space="preserve">г. Омск - </w:t>
            </w:r>
            <w:r w:rsidRPr="008A0F45">
              <w:rPr>
                <w:rFonts w:eastAsia="Times New Roman"/>
                <w:b/>
                <w:i/>
                <w:color w:val="000000"/>
                <w:sz w:val="16"/>
                <w:szCs w:val="16"/>
              </w:rPr>
              <w:t>1 169,4</w:t>
            </w:r>
          </w:p>
        </w:tc>
        <w:tc>
          <w:tcPr>
            <w:tcW w:w="460"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xml:space="preserve">г. Омск - </w:t>
            </w:r>
            <w:r w:rsidRPr="008A0F45">
              <w:rPr>
                <w:rFonts w:eastAsia="Times New Roman"/>
                <w:b/>
                <w:i/>
                <w:color w:val="000000"/>
                <w:sz w:val="16"/>
                <w:szCs w:val="16"/>
              </w:rPr>
              <w:t>1 195,1</w:t>
            </w:r>
          </w:p>
        </w:tc>
        <w:tc>
          <w:tcPr>
            <w:tcW w:w="444"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 Омск-</w:t>
            </w:r>
            <w:r w:rsidRPr="008A0F45">
              <w:rPr>
                <w:rFonts w:eastAsia="Times New Roman"/>
                <w:b/>
                <w:i/>
                <w:color w:val="000000"/>
                <w:sz w:val="16"/>
                <w:szCs w:val="16"/>
              </w:rPr>
              <w:t xml:space="preserve"> 1 332,1</w:t>
            </w:r>
          </w:p>
        </w:tc>
        <w:tc>
          <w:tcPr>
            <w:tcW w:w="442"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xml:space="preserve">г. Омск - </w:t>
            </w:r>
            <w:r w:rsidRPr="008A0F45">
              <w:rPr>
                <w:rFonts w:eastAsia="Times New Roman"/>
                <w:b/>
                <w:i/>
                <w:color w:val="000000"/>
                <w:sz w:val="16"/>
                <w:szCs w:val="16"/>
              </w:rPr>
              <w:t>1 511,6</w:t>
            </w:r>
          </w:p>
        </w:tc>
        <w:tc>
          <w:tcPr>
            <w:tcW w:w="460"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 xml:space="preserve">г. Омск  </w:t>
            </w:r>
            <w:r w:rsidRPr="008A0F45">
              <w:rPr>
                <w:rFonts w:eastAsia="Times New Roman"/>
                <w:b/>
                <w:i/>
                <w:color w:val="000000"/>
                <w:sz w:val="16"/>
                <w:szCs w:val="16"/>
              </w:rPr>
              <w:t>1 392,7</w:t>
            </w:r>
          </w:p>
        </w:tc>
        <w:tc>
          <w:tcPr>
            <w:tcW w:w="458" w:type="pct"/>
            <w:tcBorders>
              <w:top w:val="nil"/>
              <w:left w:val="nil"/>
              <w:bottom w:val="single" w:sz="4" w:space="0" w:color="auto"/>
              <w:right w:val="single" w:sz="4" w:space="0" w:color="auto"/>
            </w:tcBorders>
            <w:noWrap/>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 Омск-</w:t>
            </w:r>
            <w:r w:rsidRPr="008A0F45">
              <w:rPr>
                <w:rFonts w:eastAsia="Times New Roman"/>
                <w:b/>
                <w:i/>
                <w:color w:val="000000"/>
                <w:sz w:val="16"/>
                <w:szCs w:val="16"/>
              </w:rPr>
              <w:t xml:space="preserve"> 1 293,9</w:t>
            </w:r>
          </w:p>
        </w:tc>
        <w:tc>
          <w:tcPr>
            <w:tcW w:w="440" w:type="pct"/>
            <w:tcBorders>
              <w:top w:val="nil"/>
              <w:left w:val="nil"/>
              <w:bottom w:val="single" w:sz="4" w:space="0" w:color="auto"/>
              <w:right w:val="single" w:sz="4" w:space="0" w:color="auto"/>
            </w:tcBorders>
            <w:vAlign w:val="bottom"/>
            <w:hideMark/>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г.Мос-ква -</w:t>
            </w:r>
            <w:r w:rsidRPr="008A0F45">
              <w:rPr>
                <w:rFonts w:eastAsia="Times New Roman"/>
                <w:b/>
                <w:i/>
                <w:color w:val="000000"/>
                <w:sz w:val="16"/>
                <w:szCs w:val="16"/>
              </w:rPr>
              <w:t>1 695,6</w:t>
            </w:r>
          </w:p>
        </w:tc>
        <w:tc>
          <w:tcPr>
            <w:tcW w:w="440" w:type="pct"/>
            <w:tcBorders>
              <w:top w:val="nil"/>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г.Мос-ква -</w:t>
            </w:r>
            <w:r w:rsidRPr="008A0F45">
              <w:rPr>
                <w:rFonts w:eastAsia="Times New Roman"/>
                <w:b/>
                <w:i/>
                <w:color w:val="000000"/>
                <w:sz w:val="16"/>
                <w:szCs w:val="16"/>
              </w:rPr>
              <w:t>1 411,9</w:t>
            </w:r>
          </w:p>
        </w:tc>
        <w:tc>
          <w:tcPr>
            <w:tcW w:w="437" w:type="pct"/>
            <w:tcBorders>
              <w:top w:val="nil"/>
              <w:left w:val="nil"/>
              <w:bottom w:val="single" w:sz="4" w:space="0" w:color="auto"/>
              <w:right w:val="single" w:sz="4" w:space="0" w:color="auto"/>
            </w:tcBorders>
            <w:vAlign w:val="bottom"/>
          </w:tcPr>
          <w:p w:rsidR="00A712E1" w:rsidRPr="008A0F45" w:rsidRDefault="00A712E1" w:rsidP="00A712E1">
            <w:pPr>
              <w:spacing w:after="0" w:line="240" w:lineRule="auto"/>
              <w:rPr>
                <w:rFonts w:eastAsia="Times New Roman"/>
                <w:color w:val="000000"/>
                <w:sz w:val="16"/>
                <w:szCs w:val="16"/>
              </w:rPr>
            </w:pPr>
            <w:r w:rsidRPr="008A0F45">
              <w:rPr>
                <w:rFonts w:eastAsia="Times New Roman"/>
                <w:color w:val="000000"/>
                <w:sz w:val="16"/>
                <w:szCs w:val="16"/>
              </w:rPr>
              <w:t>г.Мос-ква -</w:t>
            </w:r>
            <w:r w:rsidRPr="008A0F45">
              <w:rPr>
                <w:rFonts w:eastAsia="Times New Roman"/>
                <w:b/>
                <w:i/>
                <w:color w:val="000000"/>
                <w:sz w:val="16"/>
                <w:szCs w:val="16"/>
              </w:rPr>
              <w:t>868,2</w:t>
            </w:r>
          </w:p>
        </w:tc>
      </w:tr>
    </w:tbl>
    <w:p w:rsidR="00A712E1" w:rsidRPr="00106644" w:rsidRDefault="00A712E1" w:rsidP="00A712E1">
      <w:pPr>
        <w:tabs>
          <w:tab w:val="center" w:pos="4677"/>
          <w:tab w:val="right" w:pos="9355"/>
        </w:tabs>
        <w:spacing w:after="0" w:line="240" w:lineRule="auto"/>
        <w:ind w:firstLine="709"/>
        <w:jc w:val="both"/>
        <w:rPr>
          <w:rFonts w:eastAsia="Calibri"/>
          <w:sz w:val="24"/>
          <w:szCs w:val="28"/>
        </w:rPr>
      </w:pPr>
    </w:p>
    <w:p w:rsidR="00A712E1" w:rsidRPr="002500FF" w:rsidRDefault="00A712E1" w:rsidP="00A712E1">
      <w:pPr>
        <w:spacing w:after="0" w:line="240" w:lineRule="auto"/>
        <w:ind w:firstLine="851"/>
        <w:jc w:val="both"/>
        <w:rPr>
          <w:szCs w:val="28"/>
        </w:rPr>
      </w:pPr>
      <w:r w:rsidRPr="002500FF">
        <w:rPr>
          <w:szCs w:val="28"/>
        </w:rPr>
        <w:t xml:space="preserve">Так как размер перекрестного субсидирования зависит от объема поставляемой потребителям электрической энергии, то ниже приведена сравнительная динамика удельного размера перекрестного субсидирования на 1 кВтч. </w:t>
      </w:r>
    </w:p>
    <w:p w:rsidR="00A712E1" w:rsidRDefault="00A712E1" w:rsidP="00A712E1">
      <w:pPr>
        <w:spacing w:after="0" w:line="240" w:lineRule="auto"/>
        <w:jc w:val="right"/>
        <w:rPr>
          <w:sz w:val="24"/>
        </w:rPr>
      </w:pPr>
      <w:r>
        <w:rPr>
          <w:noProof/>
        </w:rPr>
        <w:drawing>
          <wp:inline distT="0" distB="0" distL="0" distR="0" wp14:anchorId="7DA7635C" wp14:editId="199BAFB1">
            <wp:extent cx="5703277" cy="3018693"/>
            <wp:effectExtent l="0" t="0" r="0" b="10795"/>
            <wp:docPr id="48" name="Диаграмма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Pr="008A0F45">
        <w:rPr>
          <w:b/>
          <w:sz w:val="20"/>
          <w:szCs w:val="20"/>
        </w:rPr>
        <w:t>руб./кВтч</w:t>
      </w:r>
    </w:p>
    <w:p w:rsidR="00A712E1" w:rsidRDefault="00A712E1" w:rsidP="00A712E1">
      <w:pPr>
        <w:spacing w:after="0" w:line="240" w:lineRule="auto"/>
        <w:jc w:val="right"/>
        <w:rPr>
          <w:sz w:val="24"/>
        </w:rPr>
      </w:pPr>
      <w:r w:rsidRPr="008A0F45">
        <w:rPr>
          <w:noProof/>
          <w:sz w:val="18"/>
          <w:szCs w:val="18"/>
        </w:rPr>
        <w:lastRenderedPageBreak/>
        <w:drawing>
          <wp:inline distT="0" distB="0" distL="0" distR="0" wp14:anchorId="04AFE91A" wp14:editId="6B8E4F14">
            <wp:extent cx="5838092" cy="859747"/>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40323" cy="860076"/>
                    </a:xfrm>
                    <a:prstGeom prst="rect">
                      <a:avLst/>
                    </a:prstGeom>
                    <a:noFill/>
                    <a:ln>
                      <a:noFill/>
                    </a:ln>
                  </pic:spPr>
                </pic:pic>
              </a:graphicData>
            </a:graphic>
          </wp:inline>
        </w:drawing>
      </w:r>
    </w:p>
    <w:p w:rsidR="00A712E1" w:rsidRDefault="00A712E1" w:rsidP="00A712E1">
      <w:pPr>
        <w:spacing w:after="0" w:line="240" w:lineRule="auto"/>
        <w:jc w:val="right"/>
        <w:rPr>
          <w:sz w:val="24"/>
        </w:rPr>
      </w:pPr>
    </w:p>
    <w:p w:rsidR="00A712E1" w:rsidRDefault="00A712E1" w:rsidP="00A712E1">
      <w:pPr>
        <w:spacing w:after="0" w:line="240" w:lineRule="auto"/>
        <w:ind w:firstLine="709"/>
        <w:jc w:val="both"/>
        <w:rPr>
          <w:szCs w:val="28"/>
        </w:rPr>
      </w:pPr>
      <w:r w:rsidRPr="00724E84">
        <w:rPr>
          <w:szCs w:val="28"/>
        </w:rPr>
        <w:t xml:space="preserve">Как видно из графиков, по абсолютному значению величины перекрестного субсидирования г. Новосибирск и Новосибирская область </w:t>
      </w:r>
      <w:r>
        <w:rPr>
          <w:szCs w:val="28"/>
        </w:rPr>
        <w:t>приближены к минимальным значениям</w:t>
      </w:r>
      <w:r w:rsidRPr="00724E84">
        <w:rPr>
          <w:szCs w:val="28"/>
        </w:rPr>
        <w:t>, а по удельным показателям</w:t>
      </w:r>
      <w:r>
        <w:rPr>
          <w:szCs w:val="28"/>
        </w:rPr>
        <w:t xml:space="preserve"> </w:t>
      </w:r>
      <w:r w:rsidRPr="00724E84">
        <w:rPr>
          <w:szCs w:val="28"/>
        </w:rPr>
        <w:t xml:space="preserve">– </w:t>
      </w:r>
      <w:r>
        <w:rPr>
          <w:szCs w:val="28"/>
        </w:rPr>
        <w:t>на уровне</w:t>
      </w:r>
      <w:r w:rsidRPr="00724E84">
        <w:rPr>
          <w:szCs w:val="28"/>
        </w:rPr>
        <w:t xml:space="preserve"> среднего значения.</w:t>
      </w:r>
      <w:r>
        <w:rPr>
          <w:szCs w:val="28"/>
        </w:rPr>
        <w:t xml:space="preserve"> </w:t>
      </w:r>
    </w:p>
    <w:p w:rsidR="00A712E1" w:rsidRPr="00E84EEE" w:rsidRDefault="00A712E1" w:rsidP="0005458F">
      <w:pPr>
        <w:pStyle w:val="4"/>
      </w:pPr>
      <w:bookmarkStart w:id="20" w:name="_Toc193810522"/>
      <w:r w:rsidRPr="00E84EEE">
        <w:t>2.1.3 Формирование (корректировка) тарифов на услуги по передаче электрической энергии для потребителей услуг, находящихся (расположенных) на территории Новосибирской области.</w:t>
      </w:r>
      <w:bookmarkEnd w:id="20"/>
    </w:p>
    <w:p w:rsidR="00A712E1" w:rsidRPr="00DE52E9" w:rsidRDefault="00A712E1" w:rsidP="00A712E1">
      <w:pPr>
        <w:spacing w:after="0" w:line="240" w:lineRule="auto"/>
        <w:ind w:firstLine="709"/>
        <w:jc w:val="both"/>
        <w:rPr>
          <w:szCs w:val="28"/>
        </w:rPr>
      </w:pPr>
      <w:r w:rsidRPr="00DE52E9">
        <w:rPr>
          <w:szCs w:val="28"/>
        </w:rPr>
        <w:t xml:space="preserve">В соответствии с требованиями п. 49 Методических указаний по расчету регулируемых тарифов и цен на электрическую (тепловую) энергию на розничном (потребительском) рынке, утвержденных приказом Федеральной службы </w:t>
      </w:r>
      <w:r w:rsidRPr="00B74317">
        <w:rPr>
          <w:szCs w:val="28"/>
        </w:rPr>
        <w:t>по тарифам от 6 августа 2004 № 20-э/2 (</w:t>
      </w:r>
      <w:r>
        <w:rPr>
          <w:szCs w:val="28"/>
        </w:rPr>
        <w:t>далее – Методические указания 20-э/2)</w:t>
      </w:r>
      <w:r w:rsidRPr="00DE52E9">
        <w:rPr>
          <w:szCs w:val="28"/>
        </w:rPr>
        <w:t xml:space="preserve">, расчет единых (котловых) на территории Новосибирской области тарифов на услуги по передаче электрической энергии, дифференцированных по уровням напряжения, для потребителей услуг по передаче электрической энергии (кроме сетевых организаций), независимо от того, к сетям какой сетевой организации они присоединены, произведён на основе НВВ, рассчитанной в соответствии с пунктом 47 </w:t>
      </w:r>
      <w:r>
        <w:rPr>
          <w:szCs w:val="28"/>
        </w:rPr>
        <w:t xml:space="preserve">указанных </w:t>
      </w:r>
      <w:r w:rsidRPr="00DE52E9">
        <w:rPr>
          <w:szCs w:val="28"/>
        </w:rPr>
        <w:t>Методических указаний для каждой сетевой организации, расположенной на территории Новосибирской области,</w:t>
      </w:r>
      <w:r w:rsidRPr="00DE52E9">
        <w:rPr>
          <w:sz w:val="24"/>
        </w:rPr>
        <w:t xml:space="preserve"> </w:t>
      </w:r>
      <w:r w:rsidRPr="00DE52E9">
        <w:rPr>
          <w:szCs w:val="28"/>
        </w:rPr>
        <w:t>и объема оказываемых услуг по передаче электрической энергии.</w:t>
      </w:r>
    </w:p>
    <w:p w:rsidR="00A712E1" w:rsidRPr="00D35A13" w:rsidRDefault="00A712E1" w:rsidP="00A712E1">
      <w:pPr>
        <w:spacing w:after="0" w:line="240" w:lineRule="auto"/>
        <w:ind w:firstLine="851"/>
        <w:jc w:val="both"/>
        <w:rPr>
          <w:szCs w:val="28"/>
        </w:rPr>
      </w:pPr>
      <w:r w:rsidRPr="00D35A13">
        <w:rPr>
          <w:szCs w:val="28"/>
        </w:rPr>
        <w:t>В указанной НВВ для расчёта единых (котловых) тарифов на услуги по передаче электрической энергии на 20</w:t>
      </w:r>
      <w:r>
        <w:rPr>
          <w:szCs w:val="28"/>
        </w:rPr>
        <w:t>25</w:t>
      </w:r>
      <w:r w:rsidRPr="00D35A13">
        <w:rPr>
          <w:szCs w:val="28"/>
        </w:rPr>
        <w:t xml:space="preserve"> год департаментом учтены расходы </w:t>
      </w:r>
      <w:r>
        <w:rPr>
          <w:szCs w:val="28"/>
        </w:rPr>
        <w:t>8</w:t>
      </w:r>
      <w:r w:rsidRPr="00D35A13">
        <w:rPr>
          <w:szCs w:val="28"/>
        </w:rPr>
        <w:t xml:space="preserve"> территориальных сетевых организаций, </w:t>
      </w:r>
      <w:r>
        <w:rPr>
          <w:szCs w:val="28"/>
        </w:rPr>
        <w:t xml:space="preserve">имеющих статус сетевой организации, </w:t>
      </w:r>
      <w:r w:rsidRPr="00D35A13">
        <w:rPr>
          <w:szCs w:val="28"/>
        </w:rPr>
        <w:t>включая АО «РЭС»</w:t>
      </w:r>
      <w:r>
        <w:rPr>
          <w:szCs w:val="28"/>
        </w:rPr>
        <w:t xml:space="preserve"> (в НВВ 2024 – 20</w:t>
      </w:r>
      <w:r w:rsidRPr="00D35A13">
        <w:rPr>
          <w:szCs w:val="28"/>
        </w:rPr>
        <w:t xml:space="preserve"> организаций).</w:t>
      </w:r>
    </w:p>
    <w:p w:rsidR="00A712E1" w:rsidRPr="00D35A13" w:rsidRDefault="00A712E1" w:rsidP="00A712E1">
      <w:pPr>
        <w:spacing w:after="0" w:line="240" w:lineRule="auto"/>
        <w:ind w:firstLine="851"/>
        <w:jc w:val="both"/>
        <w:rPr>
          <w:szCs w:val="28"/>
        </w:rPr>
      </w:pPr>
      <w:r w:rsidRPr="00D35A13">
        <w:rPr>
          <w:szCs w:val="28"/>
        </w:rPr>
        <w:t>Основным поставщиком услуг по передаче электрической энергии на территории Новосибирской области является региональная сетевая компания АО «РЭС»,</w:t>
      </w:r>
      <w:r w:rsidRPr="00D35A13">
        <w:rPr>
          <w:bCs/>
          <w:szCs w:val="28"/>
        </w:rPr>
        <w:t xml:space="preserve"> которая определена котлодержателем. Согласно договору на оказание услуг по передаче электрической энергии, заключенному между АО</w:t>
      </w:r>
      <w:r>
        <w:rPr>
          <w:bCs/>
          <w:szCs w:val="28"/>
        </w:rPr>
        <w:t> </w:t>
      </w:r>
      <w:r w:rsidRPr="00D35A13">
        <w:rPr>
          <w:bCs/>
          <w:szCs w:val="28"/>
        </w:rPr>
        <w:t>«РЭС» и АО «Новосибирскэнергосбыт», взаиморасчеты между ними осуществляются по (единым) котловым тарифам на услуги по передаче электрической энергии.</w:t>
      </w:r>
      <w:r w:rsidRPr="00D35A13">
        <w:rPr>
          <w:szCs w:val="28"/>
        </w:rPr>
        <w:t xml:space="preserve"> </w:t>
      </w:r>
    </w:p>
    <w:p w:rsidR="00A712E1" w:rsidRPr="00D35A13" w:rsidRDefault="00A712E1" w:rsidP="00A712E1">
      <w:pPr>
        <w:spacing w:after="0" w:line="240" w:lineRule="auto"/>
        <w:ind w:firstLine="851"/>
        <w:jc w:val="both"/>
        <w:rPr>
          <w:szCs w:val="28"/>
        </w:rPr>
      </w:pPr>
      <w:r w:rsidRPr="00D35A13">
        <w:rPr>
          <w:szCs w:val="28"/>
        </w:rPr>
        <w:t xml:space="preserve">Кроме того, услуги по передаче электрической энергии оказывают смежные сетевые организации, у которых заключены договоры на услуги по передаче электрической энергии с </w:t>
      </w:r>
      <w:r w:rsidRPr="00D35A13">
        <w:rPr>
          <w:bCs/>
          <w:szCs w:val="28"/>
        </w:rPr>
        <w:t xml:space="preserve">АО «РЭС» и </w:t>
      </w:r>
      <w:r w:rsidRPr="00D35A13">
        <w:rPr>
          <w:szCs w:val="28"/>
        </w:rPr>
        <w:t xml:space="preserve">взаиморасчёты  осуществляются по индивидуальным тарифам на услуги по передаче электрической, установленным департаментом. </w:t>
      </w:r>
    </w:p>
    <w:p w:rsidR="00A712E1" w:rsidRPr="00D35A13" w:rsidRDefault="00A712E1" w:rsidP="00A712E1">
      <w:pPr>
        <w:spacing w:after="0" w:line="240" w:lineRule="auto"/>
        <w:ind w:firstLine="851"/>
        <w:jc w:val="both"/>
        <w:rPr>
          <w:bCs/>
          <w:szCs w:val="28"/>
        </w:rPr>
      </w:pPr>
      <w:r w:rsidRPr="00D35A13">
        <w:rPr>
          <w:szCs w:val="28"/>
        </w:rPr>
        <w:t xml:space="preserve">При регулировании цен (тарифов) на услуги по передаче электрической энергии по электрическим сетям, принадлежащим на праве собственности или на ином законном основании территориальным сетевым </w:t>
      </w:r>
      <w:r w:rsidRPr="00D35A13">
        <w:rPr>
          <w:szCs w:val="28"/>
        </w:rPr>
        <w:lastRenderedPageBreak/>
        <w:t>орган</w:t>
      </w:r>
      <w:r>
        <w:rPr>
          <w:szCs w:val="28"/>
        </w:rPr>
        <w:t>изациям, департаментом применялся</w:t>
      </w:r>
      <w:r w:rsidRPr="00D35A13">
        <w:rPr>
          <w:szCs w:val="28"/>
        </w:rPr>
        <w:t xml:space="preserve"> метод </w:t>
      </w:r>
      <w:r w:rsidRPr="00D35A13">
        <w:rPr>
          <w:bCs/>
          <w:szCs w:val="28"/>
        </w:rPr>
        <w:t>долгосрочной индексации необходимой валовой выручки и метод сравнения аналогов.</w:t>
      </w:r>
    </w:p>
    <w:p w:rsidR="00A712E1" w:rsidRPr="00AF3627" w:rsidRDefault="00A712E1" w:rsidP="0005458F">
      <w:pPr>
        <w:pStyle w:val="4"/>
      </w:pPr>
      <w:bookmarkStart w:id="21" w:name="_Toc193810523"/>
      <w:r w:rsidRPr="00AF3627">
        <w:t>2.1.3.1. Формирование (корректировка) НВВ и индивидуальных тарифов на услуги по передаче электрической энергии смежных территориальных сетевых о</w:t>
      </w:r>
      <w:r>
        <w:t>рганизаций</w:t>
      </w:r>
      <w:r w:rsidRPr="00AF3627">
        <w:t xml:space="preserve"> </w:t>
      </w:r>
      <w:r>
        <w:t>(ТСО)</w:t>
      </w:r>
      <w:bookmarkEnd w:id="21"/>
    </w:p>
    <w:p w:rsidR="00A712E1" w:rsidRPr="00017B45" w:rsidRDefault="00A712E1" w:rsidP="00A712E1">
      <w:pPr>
        <w:autoSpaceDE w:val="0"/>
        <w:autoSpaceDN w:val="0"/>
        <w:adjustRightInd w:val="0"/>
        <w:spacing w:before="120" w:after="0" w:line="240" w:lineRule="auto"/>
        <w:ind w:firstLine="709"/>
        <w:jc w:val="both"/>
        <w:rPr>
          <w:szCs w:val="28"/>
          <w:u w:val="single"/>
        </w:rPr>
      </w:pPr>
      <w:r w:rsidRPr="00017B45">
        <w:rPr>
          <w:szCs w:val="28"/>
          <w:u w:val="single"/>
        </w:rPr>
        <w:t>Пересмотр установленных на 2024 год НВВ и индивидуальных тарифов на услуги по передаче электрической энергии для взаиморасчетов между сетевыми организациями во исполнение решения ФАС России</w:t>
      </w:r>
    </w:p>
    <w:p w:rsidR="00A712E1" w:rsidRPr="00752610" w:rsidRDefault="00A712E1" w:rsidP="00A712E1">
      <w:pPr>
        <w:autoSpaceDE w:val="0"/>
        <w:autoSpaceDN w:val="0"/>
        <w:adjustRightInd w:val="0"/>
        <w:spacing w:before="120" w:after="0" w:line="240" w:lineRule="auto"/>
        <w:ind w:firstLine="709"/>
        <w:jc w:val="both"/>
        <w:rPr>
          <w:rFonts w:eastAsia="Calibri"/>
          <w:szCs w:val="28"/>
        </w:rPr>
      </w:pPr>
      <w:r w:rsidRPr="00752610">
        <w:rPr>
          <w:rFonts w:eastAsia="Calibri"/>
          <w:szCs w:val="28"/>
        </w:rPr>
        <w:t xml:space="preserve">Во исполнение приказа ФАС России от 24.01.2024 № 34/24 «Об отмене приказов департамента по тарифам Новосибирской области от 29 ноября 2023 № 355-ЭЭ/НПА, № 408-ЭЭ/НПА, № 410-ЭЭ/НПА, № 411-ЭЭ/НПА» отделом регулирования электроэнергетики департамента произведены расчеты НВВ и индивидуальных тарифов на услуги по передаче электрической энергии для взаиморасчетов между сетевыми организациями, в результате которых приказом департамента от 16.04.2024 № 79-ЭЭ/НПА установлены НВВ и индивидуальные тарифы на уровне, ранее скорректированном на 2024 год приказом департамента от 23.11.2023 № 355-ЭЭ/НПА. </w:t>
      </w:r>
    </w:p>
    <w:p w:rsidR="00A712E1" w:rsidRPr="00752610" w:rsidRDefault="00A712E1" w:rsidP="00A712E1">
      <w:pPr>
        <w:autoSpaceDE w:val="0"/>
        <w:autoSpaceDN w:val="0"/>
        <w:adjustRightInd w:val="0"/>
        <w:spacing w:after="0" w:line="240" w:lineRule="auto"/>
        <w:ind w:firstLine="709"/>
        <w:jc w:val="both"/>
        <w:rPr>
          <w:szCs w:val="28"/>
        </w:rPr>
      </w:pPr>
      <w:r w:rsidRPr="00752610">
        <w:rPr>
          <w:rFonts w:eastAsia="Calibri"/>
          <w:szCs w:val="28"/>
        </w:rPr>
        <w:t>Таким образом, пересмотр НВВ и индивидуальных тарифов на услуги по передаче электрической энергии для взаиморасчетов между сетевыми организациями, осуществляющими деятельность по передаче электрической энергии на территории Новосибирской области во исполнение вышеуказанного решения ФАС России не привел к возникновению недополученных доходов</w:t>
      </w:r>
      <w:r w:rsidRPr="00752610">
        <w:rPr>
          <w:szCs w:val="28"/>
        </w:rPr>
        <w:t xml:space="preserve">, связанных с осуществлением регулируемых видов деятельности субъектами электроэнергетики, и, следовательно, к необходимости компенсации возникших недополученных доходов за счет средств бюджета субъекта Российской Федерации в соответствии с требованиями пункта </w:t>
      </w:r>
      <w:r w:rsidRPr="00752610">
        <w:rPr>
          <w:rFonts w:eastAsia="Calibri"/>
          <w:szCs w:val="28"/>
        </w:rPr>
        <w:t xml:space="preserve">6 статьи 23 </w:t>
      </w:r>
      <w:r w:rsidRPr="007E508C">
        <w:rPr>
          <w:rFonts w:eastAsia="Calibri"/>
          <w:szCs w:val="28"/>
        </w:rPr>
        <w:t>Закона об электроэнергетике</w:t>
      </w:r>
      <w:r w:rsidRPr="007E508C">
        <w:rPr>
          <w:szCs w:val="28"/>
        </w:rPr>
        <w:t>.</w:t>
      </w:r>
    </w:p>
    <w:p w:rsidR="00A712E1" w:rsidRPr="00017B45" w:rsidRDefault="00A712E1" w:rsidP="00A712E1">
      <w:pPr>
        <w:autoSpaceDE w:val="0"/>
        <w:autoSpaceDN w:val="0"/>
        <w:adjustRightInd w:val="0"/>
        <w:spacing w:before="120" w:after="0" w:line="240" w:lineRule="auto"/>
        <w:ind w:firstLine="709"/>
        <w:jc w:val="both"/>
        <w:rPr>
          <w:szCs w:val="28"/>
          <w:u w:val="single"/>
        </w:rPr>
      </w:pPr>
      <w:r w:rsidRPr="00017B45">
        <w:rPr>
          <w:szCs w:val="28"/>
          <w:u w:val="single"/>
        </w:rPr>
        <w:t>Соответствие регулируемых организаций Критериям ТСО на 2025 год</w:t>
      </w:r>
    </w:p>
    <w:p w:rsidR="00A712E1" w:rsidRPr="00752610" w:rsidRDefault="00A712E1" w:rsidP="00A712E1">
      <w:pPr>
        <w:autoSpaceDE w:val="0"/>
        <w:autoSpaceDN w:val="0"/>
        <w:adjustRightInd w:val="0"/>
        <w:spacing w:before="120" w:after="0" w:line="240" w:lineRule="auto"/>
        <w:ind w:firstLine="709"/>
        <w:jc w:val="both"/>
        <w:rPr>
          <w:szCs w:val="28"/>
        </w:rPr>
      </w:pPr>
      <w:r w:rsidRPr="00752610">
        <w:rPr>
          <w:szCs w:val="28"/>
        </w:rPr>
        <w:t>В 2022 году в рамках стратегии развития электросетевого комплекса Российской Федерации</w:t>
      </w:r>
      <w:r w:rsidR="0005458F">
        <w:rPr>
          <w:szCs w:val="28"/>
        </w:rPr>
        <w:t xml:space="preserve"> (далее – РФ)</w:t>
      </w:r>
      <w:r w:rsidRPr="00752610">
        <w:rPr>
          <w:szCs w:val="28"/>
        </w:rPr>
        <w:t xml:space="preserve">, утвержденной распоряжением </w:t>
      </w:r>
      <w:r w:rsidR="009730BC" w:rsidRPr="00752610">
        <w:rPr>
          <w:szCs w:val="28"/>
        </w:rPr>
        <w:t xml:space="preserve">Правительства </w:t>
      </w:r>
      <w:r w:rsidRPr="00752610">
        <w:rPr>
          <w:szCs w:val="28"/>
        </w:rPr>
        <w:t xml:space="preserve">РФ от 03.04.2013 № 511-р, в целях сокращения степени разрозненности и повышения контроля над территориальными сетевыми организациями (далее – ТСО), постановлением Правительства РФ от 30 апреля 2022 № 807 «О внесении изменений в некоторые акты Правительства Российской Федерации» утверждены изменения, вносимые в </w:t>
      </w:r>
      <w:r>
        <w:rPr>
          <w:szCs w:val="28"/>
        </w:rPr>
        <w:t xml:space="preserve">постановление </w:t>
      </w:r>
      <w:r w:rsidRPr="00D07DA1">
        <w:rPr>
          <w:rFonts w:eastAsia="Calibri"/>
          <w:bCs/>
          <w:szCs w:val="28"/>
        </w:rPr>
        <w:t>Правительства</w:t>
      </w:r>
      <w:r w:rsidRPr="00D07DA1">
        <w:rPr>
          <w:rFonts w:eastAsia="Calibri"/>
          <w:szCs w:val="28"/>
        </w:rPr>
        <w:t xml:space="preserve"> РФ</w:t>
      </w:r>
      <w:r w:rsidRPr="00D07DA1">
        <w:rPr>
          <w:rFonts w:eastAsia="Calibri"/>
          <w:bCs/>
          <w:szCs w:val="28"/>
        </w:rPr>
        <w:t xml:space="preserve"> от 28.02.2015 № 184 «Об отнесении владельцев объектов электросетевого хозяйства к территориальным сетевым организациям</w:t>
      </w:r>
      <w:r w:rsidRPr="008F3DFE">
        <w:rPr>
          <w:rFonts w:eastAsia="Calibri"/>
          <w:bCs/>
          <w:szCs w:val="28"/>
        </w:rPr>
        <w:t xml:space="preserve">» </w:t>
      </w:r>
      <w:r w:rsidRPr="008F3DFE">
        <w:rPr>
          <w:szCs w:val="28"/>
        </w:rPr>
        <w:t>(далее – Постановление № 184), а также в Критерии отнесения владельцев объектов электросетевого хозяйства к территориальным сетевым организациям, утвержденные Постановлением № 184 (далее – Критерии ТСО). Изменения, внесенные в Постановление № 184, уточняют формы владения объектами</w:t>
      </w:r>
      <w:r w:rsidRPr="00752610">
        <w:rPr>
          <w:szCs w:val="28"/>
        </w:rPr>
        <w:t xml:space="preserve"> </w:t>
      </w:r>
      <w:r w:rsidRPr="00752610">
        <w:rPr>
          <w:szCs w:val="28"/>
        </w:rPr>
        <w:lastRenderedPageBreak/>
        <w:t xml:space="preserve">электросетевого хозяйства, не учитываемые при определении соответствия ТСО пунктам 1 и 2 Критериев ТСО. Изменения, внесенные в Критерии ТСО, предусматривают увеличение количественного значения критерия: </w:t>
      </w:r>
    </w:p>
    <w:p w:rsidR="00A712E1" w:rsidRPr="00752610" w:rsidRDefault="00A712E1" w:rsidP="00A712E1">
      <w:pPr>
        <w:autoSpaceDE w:val="0"/>
        <w:autoSpaceDN w:val="0"/>
        <w:adjustRightInd w:val="0"/>
        <w:spacing w:after="0" w:line="240" w:lineRule="auto"/>
        <w:ind w:firstLine="709"/>
        <w:jc w:val="both"/>
        <w:rPr>
          <w:szCs w:val="28"/>
        </w:rPr>
      </w:pPr>
      <w:r w:rsidRPr="00752610">
        <w:rPr>
          <w:szCs w:val="28"/>
        </w:rPr>
        <w:t>- по сумме номинальных мощностей трансформаторных и иных подстанций с установленными силовыми трансформаторами (автотрансформаторами),</w:t>
      </w:r>
      <w:r w:rsidR="009730BC">
        <w:rPr>
          <w:szCs w:val="28"/>
        </w:rPr>
        <w:t xml:space="preserve"> </w:t>
      </w:r>
      <w:r w:rsidRPr="00752610">
        <w:rPr>
          <w:szCs w:val="28"/>
        </w:rPr>
        <w:t>расположенными и используемыми для осуществления регулируемой деятельности;</w:t>
      </w:r>
    </w:p>
    <w:p w:rsidR="00A712E1" w:rsidRPr="00752610" w:rsidRDefault="00A712E1" w:rsidP="00A712E1">
      <w:pPr>
        <w:autoSpaceDE w:val="0"/>
        <w:autoSpaceDN w:val="0"/>
        <w:adjustRightInd w:val="0"/>
        <w:spacing w:after="0" w:line="240" w:lineRule="auto"/>
        <w:ind w:firstLine="709"/>
        <w:jc w:val="both"/>
        <w:rPr>
          <w:szCs w:val="28"/>
        </w:rPr>
      </w:pPr>
      <w:r w:rsidRPr="00752610">
        <w:rPr>
          <w:szCs w:val="28"/>
        </w:rPr>
        <w:t>- по сумме протяженностей линий электропередачи (воздушных и (или) кабельных), расположенных и используемых для осуществления регулируемой деятельности в административных границах субъекта Российской Федерации, непосредственно соединенных с трансформаторными и иными подстанциями, указанными в пункте 1 Критериев ТСО.</w:t>
      </w:r>
    </w:p>
    <w:p w:rsidR="00A712E1" w:rsidRPr="00752610" w:rsidRDefault="00A712E1" w:rsidP="00A712E1">
      <w:pPr>
        <w:autoSpaceDE w:val="0"/>
        <w:autoSpaceDN w:val="0"/>
        <w:adjustRightInd w:val="0"/>
        <w:spacing w:after="0" w:line="240" w:lineRule="auto"/>
        <w:ind w:firstLine="709"/>
        <w:jc w:val="both"/>
        <w:rPr>
          <w:szCs w:val="28"/>
        </w:rPr>
      </w:pPr>
      <w:r w:rsidRPr="00752610">
        <w:rPr>
          <w:szCs w:val="28"/>
        </w:rPr>
        <w:t>Увеличение количественного значения указанных критериев предусмотрено поэтапно в период с 2023 по 2025 гг.</w:t>
      </w:r>
    </w:p>
    <w:p w:rsidR="00A712E1" w:rsidRPr="00752610" w:rsidRDefault="00A712E1" w:rsidP="00A712E1">
      <w:pPr>
        <w:autoSpaceDE w:val="0"/>
        <w:autoSpaceDN w:val="0"/>
        <w:adjustRightInd w:val="0"/>
        <w:spacing w:after="0" w:line="240" w:lineRule="auto"/>
        <w:ind w:firstLine="709"/>
        <w:jc w:val="both"/>
        <w:rPr>
          <w:szCs w:val="28"/>
        </w:rPr>
      </w:pPr>
      <w:r w:rsidRPr="00752610">
        <w:rPr>
          <w:szCs w:val="28"/>
        </w:rPr>
        <w:t>В результате проведенной департаментом экспертизы материалов дел на соответствие регулируемых организаций Критериям ТСО с 1 января 2025 года статуса ТСО лишились 12 организаций: АО «Энергетик», АО «УК «ПЛП»», АО «Аэропорт Толмачево», ООО «ЭСО», МУП г. Новосибирска «НЭСКО»,</w:t>
      </w:r>
      <w:r w:rsidRPr="00752610">
        <w:rPr>
          <w:rFonts w:eastAsia="Times New Roman"/>
          <w:szCs w:val="28"/>
        </w:rPr>
        <w:t xml:space="preserve"> ООО «ПСК», ООО «СИБЭЛС», </w:t>
      </w:r>
      <w:r w:rsidRPr="00752610">
        <w:rPr>
          <w:szCs w:val="28"/>
        </w:rPr>
        <w:t>ООО «СЭТ-54»</w:t>
      </w:r>
      <w:r w:rsidRPr="00752610">
        <w:rPr>
          <w:rFonts w:eastAsia="Times New Roman"/>
          <w:szCs w:val="28"/>
        </w:rPr>
        <w:t>, ООО «ТСП-Сиб», ООО «Энергоресурс», ООО «Энергосети Сибири», МУЭП «Промтехэнерго». Указанным организациям направлены уведомления о несоответствии Критериям ТСО.</w:t>
      </w:r>
    </w:p>
    <w:p w:rsidR="00A712E1" w:rsidRPr="00752610" w:rsidRDefault="00A712E1" w:rsidP="00A712E1">
      <w:pPr>
        <w:autoSpaceDE w:val="0"/>
        <w:autoSpaceDN w:val="0"/>
        <w:adjustRightInd w:val="0"/>
        <w:spacing w:after="0" w:line="240" w:lineRule="auto"/>
        <w:ind w:firstLine="709"/>
        <w:jc w:val="both"/>
        <w:rPr>
          <w:rFonts w:eastAsia="Times New Roman"/>
          <w:szCs w:val="28"/>
        </w:rPr>
      </w:pPr>
      <w:r>
        <w:rPr>
          <w:szCs w:val="28"/>
        </w:rPr>
        <w:t>В</w:t>
      </w:r>
      <w:r w:rsidRPr="00752610">
        <w:rPr>
          <w:szCs w:val="28"/>
        </w:rPr>
        <w:t xml:space="preserve"> 2024 году ООО ИЦ «Сибирьэнергия» переименовано в ООО</w:t>
      </w:r>
      <w:r>
        <w:rPr>
          <w:szCs w:val="28"/>
        </w:rPr>
        <w:t> </w:t>
      </w:r>
      <w:r w:rsidRPr="00752610">
        <w:rPr>
          <w:szCs w:val="28"/>
        </w:rPr>
        <w:t>«СИБЭЛС».</w:t>
      </w:r>
    </w:p>
    <w:p w:rsidR="00A712E1" w:rsidRPr="00752610" w:rsidRDefault="00A712E1" w:rsidP="00A712E1">
      <w:pPr>
        <w:autoSpaceDE w:val="0"/>
        <w:autoSpaceDN w:val="0"/>
        <w:adjustRightInd w:val="0"/>
        <w:spacing w:after="0" w:line="240" w:lineRule="auto"/>
        <w:ind w:firstLine="709"/>
        <w:jc w:val="both"/>
        <w:rPr>
          <w:szCs w:val="28"/>
        </w:rPr>
      </w:pPr>
      <w:r w:rsidRPr="00752610">
        <w:rPr>
          <w:rFonts w:eastAsia="Times New Roman"/>
          <w:szCs w:val="28"/>
        </w:rPr>
        <w:t xml:space="preserve">Таким образом, </w:t>
      </w:r>
      <w:r w:rsidR="009730BC">
        <w:rPr>
          <w:rFonts w:eastAsia="Times New Roman"/>
          <w:szCs w:val="28"/>
        </w:rPr>
        <w:t xml:space="preserve">всего 8 </w:t>
      </w:r>
      <w:r w:rsidRPr="00752610">
        <w:rPr>
          <w:rFonts w:eastAsia="Times New Roman"/>
          <w:szCs w:val="28"/>
        </w:rPr>
        <w:t xml:space="preserve">ТСО </w:t>
      </w:r>
      <w:r w:rsidR="009730BC">
        <w:rPr>
          <w:rFonts w:eastAsia="Times New Roman"/>
          <w:szCs w:val="28"/>
        </w:rPr>
        <w:t xml:space="preserve">смогли выйти на тарифное регулирование </w:t>
      </w:r>
      <w:r w:rsidRPr="00752610">
        <w:rPr>
          <w:rFonts w:eastAsia="Times New Roman"/>
          <w:szCs w:val="28"/>
        </w:rPr>
        <w:t>на 2025 год (</w:t>
      </w:r>
      <w:r w:rsidR="009730BC">
        <w:rPr>
          <w:rFonts w:eastAsia="Times New Roman"/>
          <w:szCs w:val="28"/>
        </w:rPr>
        <w:t>в том числе</w:t>
      </w:r>
      <w:r w:rsidRPr="00752610">
        <w:rPr>
          <w:rFonts w:eastAsia="Times New Roman"/>
          <w:szCs w:val="28"/>
        </w:rPr>
        <w:t xml:space="preserve"> котлодержател</w:t>
      </w:r>
      <w:r w:rsidR="009730BC">
        <w:rPr>
          <w:rFonts w:eastAsia="Times New Roman"/>
          <w:szCs w:val="28"/>
        </w:rPr>
        <w:t>ь</w:t>
      </w:r>
      <w:r w:rsidRPr="00752610">
        <w:rPr>
          <w:rFonts w:eastAsia="Times New Roman"/>
          <w:szCs w:val="28"/>
        </w:rPr>
        <w:t>), что ниже показателя 2024 года на 60,0%.</w:t>
      </w:r>
    </w:p>
    <w:p w:rsidR="00A712E1" w:rsidRPr="00752610" w:rsidRDefault="00A712E1" w:rsidP="00A712E1">
      <w:pPr>
        <w:autoSpaceDE w:val="0"/>
        <w:autoSpaceDN w:val="0"/>
        <w:adjustRightInd w:val="0"/>
        <w:spacing w:after="0" w:line="240" w:lineRule="auto"/>
        <w:jc w:val="both"/>
        <w:rPr>
          <w:szCs w:val="28"/>
        </w:rPr>
      </w:pPr>
      <w:r w:rsidRPr="00752610">
        <w:rPr>
          <w:rFonts w:ascii="Calibri" w:eastAsia="Calibri" w:hAnsi="Calibri"/>
          <w:noProof/>
        </w:rPr>
        <w:drawing>
          <wp:inline distT="0" distB="0" distL="0" distR="0" wp14:anchorId="4D7C9ACA" wp14:editId="404B2035">
            <wp:extent cx="5545931" cy="3238499"/>
            <wp:effectExtent l="0" t="0" r="0" b="635"/>
            <wp:docPr id="264" name="Диаграмма 26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A712E1" w:rsidRPr="00017B45" w:rsidRDefault="00A712E1" w:rsidP="00A712E1">
      <w:pPr>
        <w:spacing w:before="120" w:after="0" w:line="240" w:lineRule="auto"/>
        <w:ind w:firstLine="709"/>
        <w:jc w:val="both"/>
        <w:rPr>
          <w:szCs w:val="28"/>
          <w:u w:val="single"/>
        </w:rPr>
      </w:pPr>
      <w:r w:rsidRPr="00017B45">
        <w:rPr>
          <w:szCs w:val="28"/>
          <w:u w:val="single"/>
        </w:rPr>
        <w:lastRenderedPageBreak/>
        <w:t>Установление долгосрочных параметров регулирования, необходимой валовой выручки и индивидуальных тарифов для территориальных сетевых организаций на новый долгосрочный период регулирования 2025 – 2029 гг.</w:t>
      </w:r>
    </w:p>
    <w:p w:rsidR="00A712E1" w:rsidRPr="00752610" w:rsidRDefault="00A712E1" w:rsidP="00A712E1">
      <w:pPr>
        <w:spacing w:after="0" w:line="240" w:lineRule="auto"/>
        <w:ind w:firstLine="709"/>
        <w:jc w:val="both"/>
        <w:rPr>
          <w:szCs w:val="28"/>
        </w:rPr>
      </w:pPr>
      <w:r w:rsidRPr="00752610">
        <w:rPr>
          <w:szCs w:val="28"/>
        </w:rPr>
        <w:t>В 2024 году с заявлением об установлении индивидуальных тарифов на услугу по передаче электрической энергии на новый долгосрочный период регулирования 2025 – 2029 гг. обратилось 3 организации: Западно-Сибирская дирекция по энергообеспечению - структурное подразделение Трансэнерго - филиала ОАО «Российские железные дороги», ФГУП «Управление энергетики и водоснабжения»</w:t>
      </w:r>
      <w:r>
        <w:rPr>
          <w:rFonts w:eastAsia="Times New Roman"/>
          <w:szCs w:val="28"/>
        </w:rPr>
        <w:t>, А</w:t>
      </w:r>
      <w:r w:rsidR="009730BC">
        <w:rPr>
          <w:rFonts w:eastAsia="Times New Roman"/>
          <w:szCs w:val="28"/>
        </w:rPr>
        <w:t>О</w:t>
      </w:r>
      <w:r>
        <w:rPr>
          <w:rFonts w:eastAsia="Times New Roman"/>
          <w:szCs w:val="28"/>
        </w:rPr>
        <w:t xml:space="preserve"> «Оборонэнерго» в лице филиала «Забайкальский».</w:t>
      </w:r>
    </w:p>
    <w:p w:rsidR="00A712E1" w:rsidRPr="00752610" w:rsidRDefault="00A712E1" w:rsidP="00A712E1">
      <w:pPr>
        <w:spacing w:after="0" w:line="240" w:lineRule="auto"/>
        <w:ind w:firstLine="709"/>
        <w:jc w:val="both"/>
        <w:rPr>
          <w:szCs w:val="28"/>
        </w:rPr>
      </w:pPr>
      <w:r w:rsidRPr="00752610">
        <w:rPr>
          <w:szCs w:val="28"/>
        </w:rPr>
        <w:t>Департаментом открыто 3 дела об установлении цен (тарифов) на услугу по передаче электрической энергии, по которым приняты решения об установлении долгосрочных параметров регулирования, необходимой валовой выручки без учета оплаты потерь и индивидуальных тарифов (приказы департамента по тарифам НСО от 02.12.2024 №322-ЭЭ/НПА, от 02.12.2024 №323-ЭЭ/НПА)</w:t>
      </w:r>
      <w:r w:rsidRPr="00752610">
        <w:rPr>
          <w:rFonts w:eastAsia="Times New Roman"/>
          <w:szCs w:val="28"/>
        </w:rPr>
        <w:t>.</w:t>
      </w:r>
    </w:p>
    <w:p w:rsidR="00A712E1" w:rsidRPr="00017B45" w:rsidRDefault="00A712E1" w:rsidP="00A712E1">
      <w:pPr>
        <w:autoSpaceDE w:val="0"/>
        <w:autoSpaceDN w:val="0"/>
        <w:adjustRightInd w:val="0"/>
        <w:spacing w:before="120" w:after="0" w:line="240" w:lineRule="auto"/>
        <w:ind w:firstLine="709"/>
        <w:jc w:val="both"/>
        <w:rPr>
          <w:rFonts w:eastAsia="Times New Roman"/>
          <w:bCs/>
          <w:iCs/>
          <w:color w:val="000000"/>
          <w:szCs w:val="28"/>
          <w:u w:val="single"/>
        </w:rPr>
      </w:pPr>
      <w:r w:rsidRPr="00017B45">
        <w:rPr>
          <w:rFonts w:eastAsia="Times New Roman"/>
          <w:bCs/>
          <w:iCs/>
          <w:color w:val="000000"/>
          <w:szCs w:val="28"/>
          <w:u w:val="single"/>
        </w:rPr>
        <w:t>Пересмотр уровня потерь электрической энергии</w:t>
      </w:r>
    </w:p>
    <w:p w:rsidR="00A712E1" w:rsidRPr="00752610" w:rsidRDefault="00A712E1" w:rsidP="00A712E1">
      <w:pPr>
        <w:autoSpaceDE w:val="0"/>
        <w:autoSpaceDN w:val="0"/>
        <w:adjustRightInd w:val="0"/>
        <w:spacing w:after="0" w:line="240" w:lineRule="auto"/>
        <w:ind w:firstLine="709"/>
        <w:jc w:val="both"/>
        <w:rPr>
          <w:rFonts w:ascii="Times New Roman CYR" w:hAnsi="Times New Roman CYR" w:cs="Times New Roman CYR"/>
          <w:szCs w:val="28"/>
        </w:rPr>
      </w:pPr>
      <w:r w:rsidRPr="00752610">
        <w:rPr>
          <w:rFonts w:ascii="Times New Roman CYR" w:hAnsi="Times New Roman CYR" w:cs="Times New Roman CYR"/>
          <w:szCs w:val="28"/>
        </w:rPr>
        <w:t>В связи со вступлением с 19.11.2024 изменений в Основы ценообразования</w:t>
      </w:r>
      <w:r>
        <w:rPr>
          <w:rFonts w:ascii="Times New Roman CYR" w:hAnsi="Times New Roman CYR" w:cs="Times New Roman CYR"/>
          <w:szCs w:val="28"/>
        </w:rPr>
        <w:t xml:space="preserve"> № 1178</w:t>
      </w:r>
      <w:r w:rsidRPr="00752610">
        <w:rPr>
          <w:rFonts w:ascii="Times New Roman CYR" w:hAnsi="Times New Roman CYR" w:cs="Times New Roman CYR"/>
          <w:szCs w:val="28"/>
        </w:rPr>
        <w:t xml:space="preserve">, внесенных постановлением Правительства РФ от 19.11.2024 № 1581, согласно которым в соответствии с абзацем 21 пункта 12 Основ ценообразования </w:t>
      </w:r>
      <w:r>
        <w:rPr>
          <w:rFonts w:ascii="Times New Roman CYR" w:hAnsi="Times New Roman CYR" w:cs="Times New Roman CYR"/>
          <w:szCs w:val="28"/>
        </w:rPr>
        <w:t xml:space="preserve">№ 1178 </w:t>
      </w:r>
      <w:r w:rsidRPr="00752610">
        <w:rPr>
          <w:rFonts w:ascii="Times New Roman CYR" w:hAnsi="Times New Roman CYR" w:cs="Times New Roman CYR"/>
          <w:szCs w:val="28"/>
        </w:rPr>
        <w:t>уровень потерь электрической энергии при ее передаче по электрическим сетям территориальной сетевой организации пересматривается в случае изменения суммарной величины отпуска электрической энергии в электрические сети такой организации на 20 и более процентов величины, учтенной при установлении цен (тарифов) на услуги по передаче электрической энергии на первый год долгосрочного периода регулирования или на очередной год долгосрочного периода регулирования после пересмотра уровня потерь электрической энергии при ее передаче по электрическим сетям в соответствии с настоящим абзацем.</w:t>
      </w:r>
    </w:p>
    <w:p w:rsidR="00A712E1" w:rsidRPr="00752610" w:rsidRDefault="00A712E1" w:rsidP="00A712E1">
      <w:pPr>
        <w:autoSpaceDE w:val="0"/>
        <w:autoSpaceDN w:val="0"/>
        <w:adjustRightInd w:val="0"/>
        <w:spacing w:after="0" w:line="240" w:lineRule="auto"/>
        <w:ind w:firstLine="709"/>
        <w:jc w:val="both"/>
        <w:rPr>
          <w:rFonts w:ascii="Times New Roman CYR" w:hAnsi="Times New Roman CYR" w:cs="Times New Roman CYR"/>
          <w:szCs w:val="28"/>
        </w:rPr>
      </w:pPr>
      <w:r w:rsidRPr="00752610">
        <w:rPr>
          <w:rFonts w:ascii="Times New Roman CYR" w:hAnsi="Times New Roman CYR" w:cs="Times New Roman CYR"/>
          <w:szCs w:val="28"/>
        </w:rPr>
        <w:t xml:space="preserve">Письмом </w:t>
      </w:r>
      <w:r w:rsidR="009730BC" w:rsidRPr="00752610">
        <w:rPr>
          <w:rFonts w:ascii="Times New Roman CYR" w:hAnsi="Times New Roman CYR" w:cs="Times New Roman CYR"/>
          <w:szCs w:val="28"/>
        </w:rPr>
        <w:t xml:space="preserve">ФАС России </w:t>
      </w:r>
      <w:r w:rsidRPr="00752610">
        <w:rPr>
          <w:rFonts w:ascii="Times New Roman CYR" w:hAnsi="Times New Roman CYR" w:cs="Times New Roman CYR"/>
          <w:szCs w:val="28"/>
        </w:rPr>
        <w:t>от 20.11.2024 № ГМ/106077/24 сообщило об обязательности исполнения указанных изменений при установлении тарифов на услуги по передаче электрической энергии на 2025 год.</w:t>
      </w:r>
    </w:p>
    <w:p w:rsidR="00A712E1" w:rsidRPr="00752610" w:rsidRDefault="00A712E1" w:rsidP="00A712E1">
      <w:pPr>
        <w:autoSpaceDE w:val="0"/>
        <w:autoSpaceDN w:val="0"/>
        <w:adjustRightInd w:val="0"/>
        <w:spacing w:after="0" w:line="240" w:lineRule="auto"/>
        <w:ind w:firstLine="709"/>
        <w:jc w:val="both"/>
        <w:rPr>
          <w:rFonts w:ascii="Times New Roman CYR" w:hAnsi="Times New Roman CYR" w:cs="Times New Roman CYR"/>
          <w:szCs w:val="28"/>
        </w:rPr>
      </w:pPr>
      <w:r w:rsidRPr="00752610">
        <w:rPr>
          <w:rFonts w:ascii="Times New Roman CYR" w:hAnsi="Times New Roman CYR" w:cs="Times New Roman CYR"/>
          <w:szCs w:val="28"/>
        </w:rPr>
        <w:t>В результате для 4 ТСО (ООО «НГСК», ООО «СИБЭЛС», ООО «ЭНЕРГОТРАНЗИТ», ООО «НРСК-Сибирь») департаментом произведен пересмотр уровня потерь электрической энергии, установленного ранее на соответствующий период регулирования (приказы департамента по тарифам НСО от 02.12.2024 №320-ЭЭ/НПА, от 09.12.2024 №335-ЭЭ/НПА).</w:t>
      </w:r>
    </w:p>
    <w:p w:rsidR="00A712E1" w:rsidRPr="00017B45" w:rsidRDefault="00A712E1" w:rsidP="00A712E1">
      <w:pPr>
        <w:spacing w:before="120" w:after="0" w:line="240" w:lineRule="auto"/>
        <w:ind w:firstLine="709"/>
        <w:jc w:val="both"/>
        <w:rPr>
          <w:szCs w:val="28"/>
          <w:u w:val="single"/>
        </w:rPr>
      </w:pPr>
      <w:r w:rsidRPr="00017B45">
        <w:rPr>
          <w:szCs w:val="28"/>
          <w:u w:val="single"/>
        </w:rPr>
        <w:t>Корректировка необходимой валовой выручки и индивидуальных тарифов на услугу по передаче электрической энергии на 2025 год</w:t>
      </w:r>
    </w:p>
    <w:p w:rsidR="00A712E1" w:rsidRPr="00752610" w:rsidRDefault="00A712E1" w:rsidP="00A712E1">
      <w:pPr>
        <w:spacing w:after="0" w:line="240" w:lineRule="auto"/>
        <w:ind w:firstLine="709"/>
        <w:jc w:val="both"/>
        <w:rPr>
          <w:szCs w:val="28"/>
        </w:rPr>
      </w:pPr>
      <w:r w:rsidRPr="00752610">
        <w:rPr>
          <w:szCs w:val="28"/>
        </w:rPr>
        <w:t>В рамках дел об установлении НВВ и индивидуальных тарифов на услугу по передаче электрической энергии на долгосрочные периоды (2021 – 2025 гг., 2023 – 2027 гг.) в соответствии с п. 38 Основ ценообразования</w:t>
      </w:r>
      <w:r>
        <w:rPr>
          <w:szCs w:val="28"/>
        </w:rPr>
        <w:t xml:space="preserve"> № 1178</w:t>
      </w:r>
      <w:r w:rsidRPr="00752610">
        <w:rPr>
          <w:szCs w:val="28"/>
        </w:rPr>
        <w:t xml:space="preserve">, на основании Методических указаний </w:t>
      </w:r>
      <w:r w:rsidRPr="00736A42">
        <w:rPr>
          <w:szCs w:val="28"/>
        </w:rPr>
        <w:t>№ 98-э,</w:t>
      </w:r>
      <w:r w:rsidRPr="00752610">
        <w:rPr>
          <w:szCs w:val="28"/>
        </w:rPr>
        <w:t xml:space="preserve"> для 4 ТСО </w:t>
      </w:r>
      <w:r w:rsidRPr="00752610">
        <w:rPr>
          <w:rFonts w:ascii="Times New Roman CYR" w:hAnsi="Times New Roman CYR" w:cs="Times New Roman CYR"/>
          <w:szCs w:val="28"/>
        </w:rPr>
        <w:t>(ООО «НГСК», ООО «СИБЭЛС», ООО «ЭНЕРГОТРАНЗИТ», ООО «НРСК-</w:t>
      </w:r>
      <w:r w:rsidRPr="00752610">
        <w:rPr>
          <w:rFonts w:ascii="Times New Roman CYR" w:hAnsi="Times New Roman CYR" w:cs="Times New Roman CYR"/>
          <w:szCs w:val="28"/>
        </w:rPr>
        <w:lastRenderedPageBreak/>
        <w:t xml:space="preserve">Сибирь») </w:t>
      </w:r>
      <w:r w:rsidRPr="00752610">
        <w:rPr>
          <w:szCs w:val="28"/>
        </w:rPr>
        <w:t>произведена корректировка НВВ и индивидуальных тарифов на 2025 год (приказы департамента по тарифам НСО от 02.12.2024 № 321-ЭЭ/НПА, от 09.12.2024 № 336-ЭЭ/НПА).</w:t>
      </w:r>
    </w:p>
    <w:p w:rsidR="00A712E1" w:rsidRPr="00017B45" w:rsidRDefault="00A712E1" w:rsidP="00A712E1">
      <w:pPr>
        <w:spacing w:before="120" w:after="0" w:line="240" w:lineRule="auto"/>
        <w:ind w:firstLine="709"/>
        <w:jc w:val="both"/>
        <w:rPr>
          <w:szCs w:val="28"/>
          <w:u w:val="single"/>
        </w:rPr>
      </w:pPr>
      <w:r w:rsidRPr="00017B45">
        <w:rPr>
          <w:szCs w:val="28"/>
          <w:u w:val="single"/>
        </w:rPr>
        <w:t>Результаты установления (корректировки) необходимой валовой выручки смежных ТСО на 2025 год</w:t>
      </w:r>
    </w:p>
    <w:p w:rsidR="00A712E1" w:rsidRPr="00752610" w:rsidRDefault="00A712E1" w:rsidP="00A712E1">
      <w:pPr>
        <w:spacing w:before="120" w:after="0" w:line="240" w:lineRule="auto"/>
        <w:ind w:firstLine="709"/>
        <w:jc w:val="both"/>
        <w:rPr>
          <w:szCs w:val="28"/>
        </w:rPr>
      </w:pPr>
      <w:r w:rsidRPr="00752610">
        <w:rPr>
          <w:szCs w:val="28"/>
        </w:rPr>
        <w:t>Величина НВВ смежных сетевых организаций без учета расходов на оплату потерь, учтенная при утверждении (расчете) единых котловых тарифов на услуги по передаче электрической энергии, на 2025 год составила 1 380 646,8 тыс. руб., что ниже показателя 2024 года на 21,4%.</w:t>
      </w:r>
    </w:p>
    <w:p w:rsidR="00A712E1" w:rsidRPr="00752610" w:rsidRDefault="00A712E1" w:rsidP="00A712E1">
      <w:pPr>
        <w:spacing w:after="0" w:line="240" w:lineRule="auto"/>
        <w:rPr>
          <w:szCs w:val="28"/>
        </w:rPr>
      </w:pPr>
      <w:r w:rsidRPr="00752610">
        <w:rPr>
          <w:rFonts w:ascii="Calibri" w:eastAsia="Calibri" w:hAnsi="Calibri"/>
          <w:noProof/>
        </w:rPr>
        <w:drawing>
          <wp:inline distT="0" distB="0" distL="0" distR="0" wp14:anchorId="1D1F6F84" wp14:editId="5A05E1C2">
            <wp:extent cx="5931673" cy="3037398"/>
            <wp:effectExtent l="0" t="0" r="0" b="10795"/>
            <wp:docPr id="265" name="Диаграмма 26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A712E1" w:rsidRPr="00752610" w:rsidRDefault="00A712E1" w:rsidP="00A712E1">
      <w:pPr>
        <w:suppressAutoHyphens/>
        <w:spacing w:after="0" w:line="240" w:lineRule="auto"/>
        <w:ind w:firstLine="720"/>
        <w:jc w:val="both"/>
        <w:rPr>
          <w:szCs w:val="28"/>
        </w:rPr>
      </w:pPr>
      <w:r w:rsidRPr="00752610">
        <w:rPr>
          <w:szCs w:val="28"/>
        </w:rPr>
        <w:t>Из представленных на графике данных видно, что существенный прирост НВВ смежных сетевых организаций без учета оплаты потерь на 49,1% произошел в 2019 году, что главным образом обусловлено включением в состав выручки расходов на оплату услуг ПАО «ФСК-Россети» по 11 ТСО</w:t>
      </w:r>
      <w:r w:rsidRPr="00752610">
        <w:rPr>
          <w:rFonts w:eastAsia="Times New Roman"/>
          <w:sz w:val="24"/>
        </w:rPr>
        <w:t xml:space="preserve">: </w:t>
      </w:r>
      <w:r w:rsidRPr="00752610">
        <w:rPr>
          <w:szCs w:val="28"/>
        </w:rPr>
        <w:t>ОАО</w:t>
      </w:r>
      <w:r>
        <w:rPr>
          <w:szCs w:val="28"/>
        </w:rPr>
        <w:t> </w:t>
      </w:r>
      <w:r w:rsidRPr="00752610">
        <w:rPr>
          <w:szCs w:val="28"/>
        </w:rPr>
        <w:t>«Российские железные дороги» в лице Западно-Сибирской дирекции по энергообеспечению – структурного подразделения Трансэнерго – филиала ОАО</w:t>
      </w:r>
      <w:r>
        <w:rPr>
          <w:szCs w:val="28"/>
        </w:rPr>
        <w:t> </w:t>
      </w:r>
      <w:r w:rsidRPr="00752610">
        <w:rPr>
          <w:szCs w:val="28"/>
        </w:rPr>
        <w:t>«РЖД», ФГУП «Управление энергетики и водоснабжения», ООО «НЗХК-Энергия», ООО «Новосибирская городская сетевая компания», АО</w:t>
      </w:r>
      <w:r>
        <w:rPr>
          <w:szCs w:val="28"/>
        </w:rPr>
        <w:t> </w:t>
      </w:r>
      <w:r w:rsidRPr="00752610">
        <w:rPr>
          <w:szCs w:val="28"/>
        </w:rPr>
        <w:t xml:space="preserve">«Управляющая компания «Промышленно-логистический парк», </w:t>
      </w:r>
      <w:r w:rsidRPr="00752610">
        <w:rPr>
          <w:rFonts w:eastAsia="Times New Roman"/>
          <w:szCs w:val="28"/>
        </w:rPr>
        <w:t>ООО</w:t>
      </w:r>
      <w:r>
        <w:rPr>
          <w:rFonts w:eastAsia="Times New Roman"/>
          <w:szCs w:val="28"/>
        </w:rPr>
        <w:t> </w:t>
      </w:r>
      <w:r w:rsidRPr="00752610">
        <w:rPr>
          <w:rFonts w:eastAsia="Times New Roman"/>
          <w:szCs w:val="28"/>
        </w:rPr>
        <w:t xml:space="preserve">«Энергосети Сибири», </w:t>
      </w:r>
      <w:r w:rsidRPr="00752610">
        <w:rPr>
          <w:szCs w:val="28"/>
        </w:rPr>
        <w:t>ООО «Энергоресурс», ООО «Сибирские электросети», ООО «Сервис групп», НПО «Элсиб» ПАО, ООО</w:t>
      </w:r>
      <w:r>
        <w:rPr>
          <w:szCs w:val="28"/>
        </w:rPr>
        <w:t> </w:t>
      </w:r>
      <w:r w:rsidRPr="00752610">
        <w:rPr>
          <w:szCs w:val="28"/>
        </w:rPr>
        <w:t xml:space="preserve">«Энерготранзит». </w:t>
      </w:r>
    </w:p>
    <w:p w:rsidR="00A712E1" w:rsidRPr="00752610" w:rsidRDefault="00A712E1" w:rsidP="00A712E1">
      <w:pPr>
        <w:autoSpaceDE w:val="0"/>
        <w:autoSpaceDN w:val="0"/>
        <w:adjustRightInd w:val="0"/>
        <w:spacing w:after="0" w:line="240" w:lineRule="auto"/>
        <w:ind w:firstLine="709"/>
        <w:jc w:val="both"/>
        <w:rPr>
          <w:szCs w:val="28"/>
        </w:rPr>
      </w:pPr>
      <w:r w:rsidRPr="00752610">
        <w:rPr>
          <w:szCs w:val="28"/>
        </w:rPr>
        <w:t xml:space="preserve">В соответствии с Федеральным законом от 13.07.2024 № 185-ФЗ «О внесении изменений в Федеральный закон «Об электроэнергетике» и отдельные законодательные акты Российской Федерации» с 01.09.2024 организация по управлению единой национальной (общероссийской) электрической сетью не оказывает на возмездной договорной основе услуги по передаче электрической энергии по единой национальной (общероссийской) электрической сети территориальным сетевым </w:t>
      </w:r>
      <w:r w:rsidRPr="00752610">
        <w:rPr>
          <w:szCs w:val="28"/>
        </w:rPr>
        <w:lastRenderedPageBreak/>
        <w:t xml:space="preserve">организациям. Расходы на оплату услуг ПАО «ФСК-Россети» на 2025 год в полном объеме учтены в НВВ котлодержателя.  </w:t>
      </w:r>
    </w:p>
    <w:p w:rsidR="00A712E1" w:rsidRPr="00752610" w:rsidRDefault="00A712E1" w:rsidP="00A712E1">
      <w:pPr>
        <w:tabs>
          <w:tab w:val="left" w:pos="1177"/>
        </w:tabs>
        <w:spacing w:after="0" w:line="240" w:lineRule="auto"/>
        <w:ind w:firstLine="709"/>
        <w:jc w:val="both"/>
        <w:rPr>
          <w:szCs w:val="28"/>
        </w:rPr>
      </w:pPr>
      <w:r w:rsidRPr="00752610">
        <w:rPr>
          <w:szCs w:val="28"/>
        </w:rPr>
        <w:t>Рост необходимой валовой выручки на содержание объектов электросетевого хозяйства в 2025 году произошел за счет увеличения величины выпадающих доходов (корректировок НВВ по результатам анализа за отчетный период) в 2,5 раза.</w:t>
      </w:r>
    </w:p>
    <w:p w:rsidR="00A712E1" w:rsidRPr="00752610" w:rsidRDefault="00A712E1" w:rsidP="00A712E1">
      <w:pPr>
        <w:tabs>
          <w:tab w:val="left" w:pos="1177"/>
        </w:tabs>
        <w:spacing w:after="0" w:line="240" w:lineRule="auto"/>
        <w:ind w:firstLine="709"/>
        <w:jc w:val="both"/>
        <w:rPr>
          <w:szCs w:val="28"/>
        </w:rPr>
      </w:pPr>
      <w:r w:rsidRPr="00752610">
        <w:rPr>
          <w:szCs w:val="28"/>
        </w:rPr>
        <w:t>При корректировке необходимой валовой выручки на содержание объектов электросетевого хозяйства на 2025 год общая сумма корректировок по результатам анализа финансово-хозяйственной деятельности организаций в 2023 году сложилась на положительном уровне и составила 51 329,0 тыс. руб., в том числе:</w:t>
      </w:r>
    </w:p>
    <w:p w:rsidR="00A712E1" w:rsidRPr="00017B45" w:rsidRDefault="00A712E1" w:rsidP="00A712E1">
      <w:pPr>
        <w:tabs>
          <w:tab w:val="left" w:pos="1177"/>
        </w:tabs>
        <w:spacing w:after="0" w:line="240" w:lineRule="auto"/>
        <w:ind w:firstLine="709"/>
        <w:jc w:val="both"/>
        <w:rPr>
          <w:i/>
          <w:szCs w:val="28"/>
          <w:u w:val="single"/>
        </w:rPr>
      </w:pPr>
      <w:r w:rsidRPr="00017B45">
        <w:rPr>
          <w:i/>
          <w:szCs w:val="28"/>
          <w:u w:val="single"/>
        </w:rPr>
        <w:t>сумма возмещений составила 136 540,1 тыс. руб. в результате:</w:t>
      </w:r>
    </w:p>
    <w:p w:rsidR="00A712E1" w:rsidRPr="00752610" w:rsidRDefault="00A712E1" w:rsidP="00A712E1">
      <w:pPr>
        <w:tabs>
          <w:tab w:val="left" w:pos="1177"/>
        </w:tabs>
        <w:spacing w:after="0" w:line="240" w:lineRule="auto"/>
        <w:ind w:firstLine="709"/>
        <w:jc w:val="both"/>
        <w:rPr>
          <w:szCs w:val="28"/>
        </w:rPr>
      </w:pPr>
      <w:r w:rsidRPr="00752610">
        <w:rPr>
          <w:szCs w:val="28"/>
        </w:rPr>
        <w:t xml:space="preserve">- корректировки выручки по доходам 19 994,1 тыс. руб.; </w:t>
      </w:r>
    </w:p>
    <w:p w:rsidR="00A712E1" w:rsidRPr="00752610" w:rsidRDefault="00A712E1" w:rsidP="00A712E1">
      <w:pPr>
        <w:tabs>
          <w:tab w:val="left" w:pos="1177"/>
        </w:tabs>
        <w:spacing w:after="0" w:line="240" w:lineRule="auto"/>
        <w:ind w:firstLine="709"/>
        <w:jc w:val="both"/>
        <w:rPr>
          <w:szCs w:val="28"/>
        </w:rPr>
      </w:pPr>
      <w:r w:rsidRPr="00752610">
        <w:rPr>
          <w:szCs w:val="28"/>
        </w:rPr>
        <w:t>- возмещения экономически обоснованных расходов, выявленных на основании бухгалтерской и статистической отчетности,  в размере 62 055,3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 корректировки по результатам исполнения мероприятий инвестиционной программы за 2022 и 2023 гг. 61,8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 сохранения экономии на оплату потерь 45 207,2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 компенсации выпадающих доходов по технологическому присоединению 4 284,7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 корректировки НВВ с учётом повышающего коэффициента (КНКi) 4 936,9 тыс. руб.</w:t>
      </w:r>
    </w:p>
    <w:p w:rsidR="00A712E1" w:rsidRPr="00017B45" w:rsidRDefault="00A712E1" w:rsidP="00A712E1">
      <w:pPr>
        <w:tabs>
          <w:tab w:val="left" w:pos="1177"/>
        </w:tabs>
        <w:spacing w:after="0" w:line="240" w:lineRule="auto"/>
        <w:ind w:firstLine="709"/>
        <w:jc w:val="both"/>
        <w:rPr>
          <w:i/>
          <w:szCs w:val="28"/>
          <w:u w:val="single"/>
        </w:rPr>
      </w:pPr>
      <w:r w:rsidRPr="00017B45">
        <w:rPr>
          <w:i/>
          <w:szCs w:val="28"/>
          <w:u w:val="single"/>
        </w:rPr>
        <w:t>сумма изъятий составила 85 211,1 тыс. руб. в результате:</w:t>
      </w:r>
    </w:p>
    <w:p w:rsidR="00A712E1" w:rsidRPr="00752610" w:rsidRDefault="00A712E1" w:rsidP="00A712E1">
      <w:pPr>
        <w:tabs>
          <w:tab w:val="left" w:pos="1177"/>
        </w:tabs>
        <w:spacing w:after="0" w:line="240" w:lineRule="auto"/>
        <w:ind w:firstLine="709"/>
        <w:jc w:val="both"/>
        <w:rPr>
          <w:szCs w:val="28"/>
        </w:rPr>
      </w:pPr>
      <w:r w:rsidRPr="00752610">
        <w:rPr>
          <w:szCs w:val="28"/>
        </w:rPr>
        <w:t>- корректировки НВВ с учетом изменения полезного отпуска и цен на электрическую энергию 61 829,9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 недоиспользования расходов по статьям затрат, учтенным при установлении (корректировке) регулируемых цен (тарифов), но фактически не понесенных расходов 23 381,3 тыс. руб.</w:t>
      </w:r>
    </w:p>
    <w:p w:rsidR="00A712E1" w:rsidRPr="00752610" w:rsidRDefault="00A712E1" w:rsidP="00A712E1">
      <w:pPr>
        <w:tabs>
          <w:tab w:val="left" w:pos="1177"/>
        </w:tabs>
        <w:spacing w:after="0" w:line="240" w:lineRule="auto"/>
        <w:ind w:firstLine="709"/>
        <w:jc w:val="both"/>
        <w:rPr>
          <w:szCs w:val="28"/>
        </w:rPr>
      </w:pPr>
      <w:r w:rsidRPr="00752610">
        <w:rPr>
          <w:szCs w:val="28"/>
        </w:rPr>
        <w:t>Ниже представлена структура НВВ смежных ТСО без учета оплаты потерь в 2024 и 2025 годах.</w:t>
      </w:r>
    </w:p>
    <w:p w:rsidR="00A712E1" w:rsidRPr="00193C1F" w:rsidRDefault="00A712E1" w:rsidP="00A712E1">
      <w:pPr>
        <w:tabs>
          <w:tab w:val="left" w:pos="1177"/>
        </w:tabs>
        <w:spacing w:after="0" w:line="240" w:lineRule="auto"/>
        <w:ind w:firstLine="709"/>
        <w:jc w:val="both"/>
        <w:rPr>
          <w:szCs w:val="28"/>
          <w:lang w:val="en-US"/>
        </w:rPr>
      </w:pPr>
      <w:r w:rsidRPr="00752610">
        <w:rPr>
          <w:rFonts w:ascii="Calibri" w:eastAsia="Calibri" w:hAnsi="Calibri"/>
          <w:noProof/>
        </w:rPr>
        <w:drawing>
          <wp:inline distT="0" distB="0" distL="0" distR="0" wp14:anchorId="2EB2C245" wp14:editId="1AD38F09">
            <wp:extent cx="4866198" cy="2830665"/>
            <wp:effectExtent l="0" t="0" r="0" b="8255"/>
            <wp:docPr id="266" name="Диаграмма 26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A712E1" w:rsidRPr="00752610" w:rsidRDefault="00A712E1" w:rsidP="00A712E1">
      <w:pPr>
        <w:tabs>
          <w:tab w:val="left" w:pos="1177"/>
        </w:tabs>
        <w:spacing w:after="0" w:line="240" w:lineRule="auto"/>
        <w:ind w:firstLine="709"/>
        <w:jc w:val="both"/>
        <w:rPr>
          <w:szCs w:val="28"/>
        </w:rPr>
      </w:pPr>
      <w:r w:rsidRPr="00752610">
        <w:rPr>
          <w:rFonts w:ascii="Calibri" w:eastAsia="Calibri" w:hAnsi="Calibri"/>
          <w:noProof/>
        </w:rPr>
        <w:lastRenderedPageBreak/>
        <w:drawing>
          <wp:inline distT="0" distB="0" distL="0" distR="0" wp14:anchorId="41230810" wp14:editId="77F925B3">
            <wp:extent cx="4810539" cy="2647784"/>
            <wp:effectExtent l="0" t="0" r="9525" b="635"/>
            <wp:docPr id="271" name="Диаграмма 27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A712E1" w:rsidRPr="00752610" w:rsidRDefault="00A712E1" w:rsidP="00A712E1">
      <w:pPr>
        <w:tabs>
          <w:tab w:val="left" w:pos="1177"/>
        </w:tabs>
        <w:spacing w:after="0" w:line="240" w:lineRule="auto"/>
        <w:ind w:firstLine="709"/>
        <w:jc w:val="both"/>
        <w:rPr>
          <w:szCs w:val="28"/>
        </w:rPr>
      </w:pPr>
      <w:r w:rsidRPr="00752610">
        <w:rPr>
          <w:szCs w:val="28"/>
        </w:rPr>
        <w:t>Величина корректировок в 2024 и 2025 годах сложилась на положительном уровне и составила 1,1% и 3,7%, соответственно, от общего объема НВВ смежных ТСО без учета оплаты потерь. Удельный вес подконтрольных расходов в структуре НВВ незначительно изменился и составил в 2024 году – 38,1%,  в 2025 году – 49,2%. Величина неподконтрольных расходов в структуре НВВ снизилась в 2025 году по отношению к 2024 году и составила 47,1%, что ниже показателя 2024 года на 13,6%. В результате перераспределения доля подконтрольных расходов на 2,1% превышает долю неподконтрольных расходов.</w:t>
      </w:r>
    </w:p>
    <w:p w:rsidR="00A712E1" w:rsidRPr="00752610" w:rsidRDefault="00A712E1" w:rsidP="00A712E1">
      <w:pPr>
        <w:tabs>
          <w:tab w:val="left" w:pos="1177"/>
        </w:tabs>
        <w:spacing w:after="0" w:line="240" w:lineRule="auto"/>
        <w:rPr>
          <w:szCs w:val="28"/>
          <w:highlight w:val="yellow"/>
        </w:rPr>
      </w:pPr>
      <w:r w:rsidRPr="00752610">
        <w:rPr>
          <w:rFonts w:ascii="Calibri" w:eastAsia="Calibri" w:hAnsi="Calibri"/>
          <w:noProof/>
        </w:rPr>
        <w:drawing>
          <wp:inline distT="0" distB="0" distL="0" distR="0" wp14:anchorId="2C2846B4" wp14:editId="202D38D7">
            <wp:extent cx="4595854" cy="2830664"/>
            <wp:effectExtent l="0" t="0" r="0" b="27305"/>
            <wp:docPr id="273" name="Диаграмма 27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A712E1" w:rsidRPr="00752610" w:rsidRDefault="00A712E1" w:rsidP="00A712E1">
      <w:pPr>
        <w:spacing w:after="0" w:line="240" w:lineRule="auto"/>
        <w:ind w:firstLine="567"/>
        <w:jc w:val="both"/>
        <w:rPr>
          <w:rFonts w:eastAsia="Calibri"/>
          <w:szCs w:val="28"/>
        </w:rPr>
      </w:pPr>
      <w:r w:rsidRPr="00752610">
        <w:rPr>
          <w:rFonts w:eastAsia="Calibri"/>
          <w:szCs w:val="28"/>
        </w:rPr>
        <w:t>Учитывая, что право владения по ряду объектов электросетевого хозяйства ТСО с низким уровнем подконтрольных расходов, несоответствующих на 2025 год Критериям ТСО, перешло сетевым организациям с более высоким уровнем подконтрольных расходов,  произошел рост расходов на содержание 1 условной единицы объектов электросетевого хозяйства в 2025 году относительно 2024 года.</w:t>
      </w:r>
    </w:p>
    <w:p w:rsidR="00A712E1" w:rsidRPr="00752610" w:rsidRDefault="00A712E1" w:rsidP="00A712E1">
      <w:pPr>
        <w:tabs>
          <w:tab w:val="left" w:pos="1177"/>
        </w:tabs>
        <w:spacing w:after="0" w:line="240" w:lineRule="auto"/>
        <w:ind w:firstLine="709"/>
        <w:jc w:val="both"/>
        <w:rPr>
          <w:szCs w:val="28"/>
          <w:highlight w:val="yellow"/>
        </w:rPr>
      </w:pPr>
      <w:r w:rsidRPr="00752610">
        <w:rPr>
          <w:rFonts w:ascii="Calibri" w:eastAsia="Calibri" w:hAnsi="Calibri"/>
          <w:noProof/>
        </w:rPr>
        <w:lastRenderedPageBreak/>
        <w:drawing>
          <wp:inline distT="0" distB="0" distL="0" distR="0" wp14:anchorId="01EA5498" wp14:editId="15BBFF72">
            <wp:extent cx="5009321" cy="2600077"/>
            <wp:effectExtent l="0" t="0" r="1270" b="10160"/>
            <wp:docPr id="274" name="Диаграмма 274"/>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A712E1" w:rsidRPr="00752610" w:rsidRDefault="00A712E1" w:rsidP="00A712E1">
      <w:pPr>
        <w:tabs>
          <w:tab w:val="left" w:pos="1177"/>
        </w:tabs>
        <w:spacing w:after="0" w:line="240" w:lineRule="auto"/>
        <w:ind w:firstLine="709"/>
        <w:jc w:val="both"/>
        <w:rPr>
          <w:szCs w:val="28"/>
          <w:highlight w:val="yellow"/>
        </w:rPr>
      </w:pPr>
    </w:p>
    <w:p w:rsidR="00A712E1" w:rsidRPr="00017B45" w:rsidRDefault="00A712E1" w:rsidP="00A712E1">
      <w:pPr>
        <w:autoSpaceDE w:val="0"/>
        <w:autoSpaceDN w:val="0"/>
        <w:adjustRightInd w:val="0"/>
        <w:spacing w:after="0" w:line="240" w:lineRule="auto"/>
        <w:ind w:firstLine="709"/>
        <w:jc w:val="both"/>
        <w:rPr>
          <w:bCs/>
          <w:iCs/>
          <w:szCs w:val="28"/>
          <w:u w:val="single"/>
        </w:rPr>
      </w:pPr>
      <w:r w:rsidRPr="00017B45">
        <w:rPr>
          <w:szCs w:val="28"/>
          <w:u w:val="single"/>
        </w:rPr>
        <w:t xml:space="preserve">Пересмотр во исполнение </w:t>
      </w:r>
      <w:r w:rsidRPr="00017B45">
        <w:rPr>
          <w:bCs/>
          <w:iCs/>
          <w:szCs w:val="28"/>
          <w:u w:val="single"/>
        </w:rPr>
        <w:t>вступившего в законную силу решения суда</w:t>
      </w:r>
      <w:r w:rsidRPr="00017B45">
        <w:rPr>
          <w:szCs w:val="28"/>
          <w:u w:val="single"/>
        </w:rPr>
        <w:t xml:space="preserve"> долгосрочного параметра регулирования (базового уровня подконтрольных расходов), необходимой валовой выручки и индивидуальных тарифов для Акционерного общества «Оборонэнерго» в лице филиала «Забайкальский», пересмотренных (скорректированных) на 2023 год</w:t>
      </w:r>
    </w:p>
    <w:p w:rsidR="00A712E1" w:rsidRPr="00C53CAE"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rFonts w:eastAsia="Times New Roman"/>
          <w:szCs w:val="28"/>
        </w:rPr>
        <w:t>Апелляционным определением Пятого апелляционного суда общей юрисдикции от 01 февраля 2024 года приказы департамента от 25.11.2022 № 593-ЭЭ «</w:t>
      </w:r>
      <w:r w:rsidRPr="00C53CAE">
        <w:rPr>
          <w:rFonts w:eastAsia="Times New Roman"/>
          <w:szCs w:val="28"/>
          <w:shd w:val="clear" w:color="auto" w:fill="FFFFFF"/>
        </w:rPr>
        <w:t>О корректировке на 2023 год необходимой валовой выручки и индивидуальных тарифов на услуги по передаче электрической энергии для взаиморасчетов между сетевыми организациями, установленных на долгосрочный период регулирования для А</w:t>
      </w:r>
      <w:r w:rsidR="00C960A9">
        <w:rPr>
          <w:rFonts w:eastAsia="Times New Roman"/>
          <w:szCs w:val="28"/>
          <w:shd w:val="clear" w:color="auto" w:fill="FFFFFF"/>
        </w:rPr>
        <w:t>О</w:t>
      </w:r>
      <w:r w:rsidRPr="00C53CAE">
        <w:rPr>
          <w:rFonts w:eastAsia="Times New Roman"/>
          <w:szCs w:val="28"/>
          <w:shd w:val="clear" w:color="auto" w:fill="FFFFFF"/>
        </w:rPr>
        <w:t xml:space="preserve"> «Оборонэнерго» в лице филиала «Забайкальский»</w:t>
      </w:r>
      <w:r w:rsidRPr="00C53CAE">
        <w:rPr>
          <w:rFonts w:eastAsia="Times New Roman"/>
          <w:szCs w:val="28"/>
        </w:rPr>
        <w:t>» и от 25.11.2022 № 592-ЭЭ «О</w:t>
      </w:r>
      <w:r w:rsidRPr="00C53CAE">
        <w:rPr>
          <w:rFonts w:eastAsia="Times New Roman"/>
          <w:szCs w:val="28"/>
          <w:shd w:val="clear" w:color="auto" w:fill="FFFFFF"/>
        </w:rPr>
        <w:t> пересмотре с 2023 года базового уровня подконтрольных расходов А</w:t>
      </w:r>
      <w:r w:rsidR="00C960A9">
        <w:rPr>
          <w:rFonts w:eastAsia="Times New Roman"/>
          <w:szCs w:val="28"/>
          <w:shd w:val="clear" w:color="auto" w:fill="FFFFFF"/>
        </w:rPr>
        <w:t>О</w:t>
      </w:r>
      <w:r w:rsidRPr="00C53CAE">
        <w:rPr>
          <w:rFonts w:eastAsia="Times New Roman"/>
          <w:szCs w:val="28"/>
          <w:shd w:val="clear" w:color="auto" w:fill="FFFFFF"/>
        </w:rPr>
        <w:t xml:space="preserve"> «Оборонэнерго» в лице филиала «Забайкальский», установленного приказом департамента по тарифам Новосибирской области от 23.12.2019 № 754-ЭЭ</w:t>
      </w:r>
      <w:r w:rsidRPr="00C53CAE">
        <w:rPr>
          <w:rFonts w:eastAsia="Times New Roman"/>
          <w:szCs w:val="28"/>
        </w:rPr>
        <w:t xml:space="preserve">» признаны недействующими. </w:t>
      </w:r>
    </w:p>
    <w:p w:rsidR="00A712E1" w:rsidRPr="00C53CAE"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szCs w:val="28"/>
        </w:rPr>
        <w:t xml:space="preserve">Во исполнение </w:t>
      </w:r>
      <w:r w:rsidRPr="00C53CAE">
        <w:rPr>
          <w:bCs/>
          <w:iCs/>
          <w:szCs w:val="28"/>
        </w:rPr>
        <w:t>вступившего в законную силу решения суда</w:t>
      </w:r>
      <w:r w:rsidRPr="00C53CAE">
        <w:rPr>
          <w:rFonts w:eastAsia="Times New Roman"/>
          <w:szCs w:val="28"/>
        </w:rPr>
        <w:t xml:space="preserve"> департаментом приняты заменяющие акты: приказы от 18.06.24 № 131-ЭЭ/НПА и № 132-ЭЭ/НПА. </w:t>
      </w:r>
    </w:p>
    <w:p w:rsidR="00A712E1" w:rsidRPr="00C53CAE"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rFonts w:eastAsia="Times New Roman"/>
          <w:szCs w:val="28"/>
        </w:rPr>
        <w:t>В соответствии с принятыми решениями:</w:t>
      </w:r>
    </w:p>
    <w:p w:rsidR="00A712E1" w:rsidRPr="00C53CAE"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rFonts w:eastAsia="Times New Roman"/>
          <w:szCs w:val="28"/>
        </w:rPr>
        <w:t>1) базовый уровень подконтрольных расходов с 2023 года установлен в размере 66 298,9 тыс. руб., что выше уровня установленного приказом департамента от 25.11.2022 №592-ЭЭ на 1,4%. Пересмотрены следующие статьи расходов: расходы по обеспечению коммерческого учета электрической энергии, материалы на техническое обслуживание объектов электросетевого хозяйства, работы и услуги производственного характера (в т.ч. услуги сторонних организаций по содержанию сетей и распределительных устройств);</w:t>
      </w:r>
    </w:p>
    <w:p w:rsidR="00A712E1" w:rsidRPr="00C53CAE"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rFonts w:eastAsia="Times New Roman"/>
          <w:szCs w:val="28"/>
        </w:rPr>
        <w:t>2) НВВ на содержание сетей на 2023 год установлена в размере 83 258,2 тыс.руб., что выше величины, скорректированной департаментом в соответствии с приказом от 25.11.2022 №593-ЭЭ, на 3,3%.</w:t>
      </w:r>
    </w:p>
    <w:p w:rsidR="00A712E1" w:rsidRDefault="00A712E1" w:rsidP="00A712E1">
      <w:pPr>
        <w:tabs>
          <w:tab w:val="center" w:pos="4153"/>
          <w:tab w:val="right" w:pos="8306"/>
        </w:tabs>
        <w:autoSpaceDE w:val="0"/>
        <w:autoSpaceDN w:val="0"/>
        <w:spacing w:after="0" w:line="240" w:lineRule="auto"/>
        <w:ind w:firstLine="709"/>
        <w:jc w:val="both"/>
        <w:rPr>
          <w:rFonts w:eastAsia="Times New Roman"/>
          <w:szCs w:val="28"/>
        </w:rPr>
      </w:pPr>
      <w:r w:rsidRPr="00C53CAE">
        <w:rPr>
          <w:rFonts w:eastAsia="Times New Roman"/>
          <w:szCs w:val="28"/>
        </w:rPr>
        <w:lastRenderedPageBreak/>
        <w:t xml:space="preserve">В результате величина недополученного дохода за 2023 год, подлежащего возмещению </w:t>
      </w:r>
      <w:r w:rsidRPr="00C53CAE">
        <w:rPr>
          <w:rFonts w:eastAsia="Times New Roman"/>
          <w:szCs w:val="28"/>
          <w:shd w:val="clear" w:color="auto" w:fill="FFFFFF"/>
        </w:rPr>
        <w:t>А</w:t>
      </w:r>
      <w:r w:rsidR="00C960A9">
        <w:rPr>
          <w:rFonts w:eastAsia="Times New Roman"/>
          <w:szCs w:val="28"/>
          <w:shd w:val="clear" w:color="auto" w:fill="FFFFFF"/>
        </w:rPr>
        <w:t xml:space="preserve">О </w:t>
      </w:r>
      <w:r w:rsidRPr="00C53CAE">
        <w:rPr>
          <w:rFonts w:eastAsia="Times New Roman"/>
          <w:szCs w:val="28"/>
          <w:shd w:val="clear" w:color="auto" w:fill="FFFFFF"/>
        </w:rPr>
        <w:t xml:space="preserve">«Оборонэнерго» в лице филиала «Забайкальский» </w:t>
      </w:r>
      <w:r w:rsidRPr="00C53CAE">
        <w:rPr>
          <w:rFonts w:eastAsia="Times New Roman"/>
          <w:szCs w:val="28"/>
        </w:rPr>
        <w:t>в целях исполнения решения суда, составила 3 002,9 тыс. руб. (с учетом индексов потребительских цен).</w:t>
      </w:r>
    </w:p>
    <w:p w:rsidR="00A712E1" w:rsidRDefault="00A712E1" w:rsidP="00A712E1">
      <w:pPr>
        <w:tabs>
          <w:tab w:val="center" w:pos="4153"/>
          <w:tab w:val="right" w:pos="8306"/>
        </w:tabs>
        <w:autoSpaceDE w:val="0"/>
        <w:autoSpaceDN w:val="0"/>
        <w:spacing w:after="0" w:line="240" w:lineRule="auto"/>
        <w:ind w:firstLine="709"/>
        <w:jc w:val="both"/>
        <w:rPr>
          <w:rFonts w:eastAsia="Times New Roman"/>
          <w:szCs w:val="28"/>
        </w:rPr>
      </w:pPr>
    </w:p>
    <w:p w:rsidR="00A712E1" w:rsidRPr="00017B45" w:rsidRDefault="00A712E1" w:rsidP="00A712E1">
      <w:pPr>
        <w:spacing w:after="0" w:line="240" w:lineRule="auto"/>
        <w:ind w:firstLine="851"/>
        <w:jc w:val="both"/>
        <w:rPr>
          <w:szCs w:val="28"/>
          <w:u w:val="single"/>
        </w:rPr>
      </w:pPr>
      <w:r w:rsidRPr="00017B45">
        <w:rPr>
          <w:szCs w:val="28"/>
          <w:u w:val="single"/>
        </w:rPr>
        <w:t>Пересмотр единых (котловых) тарифов на услуги по передаче электрической энергии по сетям Новосибирской области на 2024 год во исполнение решения ФАС России</w:t>
      </w:r>
    </w:p>
    <w:p w:rsidR="00A712E1" w:rsidRPr="00691740" w:rsidRDefault="00A712E1" w:rsidP="00A712E1">
      <w:pPr>
        <w:spacing w:after="0" w:line="240" w:lineRule="auto"/>
        <w:ind w:firstLine="851"/>
        <w:jc w:val="both"/>
        <w:rPr>
          <w:szCs w:val="28"/>
        </w:rPr>
      </w:pPr>
      <w:r w:rsidRPr="00691740">
        <w:rPr>
          <w:szCs w:val="28"/>
        </w:rPr>
        <w:t>Приказом департамента от 29.11.2023 № 411-ЭЭ/НПА скорректированы на 2024 год единые (котловые) тарифы для потребителей, не относящихся к населению и приравненным к нему категориям потребителей, установленные на долгосрочный период регулирования, согласно которому величина перекрестного субсидирования, учитываемая в ценах (тарифах) на услуги по передаче электрической энергии, составила</w:t>
      </w:r>
      <w:r>
        <w:rPr>
          <w:szCs w:val="28"/>
        </w:rPr>
        <w:t xml:space="preserve"> </w:t>
      </w:r>
      <w:r w:rsidRPr="00691740">
        <w:rPr>
          <w:szCs w:val="28"/>
        </w:rPr>
        <w:t xml:space="preserve">6 373 779,0 тыс. руб.       </w:t>
      </w:r>
    </w:p>
    <w:p w:rsidR="00A712E1" w:rsidRPr="00691740" w:rsidRDefault="00A712E1" w:rsidP="00A712E1">
      <w:pPr>
        <w:spacing w:after="0" w:line="240" w:lineRule="auto"/>
        <w:ind w:firstLine="851"/>
        <w:jc w:val="both"/>
        <w:rPr>
          <w:szCs w:val="28"/>
        </w:rPr>
      </w:pPr>
      <w:r w:rsidRPr="00691740">
        <w:rPr>
          <w:szCs w:val="28"/>
        </w:rPr>
        <w:t>Приказом ФАС России от 24.01.2024 № 34/24 отменены с 01.05.2024 приказы департамента, устанавливающие единые (котловые) тарифы на услуги по</w:t>
      </w:r>
      <w:r>
        <w:rPr>
          <w:szCs w:val="28"/>
        </w:rPr>
        <w:t xml:space="preserve"> передаче электрической энергии,</w:t>
      </w:r>
      <w:r w:rsidRPr="00691740">
        <w:rPr>
          <w:szCs w:val="28"/>
        </w:rPr>
        <w:t xml:space="preserve"> в связи с превышением предельной величины перекрестного субсидирования, установленной приложением № 6 к Основам ценообразования № 1178.</w:t>
      </w:r>
    </w:p>
    <w:p w:rsidR="00A712E1" w:rsidRPr="00691740" w:rsidRDefault="00A712E1" w:rsidP="00A712E1">
      <w:pPr>
        <w:spacing w:after="0" w:line="240" w:lineRule="auto"/>
        <w:ind w:firstLine="851"/>
        <w:jc w:val="both"/>
        <w:rPr>
          <w:szCs w:val="28"/>
        </w:rPr>
      </w:pPr>
      <w:r w:rsidRPr="00691740">
        <w:rPr>
          <w:szCs w:val="28"/>
        </w:rPr>
        <w:t>Во исполнение Приказа ФАС России от 24.01.2024 № 34/2</w:t>
      </w:r>
      <w:r>
        <w:rPr>
          <w:szCs w:val="28"/>
        </w:rPr>
        <w:t xml:space="preserve">4 департаментом приняты решения </w:t>
      </w:r>
      <w:r w:rsidRPr="00691740">
        <w:rPr>
          <w:szCs w:val="28"/>
        </w:rPr>
        <w:t>об установлении единых (котловых) тарифов на услуги по передаче электрической энергии по сетям Новосибирской области с учетом норм постановления Правительства Российской Федерации от 23.12.2023 № 2281 «О внесении изменений в постановление Правительства Российской Федерации от 29.12.2011 № 1178» (приказы департамента от 16.04.</w:t>
      </w:r>
      <w:r>
        <w:rPr>
          <w:szCs w:val="28"/>
        </w:rPr>
        <w:t>2024: № 80-ЭЭ/НПА, № 81-ЭЭ/НПА).</w:t>
      </w:r>
    </w:p>
    <w:p w:rsidR="00A712E1" w:rsidRDefault="00A712E1" w:rsidP="00A712E1">
      <w:pPr>
        <w:spacing w:after="0" w:line="240" w:lineRule="auto"/>
        <w:ind w:firstLine="851"/>
        <w:jc w:val="both"/>
        <w:rPr>
          <w:szCs w:val="28"/>
        </w:rPr>
      </w:pPr>
      <w:r w:rsidRPr="009D1719">
        <w:rPr>
          <w:szCs w:val="28"/>
        </w:rPr>
        <w:t>Расчет единых на территории Новосибирской области тарифов на услуги по передаче электрической энергии, дифференцированных по уровням напряжения, для потребителей услуг по передаче электрической энергии (кроме сетевых организаций), независимо от того, к сетям какой сетевой организации они присоединены (далее - единые (котловые) тарифы) на 2024 год выполнен согласно требованиям Основ ценообразования</w:t>
      </w:r>
      <w:r>
        <w:rPr>
          <w:szCs w:val="28"/>
        </w:rPr>
        <w:t xml:space="preserve"> № 1178</w:t>
      </w:r>
      <w:r w:rsidRPr="007C6973">
        <w:rPr>
          <w:szCs w:val="28"/>
        </w:rPr>
        <w:t>, Методических указаний № 20-э/</w:t>
      </w:r>
      <w:r w:rsidRPr="00B74317">
        <w:rPr>
          <w:szCs w:val="28"/>
        </w:rPr>
        <w:t>2,</w:t>
      </w:r>
      <w:r w:rsidRPr="007C6973">
        <w:rPr>
          <w:szCs w:val="28"/>
        </w:rPr>
        <w:t xml:space="preserve"> </w:t>
      </w:r>
      <w:r w:rsidRPr="00B74317">
        <w:rPr>
          <w:szCs w:val="28"/>
        </w:rPr>
        <w:t xml:space="preserve">Методических указаний № 412/22, </w:t>
      </w:r>
      <w:r w:rsidRPr="008F3DFE">
        <w:rPr>
          <w:szCs w:val="28"/>
        </w:rPr>
        <w:t>Методических указаний по расчету величины и ставки перекрестного субсидирования</w:t>
      </w:r>
      <w:r w:rsidRPr="008F3DFE">
        <w:rPr>
          <w:rFonts w:eastAsia="Calibri"/>
          <w:szCs w:val="28"/>
        </w:rPr>
        <w:t>, учитываемые в ценах (тарифах) на услуги по передаче электрической энергии для прочих потребителей, утвержденных приказом ФАС России от 22.02.2022 № 141/22</w:t>
      </w:r>
      <w:r w:rsidRPr="008F3DFE">
        <w:t xml:space="preserve"> </w:t>
      </w:r>
      <w:r w:rsidRPr="008F3DFE">
        <w:rPr>
          <w:szCs w:val="28"/>
        </w:rPr>
        <w:t>(далее</w:t>
      </w:r>
      <w:r w:rsidRPr="008F3DFE">
        <w:t xml:space="preserve"> - </w:t>
      </w:r>
      <w:r w:rsidRPr="008F3DFE">
        <w:rPr>
          <w:rFonts w:eastAsia="Calibri"/>
          <w:szCs w:val="28"/>
        </w:rPr>
        <w:t>Методические указания № 141/22)</w:t>
      </w:r>
      <w:r w:rsidRPr="008F3DFE">
        <w:rPr>
          <w:szCs w:val="28"/>
        </w:rPr>
        <w:t>.</w:t>
      </w:r>
      <w:r w:rsidRPr="007C6973">
        <w:rPr>
          <w:szCs w:val="28"/>
        </w:rPr>
        <w:t xml:space="preserve"> </w:t>
      </w:r>
    </w:p>
    <w:p w:rsidR="00A712E1" w:rsidRPr="00691740" w:rsidRDefault="00A712E1" w:rsidP="00A712E1">
      <w:pPr>
        <w:spacing w:after="0" w:line="240" w:lineRule="auto"/>
        <w:ind w:firstLine="851"/>
        <w:jc w:val="both"/>
        <w:rPr>
          <w:szCs w:val="28"/>
        </w:rPr>
      </w:pPr>
      <w:r w:rsidRPr="007C6973">
        <w:rPr>
          <w:szCs w:val="28"/>
        </w:rPr>
        <w:t>Расчетная величина перекрестного субсидирования в ценах (тарифах</w:t>
      </w:r>
      <w:r w:rsidRPr="00691740">
        <w:rPr>
          <w:szCs w:val="28"/>
        </w:rPr>
        <w:t xml:space="preserve">) на услуги по передаче электрической энергии для потребителей, не относящихся к населению или приравненным к нему категориям потребителей, оказываемые территориальными сетевыми организациями на 2024 год, определена в соответствии с формулой 3 Методических указаний </w:t>
      </w:r>
      <w:r>
        <w:rPr>
          <w:szCs w:val="28"/>
        </w:rPr>
        <w:t xml:space="preserve">№ 141/22 </w:t>
      </w:r>
      <w:r w:rsidRPr="00691740">
        <w:rPr>
          <w:szCs w:val="28"/>
        </w:rPr>
        <w:t xml:space="preserve">и составила 6 367 873 тыс. руб., что не превышает предельную </w:t>
      </w:r>
      <w:r w:rsidRPr="00691740">
        <w:rPr>
          <w:szCs w:val="28"/>
        </w:rPr>
        <w:lastRenderedPageBreak/>
        <w:t>величину перекрестного субсидирования в размере 6 783 238 тыс. руб., учитываемую в ценах (тарифах) на услуги по передаче электрической энергии для потребителей, не относящихся к населению или приравненным к нему категориям потребителей, оказываемые территориальными сетевыми организациями, рассчитанную по формуле в соответствии с абзацем девятым пункта 81(5) Основ ценообразования</w:t>
      </w:r>
      <w:r>
        <w:rPr>
          <w:szCs w:val="28"/>
        </w:rPr>
        <w:t xml:space="preserve"> № 1178</w:t>
      </w:r>
      <w:r w:rsidRPr="00691740">
        <w:rPr>
          <w:szCs w:val="28"/>
        </w:rPr>
        <w:t xml:space="preserve">. </w:t>
      </w:r>
    </w:p>
    <w:p w:rsidR="00A712E1" w:rsidRPr="003D50BA" w:rsidRDefault="00A712E1" w:rsidP="00A712E1">
      <w:pPr>
        <w:spacing w:after="0" w:line="240" w:lineRule="auto"/>
        <w:ind w:firstLine="851"/>
        <w:jc w:val="both"/>
        <w:rPr>
          <w:szCs w:val="28"/>
        </w:rPr>
      </w:pPr>
      <w:r w:rsidRPr="00691740">
        <w:rPr>
          <w:szCs w:val="28"/>
        </w:rPr>
        <w:t xml:space="preserve">Экономический эффект </w:t>
      </w:r>
      <w:r>
        <w:rPr>
          <w:szCs w:val="28"/>
        </w:rPr>
        <w:t xml:space="preserve">(снижение величины перекрестного субсидирования) </w:t>
      </w:r>
      <w:r w:rsidRPr="00691740">
        <w:rPr>
          <w:szCs w:val="28"/>
        </w:rPr>
        <w:t xml:space="preserve">от введения дифференцированных тарифов для населения </w:t>
      </w:r>
      <w:r>
        <w:rPr>
          <w:szCs w:val="28"/>
        </w:rPr>
        <w:t xml:space="preserve">и приравненных к нему категорий потребителей </w:t>
      </w:r>
      <w:r w:rsidRPr="00691740">
        <w:rPr>
          <w:szCs w:val="28"/>
        </w:rPr>
        <w:t xml:space="preserve">по объемам потребления электрической энергии </w:t>
      </w:r>
      <w:r>
        <w:rPr>
          <w:szCs w:val="28"/>
        </w:rPr>
        <w:t xml:space="preserve">(мощности) </w:t>
      </w:r>
      <w:r w:rsidRPr="00691740">
        <w:rPr>
          <w:szCs w:val="28"/>
        </w:rPr>
        <w:t>составил 5 905,7 тыс.</w:t>
      </w:r>
      <w:r>
        <w:rPr>
          <w:szCs w:val="28"/>
        </w:rPr>
        <w:t xml:space="preserve"> </w:t>
      </w:r>
      <w:r w:rsidRPr="00691740">
        <w:rPr>
          <w:szCs w:val="28"/>
        </w:rPr>
        <w:t>руб.</w:t>
      </w:r>
    </w:p>
    <w:p w:rsidR="00A712E1" w:rsidRPr="0030248D" w:rsidRDefault="00A712E1" w:rsidP="00C960A9">
      <w:pPr>
        <w:pStyle w:val="4"/>
      </w:pPr>
      <w:bookmarkStart w:id="22" w:name="_Toc193810524"/>
      <w:r w:rsidRPr="0030248D">
        <w:t>2.1.3.</w:t>
      </w:r>
      <w:r>
        <w:t>2. Корректировка на 2025 год</w:t>
      </w:r>
      <w:r w:rsidRPr="0030248D">
        <w:t xml:space="preserve"> единых (котловых) тарифов на услуги по передаче электрической энергии, оказываемые потребителям услуг на территории Новосибирской области, установленных на долгосрочный период регулирования 2021-2025 годов</w:t>
      </w:r>
      <w:bookmarkEnd w:id="22"/>
    </w:p>
    <w:p w:rsidR="00A712E1" w:rsidRDefault="00A712E1" w:rsidP="00A712E1">
      <w:pPr>
        <w:tabs>
          <w:tab w:val="center" w:pos="4677"/>
          <w:tab w:val="right" w:pos="9355"/>
        </w:tabs>
        <w:spacing w:after="0" w:line="240" w:lineRule="auto"/>
        <w:ind w:firstLine="709"/>
        <w:jc w:val="both"/>
        <w:rPr>
          <w:rFonts w:eastAsia="Calibri"/>
          <w:szCs w:val="28"/>
        </w:rPr>
      </w:pPr>
      <w:r w:rsidRPr="0030248D">
        <w:rPr>
          <w:rFonts w:eastAsia="Calibri"/>
          <w:szCs w:val="28"/>
        </w:rPr>
        <w:t xml:space="preserve">Предельные максимальные и минимальные уровни тарифов на услуги по передаче электрической энергии по сетям, принадлежащие на праве собственности или ином законном основании </w:t>
      </w:r>
      <w:r w:rsidR="00C960A9">
        <w:rPr>
          <w:rFonts w:eastAsia="Calibri"/>
          <w:szCs w:val="28"/>
        </w:rPr>
        <w:t>ТСО</w:t>
      </w:r>
      <w:r w:rsidRPr="0030248D">
        <w:rPr>
          <w:rFonts w:eastAsia="Calibri"/>
          <w:szCs w:val="28"/>
        </w:rPr>
        <w:t>, поставляемой населению и приравненным к нему категориям потребителей, по субъек</w:t>
      </w:r>
      <w:r>
        <w:rPr>
          <w:rFonts w:eastAsia="Calibri"/>
          <w:szCs w:val="28"/>
        </w:rPr>
        <w:t>там РФ</w:t>
      </w:r>
      <w:r w:rsidR="00C960A9">
        <w:rPr>
          <w:rFonts w:eastAsia="Calibri"/>
          <w:szCs w:val="28"/>
        </w:rPr>
        <w:t xml:space="preserve"> </w:t>
      </w:r>
      <w:r>
        <w:rPr>
          <w:rFonts w:eastAsia="Calibri"/>
          <w:szCs w:val="28"/>
        </w:rPr>
        <w:t>на 2025</w:t>
      </w:r>
      <w:r w:rsidRPr="0030248D">
        <w:rPr>
          <w:rFonts w:eastAsia="Calibri"/>
          <w:szCs w:val="28"/>
        </w:rPr>
        <w:t xml:space="preserve"> год утверждены приказом ФАС России </w:t>
      </w:r>
      <w:r w:rsidRPr="00360867">
        <w:rPr>
          <w:rFonts w:eastAsia="Calibri"/>
          <w:szCs w:val="28"/>
        </w:rPr>
        <w:t xml:space="preserve">от 24.10.2024 № 767/24 </w:t>
      </w:r>
      <w:r w:rsidRPr="0030248D">
        <w:rPr>
          <w:rFonts w:eastAsia="Calibri"/>
          <w:szCs w:val="28"/>
        </w:rPr>
        <w:t>в следующем размере:</w:t>
      </w:r>
    </w:p>
    <w:p w:rsidR="00A712E1" w:rsidRPr="00A41082" w:rsidRDefault="00A712E1" w:rsidP="00C960A9">
      <w:pPr>
        <w:tabs>
          <w:tab w:val="center" w:pos="4677"/>
          <w:tab w:val="right" w:pos="9355"/>
        </w:tabs>
        <w:spacing w:after="0" w:line="240" w:lineRule="auto"/>
        <w:ind w:firstLine="709"/>
        <w:jc w:val="both"/>
        <w:rPr>
          <w:szCs w:val="28"/>
        </w:rPr>
      </w:pPr>
      <w:r w:rsidRPr="00A41082">
        <w:rPr>
          <w:szCs w:val="28"/>
        </w:rPr>
        <w:t>Минимальные:</w:t>
      </w:r>
    </w:p>
    <w:p w:rsidR="00A712E1" w:rsidRPr="00CA00E2" w:rsidRDefault="00A712E1" w:rsidP="00C960A9">
      <w:pPr>
        <w:tabs>
          <w:tab w:val="center" w:pos="4677"/>
          <w:tab w:val="right" w:pos="9355"/>
        </w:tabs>
        <w:spacing w:after="0" w:line="240" w:lineRule="auto"/>
        <w:ind w:firstLine="709"/>
        <w:jc w:val="both"/>
        <w:rPr>
          <w:szCs w:val="28"/>
        </w:rPr>
      </w:pPr>
      <w:r w:rsidRPr="00CA00E2">
        <w:rPr>
          <w:szCs w:val="28"/>
        </w:rPr>
        <w:t>на 1 полугодие 2025 – 1,04010 руб/кВт.ч;</w:t>
      </w:r>
    </w:p>
    <w:p w:rsidR="00A712E1" w:rsidRPr="00CA00E2" w:rsidRDefault="00A712E1" w:rsidP="00C960A9">
      <w:pPr>
        <w:tabs>
          <w:tab w:val="center" w:pos="4677"/>
          <w:tab w:val="right" w:pos="9355"/>
        </w:tabs>
        <w:spacing w:after="0" w:line="240" w:lineRule="auto"/>
        <w:ind w:firstLine="709"/>
        <w:jc w:val="both"/>
        <w:rPr>
          <w:szCs w:val="28"/>
        </w:rPr>
      </w:pPr>
      <w:r w:rsidRPr="00CA00E2">
        <w:rPr>
          <w:szCs w:val="28"/>
        </w:rPr>
        <w:t>на 2 полугодие 2025 – 1,16075 руб/кВт.ч;</w:t>
      </w:r>
    </w:p>
    <w:p w:rsidR="00A712E1" w:rsidRPr="00A41082" w:rsidRDefault="00A712E1" w:rsidP="00C960A9">
      <w:pPr>
        <w:tabs>
          <w:tab w:val="center" w:pos="4677"/>
          <w:tab w:val="right" w:pos="9355"/>
        </w:tabs>
        <w:spacing w:after="0" w:line="240" w:lineRule="auto"/>
        <w:ind w:firstLine="709"/>
        <w:jc w:val="both"/>
        <w:rPr>
          <w:szCs w:val="28"/>
        </w:rPr>
      </w:pPr>
      <w:r w:rsidRPr="00A41082">
        <w:rPr>
          <w:szCs w:val="28"/>
        </w:rPr>
        <w:t>Максимальные:</w:t>
      </w:r>
    </w:p>
    <w:p w:rsidR="00A712E1" w:rsidRPr="00CA00E2" w:rsidRDefault="00A712E1" w:rsidP="00C960A9">
      <w:pPr>
        <w:tabs>
          <w:tab w:val="center" w:pos="4677"/>
          <w:tab w:val="right" w:pos="9355"/>
        </w:tabs>
        <w:spacing w:after="0" w:line="240" w:lineRule="auto"/>
        <w:ind w:firstLine="709"/>
        <w:jc w:val="both"/>
        <w:rPr>
          <w:szCs w:val="28"/>
        </w:rPr>
      </w:pPr>
      <w:r w:rsidRPr="00CA00E2">
        <w:rPr>
          <w:szCs w:val="28"/>
        </w:rPr>
        <w:t>на 1 полугодие 2025 – 1,04010 руб/кВт.ч;</w:t>
      </w:r>
    </w:p>
    <w:p w:rsidR="00A712E1" w:rsidRPr="00CA00E2" w:rsidRDefault="00A712E1" w:rsidP="00C960A9">
      <w:pPr>
        <w:tabs>
          <w:tab w:val="center" w:pos="4677"/>
          <w:tab w:val="right" w:pos="9355"/>
        </w:tabs>
        <w:spacing w:after="0" w:line="240" w:lineRule="auto"/>
        <w:ind w:firstLine="709"/>
        <w:jc w:val="both"/>
        <w:rPr>
          <w:b/>
          <w:szCs w:val="28"/>
        </w:rPr>
      </w:pPr>
      <w:r w:rsidRPr="00CA00E2">
        <w:rPr>
          <w:szCs w:val="28"/>
        </w:rPr>
        <w:t xml:space="preserve">на 2 полугодие 2025 – 1,26476 руб/кВт.ч; </w:t>
      </w:r>
    </w:p>
    <w:p w:rsidR="00A712E1" w:rsidRDefault="00A712E1" w:rsidP="00C960A9">
      <w:pPr>
        <w:spacing w:after="0" w:line="240" w:lineRule="auto"/>
        <w:ind w:firstLine="709"/>
        <w:jc w:val="both"/>
        <w:rPr>
          <w:szCs w:val="28"/>
        </w:rPr>
      </w:pPr>
      <w:r w:rsidRPr="00360867">
        <w:rPr>
          <w:szCs w:val="28"/>
        </w:rPr>
        <w:t>Тарифы на услуги по передаче электрической энергии, поставляемой населению и приравненным к нему категориям потребителей</w:t>
      </w:r>
      <w:r>
        <w:rPr>
          <w:szCs w:val="28"/>
        </w:rPr>
        <w:t xml:space="preserve"> на территории Новосибирской области</w:t>
      </w:r>
      <w:r w:rsidRPr="00360867">
        <w:rPr>
          <w:szCs w:val="28"/>
        </w:rPr>
        <w:t xml:space="preserve">, </w:t>
      </w:r>
      <w:r>
        <w:rPr>
          <w:szCs w:val="28"/>
        </w:rPr>
        <w:t>дифференцированные</w:t>
      </w:r>
      <w:r w:rsidRPr="00583AE6">
        <w:rPr>
          <w:szCs w:val="28"/>
        </w:rPr>
        <w:t xml:space="preserve"> по объемам потребления электрической</w:t>
      </w:r>
      <w:r>
        <w:rPr>
          <w:szCs w:val="28"/>
        </w:rPr>
        <w:t xml:space="preserve"> </w:t>
      </w:r>
      <w:r w:rsidRPr="00583AE6">
        <w:rPr>
          <w:szCs w:val="28"/>
        </w:rPr>
        <w:t>энергии (мощности) и группам (подгруппам) населения</w:t>
      </w:r>
      <w:r>
        <w:rPr>
          <w:szCs w:val="28"/>
        </w:rPr>
        <w:t xml:space="preserve"> </w:t>
      </w:r>
      <w:r w:rsidRPr="00583AE6">
        <w:rPr>
          <w:szCs w:val="28"/>
        </w:rPr>
        <w:t>и приравненных к нему категорий потребителей</w:t>
      </w:r>
      <w:r>
        <w:rPr>
          <w:szCs w:val="28"/>
        </w:rPr>
        <w:t xml:space="preserve">, </w:t>
      </w:r>
      <w:r w:rsidRPr="00360867">
        <w:rPr>
          <w:szCs w:val="28"/>
        </w:rPr>
        <w:t>рассчита</w:t>
      </w:r>
      <w:r>
        <w:rPr>
          <w:szCs w:val="28"/>
        </w:rPr>
        <w:t>н</w:t>
      </w:r>
      <w:r w:rsidRPr="00360867">
        <w:rPr>
          <w:szCs w:val="28"/>
        </w:rPr>
        <w:t xml:space="preserve">ы департаментом в соответствии с разделом VII Методических </w:t>
      </w:r>
      <w:r w:rsidRPr="008F3DFE">
        <w:rPr>
          <w:szCs w:val="28"/>
        </w:rPr>
        <w:t>указаний № 412/22.</w:t>
      </w:r>
      <w:r>
        <w:rPr>
          <w:szCs w:val="28"/>
        </w:rPr>
        <w:t xml:space="preserve">  </w:t>
      </w:r>
    </w:p>
    <w:p w:rsidR="00A712E1" w:rsidRDefault="00A712E1" w:rsidP="00A712E1">
      <w:pPr>
        <w:spacing w:after="0" w:line="240" w:lineRule="auto"/>
        <w:ind w:firstLine="709"/>
        <w:jc w:val="both"/>
        <w:rPr>
          <w:szCs w:val="28"/>
        </w:rPr>
      </w:pPr>
      <w:r>
        <w:rPr>
          <w:szCs w:val="28"/>
        </w:rPr>
        <w:t xml:space="preserve">Размер скорректированной котловой выручки ТСО на 2025 год </w:t>
      </w:r>
      <w:r w:rsidRPr="00601191">
        <w:rPr>
          <w:szCs w:val="28"/>
        </w:rPr>
        <w:t>прив</w:t>
      </w:r>
      <w:r>
        <w:rPr>
          <w:szCs w:val="28"/>
        </w:rPr>
        <w:t>ел</w:t>
      </w:r>
      <w:r w:rsidRPr="00601191">
        <w:rPr>
          <w:szCs w:val="28"/>
        </w:rPr>
        <w:t xml:space="preserve"> к росту </w:t>
      </w:r>
      <w:r>
        <w:rPr>
          <w:szCs w:val="28"/>
        </w:rPr>
        <w:t>средневзвешенного</w:t>
      </w:r>
      <w:r w:rsidRPr="00601191">
        <w:rPr>
          <w:szCs w:val="28"/>
        </w:rPr>
        <w:t xml:space="preserve"> тариф</w:t>
      </w:r>
      <w:r>
        <w:rPr>
          <w:szCs w:val="28"/>
        </w:rPr>
        <w:t>а</w:t>
      </w:r>
      <w:r w:rsidRPr="00601191">
        <w:rPr>
          <w:szCs w:val="28"/>
        </w:rPr>
        <w:t xml:space="preserve"> на услуги по передаче электрической энергии населению и приравненным к нему категориям потребителей</w:t>
      </w:r>
      <w:r>
        <w:rPr>
          <w:szCs w:val="28"/>
        </w:rPr>
        <w:t xml:space="preserve"> по отношению к предельно</w:t>
      </w:r>
      <w:r w:rsidRPr="00601191">
        <w:rPr>
          <w:szCs w:val="28"/>
        </w:rPr>
        <w:t>м</w:t>
      </w:r>
      <w:r>
        <w:rPr>
          <w:szCs w:val="28"/>
        </w:rPr>
        <w:t>у</w:t>
      </w:r>
      <w:r w:rsidRPr="00601191">
        <w:rPr>
          <w:szCs w:val="28"/>
        </w:rPr>
        <w:t xml:space="preserve"> максимальн</w:t>
      </w:r>
      <w:r>
        <w:rPr>
          <w:szCs w:val="28"/>
        </w:rPr>
        <w:t>о</w:t>
      </w:r>
      <w:r w:rsidRPr="00601191">
        <w:rPr>
          <w:szCs w:val="28"/>
        </w:rPr>
        <w:t>м</w:t>
      </w:r>
      <w:r>
        <w:rPr>
          <w:szCs w:val="28"/>
        </w:rPr>
        <w:t>у</w:t>
      </w:r>
      <w:r w:rsidRPr="00601191">
        <w:rPr>
          <w:szCs w:val="28"/>
        </w:rPr>
        <w:t xml:space="preserve"> уровн</w:t>
      </w:r>
      <w:r>
        <w:rPr>
          <w:szCs w:val="28"/>
        </w:rPr>
        <w:t>ю</w:t>
      </w:r>
      <w:r w:rsidRPr="00601191">
        <w:rPr>
          <w:szCs w:val="28"/>
        </w:rPr>
        <w:t xml:space="preserve"> тариф</w:t>
      </w:r>
      <w:r>
        <w:rPr>
          <w:szCs w:val="28"/>
        </w:rPr>
        <w:t>а</w:t>
      </w:r>
      <w:r w:rsidRPr="00601191">
        <w:rPr>
          <w:szCs w:val="28"/>
        </w:rPr>
        <w:t>,</w:t>
      </w:r>
      <w:r w:rsidRPr="005A4208">
        <w:t xml:space="preserve"> </w:t>
      </w:r>
      <w:r w:rsidRPr="005A4208">
        <w:rPr>
          <w:szCs w:val="28"/>
        </w:rPr>
        <w:t>установленно</w:t>
      </w:r>
      <w:r>
        <w:rPr>
          <w:szCs w:val="28"/>
        </w:rPr>
        <w:t>му</w:t>
      </w:r>
      <w:r w:rsidRPr="005A4208">
        <w:rPr>
          <w:szCs w:val="28"/>
        </w:rPr>
        <w:t xml:space="preserve"> на 2 полугодие 2025 года приказом ФАС России о</w:t>
      </w:r>
      <w:r>
        <w:rPr>
          <w:szCs w:val="28"/>
        </w:rPr>
        <w:t>т 24.10.2024 № 767/24.</w:t>
      </w:r>
      <w:r w:rsidRPr="005A4208">
        <w:rPr>
          <w:szCs w:val="28"/>
        </w:rPr>
        <w:t xml:space="preserve"> </w:t>
      </w:r>
      <w:r w:rsidRPr="00601191">
        <w:rPr>
          <w:szCs w:val="28"/>
        </w:rPr>
        <w:t xml:space="preserve"> </w:t>
      </w:r>
    </w:p>
    <w:p w:rsidR="00A712E1" w:rsidRDefault="00A712E1" w:rsidP="00A712E1">
      <w:pPr>
        <w:spacing w:after="0" w:line="240" w:lineRule="auto"/>
        <w:ind w:firstLine="709"/>
        <w:jc w:val="both"/>
        <w:rPr>
          <w:szCs w:val="28"/>
        </w:rPr>
      </w:pPr>
      <w:r>
        <w:rPr>
          <w:szCs w:val="28"/>
        </w:rPr>
        <w:t>В</w:t>
      </w:r>
      <w:r w:rsidRPr="00601191">
        <w:rPr>
          <w:szCs w:val="28"/>
        </w:rPr>
        <w:t xml:space="preserve"> соответствии с Порядком согласования решений органов исполнительной власти субъектов РФ</w:t>
      </w:r>
      <w:r w:rsidR="00C960A9">
        <w:rPr>
          <w:szCs w:val="28"/>
        </w:rPr>
        <w:t xml:space="preserve"> </w:t>
      </w:r>
      <w:r w:rsidRPr="00601191">
        <w:rPr>
          <w:szCs w:val="28"/>
        </w:rPr>
        <w:t>в области государственного регулирования тарифов об установлении цен (тарифов) на уровне выше максимального или ниже минимального уровня, утвержденным приказом ФАС России от 16.10.2023 № 735/23, департамент</w:t>
      </w:r>
      <w:r>
        <w:rPr>
          <w:szCs w:val="28"/>
        </w:rPr>
        <w:t>ом в адрес ФАС России направлено з</w:t>
      </w:r>
      <w:r w:rsidRPr="00601191">
        <w:rPr>
          <w:szCs w:val="28"/>
        </w:rPr>
        <w:t>аявление от 24.10.2024 № 1607-08/33, с приложением необходимых документов для согласовани</w:t>
      </w:r>
      <w:r>
        <w:rPr>
          <w:szCs w:val="28"/>
        </w:rPr>
        <w:t>й</w:t>
      </w:r>
      <w:r w:rsidRPr="00601191">
        <w:rPr>
          <w:szCs w:val="28"/>
        </w:rPr>
        <w:t xml:space="preserve"> </w:t>
      </w:r>
      <w:r w:rsidRPr="00FA68CE">
        <w:rPr>
          <w:szCs w:val="28"/>
        </w:rPr>
        <w:t>решени</w:t>
      </w:r>
      <w:r>
        <w:rPr>
          <w:szCs w:val="28"/>
        </w:rPr>
        <w:t>й</w:t>
      </w:r>
      <w:r w:rsidRPr="00FA68CE">
        <w:rPr>
          <w:szCs w:val="28"/>
        </w:rPr>
        <w:t xml:space="preserve"> департамента по </w:t>
      </w:r>
      <w:r w:rsidRPr="00FA68CE">
        <w:rPr>
          <w:szCs w:val="28"/>
        </w:rPr>
        <w:lastRenderedPageBreak/>
        <w:t>корректировке на 2025 год единых (котловых) тарифов на услуги по передаче электрической энергии по сетям Новосибирской области, поставляемой населению и приравненным к нему категориям потребителей на уровне, а также для потребителей, не относящихся к населению и приравненным к нему категориям потребителей, на уровне выше предельных максимальных уровней.</w:t>
      </w:r>
    </w:p>
    <w:p w:rsidR="00A712E1" w:rsidRDefault="00A712E1" w:rsidP="00A712E1">
      <w:pPr>
        <w:spacing w:after="0" w:line="240" w:lineRule="auto"/>
        <w:ind w:firstLine="709"/>
        <w:jc w:val="both"/>
        <w:rPr>
          <w:szCs w:val="28"/>
        </w:rPr>
      </w:pPr>
      <w:r w:rsidRPr="005A4208">
        <w:rPr>
          <w:szCs w:val="28"/>
        </w:rPr>
        <w:t xml:space="preserve">В связи с вступлением в силу постановления Правительства № 1469, согласно которому были изменены максимальные значения диапазонов объемов потребления электрической энергии (мощности) населением и приравненными к нему категориями потребителей, а также в связи с актуализацией необходимой валовой выручки </w:t>
      </w:r>
      <w:r>
        <w:rPr>
          <w:szCs w:val="28"/>
        </w:rPr>
        <w:t xml:space="preserve">ТСО </w:t>
      </w:r>
      <w:r w:rsidRPr="005A4208">
        <w:rPr>
          <w:szCs w:val="28"/>
        </w:rPr>
        <w:t xml:space="preserve">и гарантирующего поставщика по результатам проведенных расчетов, изменилась величина единых (котловых) тарифов на услуги по передаче электрической энергии по сетям Новосибирской области, поставляемой населению и приравненным к нему категориям потребителей, </w:t>
      </w:r>
      <w:r>
        <w:rPr>
          <w:szCs w:val="28"/>
        </w:rPr>
        <w:t>которая сложилась на уровне</w:t>
      </w:r>
      <w:r w:rsidRPr="005A4208">
        <w:rPr>
          <w:szCs w:val="28"/>
        </w:rPr>
        <w:t xml:space="preserve"> выше предельн</w:t>
      </w:r>
      <w:r>
        <w:rPr>
          <w:szCs w:val="28"/>
        </w:rPr>
        <w:t xml:space="preserve">ого </w:t>
      </w:r>
      <w:r w:rsidRPr="005A4208">
        <w:rPr>
          <w:szCs w:val="28"/>
        </w:rPr>
        <w:t>максимальн</w:t>
      </w:r>
      <w:r>
        <w:rPr>
          <w:szCs w:val="28"/>
        </w:rPr>
        <w:t>ого</w:t>
      </w:r>
      <w:r w:rsidRPr="005A4208">
        <w:rPr>
          <w:szCs w:val="28"/>
        </w:rPr>
        <w:t xml:space="preserve"> уровн</w:t>
      </w:r>
      <w:r>
        <w:rPr>
          <w:szCs w:val="28"/>
        </w:rPr>
        <w:t>я</w:t>
      </w:r>
      <w:r w:rsidRPr="005A4208">
        <w:rPr>
          <w:szCs w:val="28"/>
        </w:rPr>
        <w:t xml:space="preserve"> тариф</w:t>
      </w:r>
      <w:r>
        <w:rPr>
          <w:szCs w:val="28"/>
        </w:rPr>
        <w:t>а</w:t>
      </w:r>
      <w:r w:rsidRPr="005A4208">
        <w:rPr>
          <w:szCs w:val="28"/>
        </w:rPr>
        <w:t>, установленн</w:t>
      </w:r>
      <w:r>
        <w:rPr>
          <w:szCs w:val="28"/>
        </w:rPr>
        <w:t>ого</w:t>
      </w:r>
      <w:r w:rsidRPr="005A4208">
        <w:rPr>
          <w:szCs w:val="28"/>
        </w:rPr>
        <w:t xml:space="preserve"> приказ</w:t>
      </w:r>
      <w:r>
        <w:rPr>
          <w:szCs w:val="28"/>
        </w:rPr>
        <w:t>о</w:t>
      </w:r>
      <w:r w:rsidRPr="005A4208">
        <w:rPr>
          <w:szCs w:val="28"/>
        </w:rPr>
        <w:t>м ФАС России от 24.10.2024 № 767/24.</w:t>
      </w:r>
    </w:p>
    <w:p w:rsidR="00A712E1" w:rsidRDefault="00A712E1" w:rsidP="00A712E1">
      <w:pPr>
        <w:spacing w:after="0" w:line="240" w:lineRule="auto"/>
        <w:ind w:firstLine="709"/>
        <w:jc w:val="both"/>
        <w:rPr>
          <w:szCs w:val="28"/>
        </w:rPr>
      </w:pPr>
      <w:r w:rsidRPr="005A4208">
        <w:rPr>
          <w:szCs w:val="28"/>
        </w:rPr>
        <w:t xml:space="preserve">В этой связи </w:t>
      </w:r>
      <w:r>
        <w:rPr>
          <w:szCs w:val="28"/>
        </w:rPr>
        <w:t xml:space="preserve">департаментом </w:t>
      </w:r>
      <w:r w:rsidRPr="005A4208">
        <w:rPr>
          <w:szCs w:val="28"/>
        </w:rPr>
        <w:t>дополни</w:t>
      </w:r>
      <w:r>
        <w:rPr>
          <w:szCs w:val="28"/>
        </w:rPr>
        <w:t xml:space="preserve">тельно </w:t>
      </w:r>
      <w:r w:rsidRPr="00E813A0">
        <w:rPr>
          <w:szCs w:val="28"/>
        </w:rPr>
        <w:t xml:space="preserve">в адрес ФАС России </w:t>
      </w:r>
      <w:r>
        <w:rPr>
          <w:szCs w:val="28"/>
        </w:rPr>
        <w:t xml:space="preserve">было </w:t>
      </w:r>
      <w:r w:rsidRPr="00E813A0">
        <w:rPr>
          <w:szCs w:val="28"/>
        </w:rPr>
        <w:t>направлено заявление</w:t>
      </w:r>
      <w:r>
        <w:rPr>
          <w:szCs w:val="28"/>
        </w:rPr>
        <w:t xml:space="preserve"> от 14.11.2024 № 1725-08/33</w:t>
      </w:r>
      <w:r w:rsidRPr="00E813A0">
        <w:t xml:space="preserve"> </w:t>
      </w:r>
      <w:r w:rsidRPr="00E813A0">
        <w:rPr>
          <w:szCs w:val="28"/>
        </w:rPr>
        <w:t>с приложением необходимых документов для согласования решени</w:t>
      </w:r>
      <w:r>
        <w:rPr>
          <w:szCs w:val="28"/>
        </w:rPr>
        <w:t>й</w:t>
      </w:r>
      <w:r w:rsidRPr="00E813A0">
        <w:rPr>
          <w:szCs w:val="28"/>
        </w:rPr>
        <w:t xml:space="preserve"> департамента по корректировке на 2025 год единых (котловых) тарифов на услуги по передаче электрической энергии по сетям Новосибирской области, поставляемой населению и приравненным к нему категориям потребителей на уровне</w:t>
      </w:r>
      <w:r>
        <w:rPr>
          <w:szCs w:val="28"/>
        </w:rPr>
        <w:t>,</w:t>
      </w:r>
      <w:r w:rsidRPr="00E813A0">
        <w:rPr>
          <w:szCs w:val="28"/>
        </w:rPr>
        <w:t xml:space="preserve"> </w:t>
      </w:r>
      <w:r w:rsidRPr="00FA68CE">
        <w:rPr>
          <w:szCs w:val="28"/>
        </w:rPr>
        <w:t>а также для потребителей, не относящихся к населению и приравненным к нему категориям потребителей,</w:t>
      </w:r>
      <w:r>
        <w:rPr>
          <w:szCs w:val="28"/>
        </w:rPr>
        <w:t xml:space="preserve"> </w:t>
      </w:r>
      <w:r w:rsidRPr="00FA68CE">
        <w:rPr>
          <w:szCs w:val="28"/>
        </w:rPr>
        <w:t>на уровне</w:t>
      </w:r>
      <w:r>
        <w:rPr>
          <w:szCs w:val="28"/>
        </w:rPr>
        <w:t xml:space="preserve"> </w:t>
      </w:r>
      <w:r w:rsidRPr="00E813A0">
        <w:rPr>
          <w:szCs w:val="28"/>
        </w:rPr>
        <w:t>выше предельных максимальных уровней.</w:t>
      </w:r>
    </w:p>
    <w:p w:rsidR="00A712E1" w:rsidRPr="00E813A0" w:rsidRDefault="00A712E1" w:rsidP="00A712E1">
      <w:pPr>
        <w:spacing w:after="0" w:line="240" w:lineRule="auto"/>
        <w:ind w:firstLine="709"/>
        <w:jc w:val="both"/>
        <w:rPr>
          <w:szCs w:val="28"/>
        </w:rPr>
      </w:pPr>
      <w:r w:rsidRPr="00E813A0">
        <w:rPr>
          <w:szCs w:val="28"/>
        </w:rPr>
        <w:t>Расчет тарифов на услуги по передаче электрической энергии населению и приравненным к нему категориям потребителей произведен с учетом составляющих, порядок формирования которых изложен в разделе «Формирование тарифов для населения и приравненных к нему категорий потребителей»).</w:t>
      </w:r>
    </w:p>
    <w:p w:rsidR="00A712E1" w:rsidRPr="00360867" w:rsidRDefault="00A712E1" w:rsidP="00A712E1">
      <w:pPr>
        <w:spacing w:after="0" w:line="240" w:lineRule="auto"/>
        <w:ind w:firstLine="709"/>
        <w:jc w:val="both"/>
        <w:rPr>
          <w:szCs w:val="28"/>
        </w:rPr>
      </w:pPr>
      <w:r w:rsidRPr="00E813A0">
        <w:rPr>
          <w:szCs w:val="28"/>
        </w:rPr>
        <w:t>Средневзвешенные тарифы на услуги по передаче электрической энергии, поставляемой населению и приравненным к</w:t>
      </w:r>
      <w:r w:rsidRPr="00360867">
        <w:rPr>
          <w:szCs w:val="28"/>
        </w:rPr>
        <w:t xml:space="preserve"> нему категориям потребителей, относящимся к группе (подгруппе) населения и (или) приравненных к населению категорий потребителей, в диапазоне объемов потребления электрической энергии (мощности), а также в разрезе полугодий рассчитаны в следующем размере:</w:t>
      </w:r>
    </w:p>
    <w:p w:rsidR="00A712E1" w:rsidRPr="00360867" w:rsidRDefault="00A712E1" w:rsidP="00A712E1">
      <w:pPr>
        <w:spacing w:after="0" w:line="240" w:lineRule="auto"/>
        <w:ind w:firstLine="709"/>
        <w:jc w:val="both"/>
        <w:rPr>
          <w:szCs w:val="28"/>
        </w:rPr>
      </w:pPr>
      <w:r w:rsidRPr="00360867">
        <w:rPr>
          <w:szCs w:val="28"/>
        </w:rPr>
        <w:t>на первое полугодие – 1,04010 руб./</w:t>
      </w:r>
      <w:r>
        <w:rPr>
          <w:szCs w:val="28"/>
        </w:rPr>
        <w:t>к</w:t>
      </w:r>
      <w:r w:rsidRPr="00360867">
        <w:rPr>
          <w:szCs w:val="28"/>
        </w:rPr>
        <w:t>Вт.ч;</w:t>
      </w:r>
    </w:p>
    <w:p w:rsidR="00A712E1" w:rsidRPr="00360867" w:rsidRDefault="00A712E1" w:rsidP="00A712E1">
      <w:pPr>
        <w:spacing w:after="0" w:line="240" w:lineRule="auto"/>
        <w:ind w:firstLine="709"/>
        <w:jc w:val="both"/>
        <w:rPr>
          <w:szCs w:val="28"/>
        </w:rPr>
      </w:pPr>
      <w:r w:rsidRPr="00360867">
        <w:rPr>
          <w:szCs w:val="28"/>
        </w:rPr>
        <w:t>на второе полугодие – 1,34341 руб./</w:t>
      </w:r>
      <w:r>
        <w:rPr>
          <w:szCs w:val="28"/>
        </w:rPr>
        <w:t>к</w:t>
      </w:r>
      <w:r w:rsidRPr="00360867">
        <w:rPr>
          <w:szCs w:val="28"/>
        </w:rPr>
        <w:t>Вт.ч.</w:t>
      </w:r>
    </w:p>
    <w:p w:rsidR="00A712E1" w:rsidRDefault="00A712E1" w:rsidP="00A712E1">
      <w:pPr>
        <w:spacing w:after="0" w:line="240" w:lineRule="auto"/>
        <w:ind w:firstLine="709"/>
        <w:jc w:val="both"/>
        <w:rPr>
          <w:szCs w:val="28"/>
        </w:rPr>
      </w:pPr>
      <w:r w:rsidRPr="00360867">
        <w:rPr>
          <w:szCs w:val="28"/>
        </w:rPr>
        <w:t>При этом средневзвешенный тариф на услуги по передаче электрической энергии населению и приравненным к нему категориям потребителей, рассчитанный на</w:t>
      </w:r>
      <w:r>
        <w:rPr>
          <w:szCs w:val="28"/>
        </w:rPr>
        <w:t xml:space="preserve"> </w:t>
      </w:r>
      <w:r w:rsidRPr="00360867">
        <w:rPr>
          <w:szCs w:val="28"/>
        </w:rPr>
        <w:t xml:space="preserve">2 полугодие 2025 года по диапазонам объемов потребления электрической энергии (мощности), сформирован с ростом относительно 1 полугодия 2025 года на 29,2%, с превышением </w:t>
      </w:r>
      <w:r w:rsidRPr="00360867">
        <w:rPr>
          <w:szCs w:val="28"/>
        </w:rPr>
        <w:lastRenderedPageBreak/>
        <w:t xml:space="preserve">предельного уровня тарифа, установленного на 2 полугодие 2025 года приказом ФАС России от 24.10.2024 № 767/24, на 6,2%.     </w:t>
      </w:r>
    </w:p>
    <w:p w:rsidR="00A712E1" w:rsidRDefault="00A712E1" w:rsidP="00A712E1">
      <w:pPr>
        <w:autoSpaceDE w:val="0"/>
        <w:autoSpaceDN w:val="0"/>
        <w:adjustRightInd w:val="0"/>
        <w:spacing w:after="0" w:line="240" w:lineRule="auto"/>
        <w:ind w:firstLine="709"/>
        <w:jc w:val="both"/>
        <w:rPr>
          <w:szCs w:val="28"/>
        </w:rPr>
      </w:pPr>
      <w:r w:rsidRPr="00AC20AF">
        <w:rPr>
          <w:szCs w:val="28"/>
        </w:rPr>
        <w:t>Приказом ФАС России от 28.11.2024 № 921/24 «О согласовании решений исполнительных органов субъектов Российской Федерации в области государственного регулирования цен (тарифов) на уровне выше максимальных уровней, установленных ФАС</w:t>
      </w:r>
      <w:r>
        <w:rPr>
          <w:szCs w:val="28"/>
        </w:rPr>
        <w:t xml:space="preserve"> России на 2025 год» согласовано решение департамента </w:t>
      </w:r>
      <w:r w:rsidRPr="00AC20AF">
        <w:rPr>
          <w:szCs w:val="28"/>
        </w:rPr>
        <w:t>об установлении единых (котловых) тарифов на услуги по передаче электрической энергии по сетям Новосибирской области, поставляемой к населению и приравненным к н</w:t>
      </w:r>
      <w:r>
        <w:rPr>
          <w:szCs w:val="28"/>
        </w:rPr>
        <w:t>ему категориям потребителей.</w:t>
      </w:r>
    </w:p>
    <w:p w:rsidR="00A712E1" w:rsidRPr="00A714DB" w:rsidRDefault="00A712E1" w:rsidP="00A712E1">
      <w:pPr>
        <w:autoSpaceDE w:val="0"/>
        <w:autoSpaceDN w:val="0"/>
        <w:adjustRightInd w:val="0"/>
        <w:spacing w:after="0" w:line="240" w:lineRule="auto"/>
        <w:ind w:firstLine="709"/>
        <w:jc w:val="both"/>
        <w:rPr>
          <w:iCs/>
          <w:szCs w:val="28"/>
        </w:rPr>
      </w:pPr>
      <w:r>
        <w:rPr>
          <w:szCs w:val="28"/>
        </w:rPr>
        <w:t>Приказом департамента от 0</w:t>
      </w:r>
      <w:r w:rsidRPr="0030248D">
        <w:rPr>
          <w:szCs w:val="28"/>
        </w:rPr>
        <w:t xml:space="preserve">9 </w:t>
      </w:r>
      <w:r>
        <w:rPr>
          <w:szCs w:val="28"/>
        </w:rPr>
        <w:t>декаб</w:t>
      </w:r>
      <w:r w:rsidRPr="0030248D">
        <w:rPr>
          <w:szCs w:val="28"/>
        </w:rPr>
        <w:t>ря 202</w:t>
      </w:r>
      <w:r>
        <w:rPr>
          <w:szCs w:val="28"/>
        </w:rPr>
        <w:t>4</w:t>
      </w:r>
      <w:r w:rsidRPr="0030248D">
        <w:rPr>
          <w:szCs w:val="28"/>
        </w:rPr>
        <w:t xml:space="preserve"> года № </w:t>
      </w:r>
      <w:r>
        <w:rPr>
          <w:szCs w:val="28"/>
        </w:rPr>
        <w:t>338</w:t>
      </w:r>
      <w:r w:rsidRPr="0030248D">
        <w:rPr>
          <w:szCs w:val="28"/>
        </w:rPr>
        <w:t xml:space="preserve">-ЭЭ/НПА </w:t>
      </w:r>
      <w:r>
        <w:rPr>
          <w:color w:val="000000"/>
          <w:szCs w:val="28"/>
        </w:rPr>
        <w:t>скорректированы на 2025</w:t>
      </w:r>
      <w:r w:rsidRPr="0030248D">
        <w:rPr>
          <w:color w:val="000000"/>
          <w:szCs w:val="28"/>
        </w:rPr>
        <w:t xml:space="preserve"> год единые (котловые) тарифы на услуги по передаче электрической энергии по сетям Новосибирской области, поставляемой населению и приравненным к нему категориям потребителей, </w:t>
      </w:r>
      <w:r w:rsidRPr="00A714DB">
        <w:rPr>
          <w:color w:val="000000"/>
          <w:szCs w:val="28"/>
        </w:rPr>
        <w:t>установленные на долгосрочный период регулирования.</w:t>
      </w:r>
      <w:r w:rsidRPr="00A714DB">
        <w:rPr>
          <w:i/>
          <w:iCs/>
          <w:sz w:val="24"/>
        </w:rPr>
        <w:t xml:space="preserve"> </w:t>
      </w:r>
    </w:p>
    <w:p w:rsidR="00C960A9" w:rsidRDefault="00A712E1" w:rsidP="00F31533">
      <w:pPr>
        <w:tabs>
          <w:tab w:val="center" w:pos="4677"/>
          <w:tab w:val="right" w:pos="9355"/>
        </w:tabs>
        <w:spacing w:after="0" w:line="240" w:lineRule="auto"/>
        <w:ind w:firstLine="709"/>
        <w:jc w:val="both"/>
        <w:rPr>
          <w:rFonts w:eastAsia="Calibri"/>
        </w:rPr>
      </w:pPr>
      <w:r w:rsidRPr="00A714DB">
        <w:rPr>
          <w:rFonts w:eastAsia="Calibri"/>
          <w:szCs w:val="28"/>
        </w:rPr>
        <w:t xml:space="preserve"> Средневзвешенные тарифы и </w:t>
      </w:r>
      <w:r w:rsidRPr="00A714DB">
        <w:rPr>
          <w:szCs w:val="28"/>
        </w:rPr>
        <w:t xml:space="preserve">экономически обоснованные тарифы (ЭОТ) </w:t>
      </w:r>
      <w:r w:rsidRPr="00A714DB">
        <w:rPr>
          <w:rFonts w:eastAsia="Calibri"/>
          <w:szCs w:val="28"/>
        </w:rPr>
        <w:t xml:space="preserve">на услуги по передаче электрической энергии населению и приравненным к нему категориям потребителей без учета </w:t>
      </w:r>
      <w:r w:rsidRPr="00A714DB">
        <w:rPr>
          <w:szCs w:val="28"/>
        </w:rPr>
        <w:t xml:space="preserve">дифференциации по диапазонам потребления электрической энергии (мощности), по зонам суток и места проживания (расположения), рассчитаны в разрезе полугодий на 2025 год </w:t>
      </w:r>
      <w:r w:rsidRPr="00A714DB">
        <w:rPr>
          <w:rFonts w:eastAsia="Calibri"/>
          <w:szCs w:val="28"/>
        </w:rPr>
        <w:t>в следующем размере (без НДС):</w:t>
      </w:r>
      <w:r w:rsidRPr="0030248D">
        <w:rPr>
          <w:rFonts w:eastAsia="Calibri"/>
        </w:rPr>
        <w:t xml:space="preserve">                                    </w:t>
      </w:r>
      <w:r>
        <w:rPr>
          <w:rFonts w:eastAsia="Calibri"/>
        </w:rPr>
        <w:t xml:space="preserve">                   </w:t>
      </w:r>
      <w:r w:rsidRPr="0030248D">
        <w:rPr>
          <w:rFonts w:eastAsia="Calibri"/>
        </w:rPr>
        <w:t xml:space="preserve"> </w:t>
      </w:r>
    </w:p>
    <w:p w:rsidR="00A712E1" w:rsidRPr="00C960A9" w:rsidRDefault="00F31533" w:rsidP="00F31533">
      <w:pPr>
        <w:tabs>
          <w:tab w:val="center" w:pos="4677"/>
          <w:tab w:val="right" w:pos="9355"/>
        </w:tabs>
        <w:spacing w:after="0" w:line="240" w:lineRule="auto"/>
        <w:ind w:firstLine="709"/>
        <w:jc w:val="right"/>
        <w:rPr>
          <w:rFonts w:eastAsia="Calibri"/>
          <w:sz w:val="20"/>
          <w:szCs w:val="20"/>
        </w:rPr>
      </w:pPr>
      <w:r>
        <w:rPr>
          <w:rFonts w:eastAsia="Calibri"/>
          <w:sz w:val="20"/>
          <w:szCs w:val="20"/>
        </w:rPr>
        <w:t xml:space="preserve">                                                                </w:t>
      </w:r>
      <w:r w:rsidR="00A712E1" w:rsidRPr="00C960A9">
        <w:rPr>
          <w:rFonts w:eastAsia="Calibri"/>
          <w:sz w:val="20"/>
          <w:szCs w:val="20"/>
        </w:rPr>
        <w:t>руб/кВт.ч</w:t>
      </w:r>
    </w:p>
    <w:tbl>
      <w:tblPr>
        <w:tblW w:w="483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7"/>
        <w:gridCol w:w="1339"/>
        <w:gridCol w:w="1472"/>
      </w:tblGrid>
      <w:tr w:rsidR="00A712E1" w:rsidRPr="00F31533" w:rsidTr="00017B45">
        <w:trPr>
          <w:trHeight w:val="17"/>
        </w:trPr>
        <w:tc>
          <w:tcPr>
            <w:tcW w:w="3480" w:type="pct"/>
            <w:noWrap/>
            <w:vAlign w:val="center"/>
            <w:hideMark/>
          </w:tcPr>
          <w:p w:rsidR="00A712E1" w:rsidRPr="00F31533" w:rsidRDefault="00A712E1" w:rsidP="00F31533">
            <w:pPr>
              <w:spacing w:after="0" w:line="240" w:lineRule="auto"/>
              <w:rPr>
                <w:rFonts w:eastAsia="Times New Roman"/>
                <w:sz w:val="20"/>
                <w:szCs w:val="20"/>
              </w:rPr>
            </w:pPr>
            <w:r w:rsidRPr="00F31533">
              <w:rPr>
                <w:rFonts w:eastAsia="Times New Roman"/>
                <w:sz w:val="20"/>
                <w:szCs w:val="20"/>
              </w:rPr>
              <w:t>Тарифы на услуги по передаче электрической энергии для населения и приравненных к нему категорий потребителей</w:t>
            </w:r>
          </w:p>
        </w:tc>
        <w:tc>
          <w:tcPr>
            <w:tcW w:w="724" w:type="pct"/>
            <w:noWrap/>
            <w:vAlign w:val="center"/>
            <w:hideMark/>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 xml:space="preserve"> 01.01.2025-30.06.2025</w:t>
            </w:r>
          </w:p>
        </w:tc>
        <w:tc>
          <w:tcPr>
            <w:tcW w:w="796" w:type="pct"/>
            <w:vAlign w:val="center"/>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01.07.2025-31.12.2025</w:t>
            </w:r>
          </w:p>
        </w:tc>
      </w:tr>
      <w:tr w:rsidR="00A712E1" w:rsidRPr="00F31533" w:rsidTr="00017B45">
        <w:trPr>
          <w:trHeight w:val="17"/>
        </w:trPr>
        <w:tc>
          <w:tcPr>
            <w:tcW w:w="3480" w:type="pct"/>
            <w:vAlign w:val="bottom"/>
            <w:hideMark/>
          </w:tcPr>
          <w:p w:rsidR="00A712E1" w:rsidRPr="00F31533" w:rsidRDefault="00A712E1" w:rsidP="00F31533">
            <w:pPr>
              <w:spacing w:after="0" w:line="240" w:lineRule="auto"/>
              <w:rPr>
                <w:rFonts w:eastAsia="Times New Roman"/>
                <w:sz w:val="20"/>
                <w:szCs w:val="20"/>
              </w:rPr>
            </w:pPr>
            <w:r w:rsidRPr="00F31533">
              <w:rPr>
                <w:rFonts w:eastAsia="Times New Roman"/>
                <w:sz w:val="20"/>
                <w:szCs w:val="20"/>
              </w:rPr>
              <w:t>Экономически обоснованный тариф</w:t>
            </w:r>
          </w:p>
        </w:tc>
        <w:tc>
          <w:tcPr>
            <w:tcW w:w="724" w:type="pct"/>
            <w:noWrap/>
            <w:vAlign w:val="center"/>
            <w:hideMark/>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2,64702</w:t>
            </w:r>
          </w:p>
        </w:tc>
        <w:tc>
          <w:tcPr>
            <w:tcW w:w="796" w:type="pct"/>
            <w:vAlign w:val="center"/>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3,20861</w:t>
            </w:r>
          </w:p>
        </w:tc>
      </w:tr>
      <w:tr w:rsidR="00A712E1" w:rsidRPr="00F31533" w:rsidTr="00017B45">
        <w:trPr>
          <w:trHeight w:val="17"/>
        </w:trPr>
        <w:tc>
          <w:tcPr>
            <w:tcW w:w="3480" w:type="pct"/>
            <w:noWrap/>
            <w:vAlign w:val="bottom"/>
            <w:hideMark/>
          </w:tcPr>
          <w:p w:rsidR="00A712E1" w:rsidRPr="00F31533" w:rsidRDefault="00A712E1" w:rsidP="00F31533">
            <w:pPr>
              <w:spacing w:after="0" w:line="240" w:lineRule="auto"/>
              <w:rPr>
                <w:rFonts w:eastAsia="Times New Roman"/>
                <w:sz w:val="20"/>
                <w:szCs w:val="20"/>
              </w:rPr>
            </w:pPr>
            <w:r w:rsidRPr="00F31533">
              <w:rPr>
                <w:rFonts w:eastAsia="Times New Roman"/>
                <w:sz w:val="20"/>
                <w:szCs w:val="20"/>
              </w:rPr>
              <w:t>Средневзвешенный тариф</w:t>
            </w:r>
          </w:p>
        </w:tc>
        <w:tc>
          <w:tcPr>
            <w:tcW w:w="724" w:type="pct"/>
            <w:noWrap/>
            <w:vAlign w:val="center"/>
            <w:hideMark/>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1,04010</w:t>
            </w:r>
          </w:p>
        </w:tc>
        <w:tc>
          <w:tcPr>
            <w:tcW w:w="796" w:type="pct"/>
            <w:vAlign w:val="center"/>
          </w:tcPr>
          <w:p w:rsidR="00A712E1" w:rsidRPr="00F31533" w:rsidRDefault="00A712E1" w:rsidP="00A712E1">
            <w:pPr>
              <w:spacing w:after="0" w:line="240" w:lineRule="auto"/>
              <w:rPr>
                <w:rFonts w:eastAsia="Times New Roman"/>
                <w:sz w:val="20"/>
                <w:szCs w:val="20"/>
              </w:rPr>
            </w:pPr>
            <w:r w:rsidRPr="00F31533">
              <w:rPr>
                <w:rFonts w:eastAsia="Times New Roman"/>
                <w:sz w:val="20"/>
                <w:szCs w:val="20"/>
              </w:rPr>
              <w:t>1,34341</w:t>
            </w:r>
          </w:p>
        </w:tc>
      </w:tr>
    </w:tbl>
    <w:p w:rsidR="00A712E1" w:rsidRPr="00FE1097" w:rsidRDefault="00A712E1" w:rsidP="00A712E1">
      <w:pPr>
        <w:tabs>
          <w:tab w:val="center" w:pos="4677"/>
          <w:tab w:val="right" w:pos="9355"/>
        </w:tabs>
        <w:spacing w:after="0" w:line="240" w:lineRule="auto"/>
        <w:ind w:firstLine="709"/>
        <w:jc w:val="both"/>
        <w:rPr>
          <w:rFonts w:eastAsia="Calibri"/>
          <w:szCs w:val="28"/>
        </w:rPr>
      </w:pPr>
      <w:r w:rsidRPr="003C1DC8">
        <w:rPr>
          <w:rFonts w:eastAsia="Calibri"/>
          <w:szCs w:val="28"/>
        </w:rPr>
        <w:t xml:space="preserve">Динамика изменения установленных единых (котловых) тарифов </w:t>
      </w:r>
      <w:r w:rsidRPr="003C1DC8">
        <w:rPr>
          <w:szCs w:val="28"/>
        </w:rPr>
        <w:t>на услуги по передаче электрической энергии по сетям г. Новосибирска, поставляемой населению и приравненным к нему категориям потребителей, по тарифной группе 1.</w:t>
      </w:r>
      <w:r w:rsidRPr="00767FDF">
        <w:rPr>
          <w:szCs w:val="28"/>
        </w:rPr>
        <w:t>1 «Население и приравненные к нему категории потребителей, за исключением указанного в пунктах 1.2 - 1.8» в</w:t>
      </w:r>
      <w:r w:rsidRPr="00767FDF">
        <w:rPr>
          <w:color w:val="FF0000"/>
          <w:szCs w:val="28"/>
        </w:rPr>
        <w:t xml:space="preserve"> </w:t>
      </w:r>
      <w:r w:rsidRPr="00767FDF">
        <w:rPr>
          <w:szCs w:val="28"/>
        </w:rPr>
        <w:t>сравнении в экономически обоснованными тарифами за период 2015-2025 годов представлена на графике:</w:t>
      </w:r>
      <w:r w:rsidRPr="003C1DC8">
        <w:rPr>
          <w:rFonts w:eastAsia="Calibri"/>
          <w:szCs w:val="28"/>
        </w:rPr>
        <w:t xml:space="preserve"> </w:t>
      </w:r>
    </w:p>
    <w:p w:rsidR="00A712E1" w:rsidRPr="00FE1097" w:rsidRDefault="00A712E1" w:rsidP="00A712E1">
      <w:pPr>
        <w:tabs>
          <w:tab w:val="center" w:pos="4677"/>
          <w:tab w:val="right" w:pos="9355"/>
        </w:tabs>
        <w:spacing w:after="0" w:line="240" w:lineRule="auto"/>
        <w:jc w:val="both"/>
        <w:rPr>
          <w:rFonts w:eastAsia="Calibri"/>
          <w:color w:val="FF0000"/>
          <w:szCs w:val="28"/>
        </w:rPr>
      </w:pPr>
      <w:r>
        <w:rPr>
          <w:noProof/>
        </w:rPr>
        <w:lastRenderedPageBreak/>
        <w:drawing>
          <wp:inline distT="0" distB="0" distL="0" distR="0" wp14:anchorId="6843830B" wp14:editId="01072A8C">
            <wp:extent cx="6035040" cy="3164620"/>
            <wp:effectExtent l="0" t="0" r="381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A712E1" w:rsidRDefault="00A712E1" w:rsidP="00A712E1">
      <w:pPr>
        <w:tabs>
          <w:tab w:val="center" w:pos="4677"/>
          <w:tab w:val="right" w:pos="9355"/>
        </w:tabs>
        <w:spacing w:after="0" w:line="240" w:lineRule="auto"/>
        <w:ind w:firstLine="709"/>
        <w:jc w:val="both"/>
        <w:rPr>
          <w:rFonts w:eastAsia="Calibri"/>
          <w:szCs w:val="28"/>
        </w:rPr>
      </w:pPr>
      <w:r w:rsidRPr="00B354BD">
        <w:rPr>
          <w:rFonts w:eastAsia="Calibri"/>
          <w:szCs w:val="28"/>
        </w:rPr>
        <w:t>Департаментом проведен сравнительный анализ единых (котловых) тарифов на услуги по передаче электрической энергии, поставляемой населению и приравненным к нему потребителям, среди крупных городов Российской Федерации с населением более 1 млн. чел. за период 2015-202</w:t>
      </w:r>
      <w:r>
        <w:rPr>
          <w:rFonts w:eastAsia="Calibri"/>
          <w:szCs w:val="28"/>
        </w:rPr>
        <w:t>5</w:t>
      </w:r>
      <w:r w:rsidRPr="00B354BD">
        <w:rPr>
          <w:rFonts w:eastAsia="Calibri"/>
          <w:szCs w:val="28"/>
        </w:rPr>
        <w:t xml:space="preserve"> г.г.</w:t>
      </w:r>
    </w:p>
    <w:p w:rsidR="00F31533" w:rsidRPr="00B354BD" w:rsidRDefault="00F31533" w:rsidP="00A712E1">
      <w:pPr>
        <w:tabs>
          <w:tab w:val="center" w:pos="4677"/>
          <w:tab w:val="right" w:pos="9355"/>
        </w:tabs>
        <w:spacing w:after="0" w:line="240" w:lineRule="auto"/>
        <w:ind w:firstLine="709"/>
        <w:jc w:val="both"/>
        <w:rPr>
          <w:rFonts w:eastAsia="Calibri"/>
          <w:szCs w:val="28"/>
        </w:rPr>
      </w:pPr>
    </w:p>
    <w:p w:rsidR="00A712E1" w:rsidRPr="00FE1097" w:rsidRDefault="00A712E1" w:rsidP="00A712E1">
      <w:pPr>
        <w:tabs>
          <w:tab w:val="center" w:pos="4677"/>
          <w:tab w:val="right" w:pos="9355"/>
        </w:tabs>
        <w:spacing w:after="0" w:line="240" w:lineRule="auto"/>
        <w:jc w:val="both"/>
        <w:rPr>
          <w:rFonts w:eastAsia="Calibri"/>
          <w:szCs w:val="28"/>
        </w:rPr>
      </w:pPr>
      <w:r>
        <w:rPr>
          <w:noProof/>
        </w:rPr>
        <w:drawing>
          <wp:inline distT="0" distB="0" distL="0" distR="0" wp14:anchorId="0AF7DF68" wp14:editId="62424224">
            <wp:extent cx="6119495" cy="3176276"/>
            <wp:effectExtent l="0" t="0" r="0" b="508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A712E1" w:rsidRPr="00B354BD" w:rsidRDefault="00A712E1" w:rsidP="00A712E1">
      <w:pPr>
        <w:tabs>
          <w:tab w:val="center" w:pos="4677"/>
          <w:tab w:val="right" w:pos="9355"/>
        </w:tabs>
        <w:spacing w:after="0" w:line="240" w:lineRule="auto"/>
        <w:ind w:firstLine="709"/>
        <w:jc w:val="both"/>
        <w:rPr>
          <w:rFonts w:eastAsia="Calibri"/>
          <w:szCs w:val="28"/>
        </w:rPr>
      </w:pPr>
      <w:r w:rsidRPr="00B354BD">
        <w:rPr>
          <w:rFonts w:eastAsia="Calibri"/>
          <w:szCs w:val="28"/>
        </w:rPr>
        <w:t xml:space="preserve">Следует отметить, что единые (котловые) тарифы по передаче электрической энергии по сетям г. Новосибирска, поставляемой населению и приравненным к нему категориям потребителей, по тарифной группе 1.1 за период 2017-2021 годов (со 2 полугодия) находятся на уровне минимальных значений тарифов среди городов-миллионников. </w:t>
      </w:r>
    </w:p>
    <w:p w:rsidR="00A712E1" w:rsidRPr="00B354BD" w:rsidRDefault="00A712E1" w:rsidP="00A712E1">
      <w:pPr>
        <w:tabs>
          <w:tab w:val="center" w:pos="4677"/>
          <w:tab w:val="right" w:pos="9355"/>
        </w:tabs>
        <w:spacing w:after="0" w:line="240" w:lineRule="auto"/>
        <w:ind w:firstLine="709"/>
        <w:jc w:val="both"/>
        <w:rPr>
          <w:rFonts w:eastAsia="Calibri"/>
          <w:szCs w:val="28"/>
        </w:rPr>
      </w:pPr>
      <w:r w:rsidRPr="00B354BD">
        <w:rPr>
          <w:rFonts w:eastAsia="Calibri"/>
          <w:szCs w:val="28"/>
        </w:rPr>
        <w:t>Данные по минимальным и максимальным уровням тарифов по городам-миллионникам за период 2015-202</w:t>
      </w:r>
      <w:r>
        <w:rPr>
          <w:rFonts w:eastAsia="Calibri"/>
          <w:szCs w:val="28"/>
        </w:rPr>
        <w:t>4</w:t>
      </w:r>
      <w:r w:rsidRPr="00B354BD">
        <w:rPr>
          <w:rFonts w:eastAsia="Calibri"/>
          <w:szCs w:val="28"/>
        </w:rPr>
        <w:t xml:space="preserve"> годов приведены в таблице ниже.</w:t>
      </w:r>
    </w:p>
    <w:p w:rsidR="00A712E1" w:rsidRPr="00ED4AD2" w:rsidRDefault="00ED4AD2" w:rsidP="00ED4AD2">
      <w:pPr>
        <w:tabs>
          <w:tab w:val="center" w:pos="4677"/>
          <w:tab w:val="right" w:pos="9355"/>
        </w:tabs>
        <w:spacing w:after="0" w:line="240" w:lineRule="auto"/>
        <w:ind w:firstLine="709"/>
        <w:jc w:val="right"/>
        <w:rPr>
          <w:rFonts w:eastAsia="Calibri"/>
          <w:sz w:val="24"/>
        </w:rPr>
      </w:pPr>
      <w:r w:rsidRPr="00ED4AD2">
        <w:rPr>
          <w:rFonts w:eastAsia="Calibri"/>
          <w:sz w:val="24"/>
        </w:rPr>
        <w:lastRenderedPageBreak/>
        <w:t>руб./кВтч</w:t>
      </w:r>
    </w:p>
    <w:p w:rsidR="00A712E1" w:rsidRDefault="00A712E1" w:rsidP="00A712E1">
      <w:pPr>
        <w:tabs>
          <w:tab w:val="center" w:pos="4677"/>
          <w:tab w:val="right" w:pos="9355"/>
        </w:tabs>
        <w:spacing w:after="0" w:line="240" w:lineRule="auto"/>
        <w:jc w:val="both"/>
        <w:rPr>
          <w:rFonts w:eastAsia="Calibri"/>
          <w:b/>
          <w:szCs w:val="28"/>
        </w:rPr>
      </w:pPr>
      <w:r w:rsidRPr="00767FDF">
        <w:rPr>
          <w:noProof/>
        </w:rPr>
        <w:drawing>
          <wp:inline distT="0" distB="0" distL="0" distR="0" wp14:anchorId="22F04E9C" wp14:editId="78048BA3">
            <wp:extent cx="5972908" cy="841924"/>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009162" cy="847034"/>
                    </a:xfrm>
                    <a:prstGeom prst="rect">
                      <a:avLst/>
                    </a:prstGeom>
                    <a:noFill/>
                    <a:ln>
                      <a:noFill/>
                    </a:ln>
                  </pic:spPr>
                </pic:pic>
              </a:graphicData>
            </a:graphic>
          </wp:inline>
        </w:drawing>
      </w:r>
    </w:p>
    <w:p w:rsidR="00A712E1" w:rsidRPr="00ED4AD2" w:rsidRDefault="00A712E1" w:rsidP="00ED4AD2">
      <w:pPr>
        <w:pStyle w:val="4"/>
      </w:pPr>
      <w:bookmarkStart w:id="23" w:name="_Toc193810525"/>
      <w:r w:rsidRPr="00ED4AD2">
        <w:t>2.1.3.3. Корректировка на 2025 год единых (котловых) тарифов на услуги по передаче электрической энергии прочим потребителям</w:t>
      </w:r>
      <w:bookmarkEnd w:id="23"/>
    </w:p>
    <w:p w:rsidR="00A712E1" w:rsidRPr="006010BB" w:rsidRDefault="00A712E1" w:rsidP="00A712E1">
      <w:pPr>
        <w:tabs>
          <w:tab w:val="center" w:pos="4677"/>
          <w:tab w:val="right" w:pos="9355"/>
        </w:tabs>
        <w:spacing w:after="0" w:line="240" w:lineRule="auto"/>
        <w:ind w:firstLine="709"/>
        <w:jc w:val="both"/>
        <w:rPr>
          <w:szCs w:val="28"/>
        </w:rPr>
      </w:pPr>
      <w:r w:rsidRPr="006010BB">
        <w:rPr>
          <w:szCs w:val="28"/>
        </w:rPr>
        <w:t>Приказом ФАС России от 24.10.2024 № 766/24 «Об утверждении предельных минимальных и максимальных уровней тарифов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 оказываемые потребителям,  не относящимся к населению и приравненным к нему категориям потребителей, по субъектам Российской Федерации на 2025 год» предельные максимальные и минимальные уровни тарифов на услуги по передаче электрической энергии по сетям, принадлежащим на праве собственности или ином законном основании территориальным сетевым организациям, оказываемые потребителям, не относящимся к населению и приравненным к нему категориям потребителей, по субъектам РФ на 2025 год установлены для Новосибирской области в следующем размере:</w:t>
      </w:r>
    </w:p>
    <w:p w:rsidR="00A712E1" w:rsidRDefault="00A712E1" w:rsidP="00A712E1">
      <w:pPr>
        <w:tabs>
          <w:tab w:val="center" w:pos="4677"/>
          <w:tab w:val="right" w:pos="9355"/>
        </w:tabs>
        <w:spacing w:after="0" w:line="240" w:lineRule="auto"/>
        <w:jc w:val="both"/>
        <w:rPr>
          <w:rFonts w:eastAsia="Times New Roman"/>
          <w:szCs w:val="28"/>
        </w:rPr>
      </w:pPr>
      <w:r>
        <w:rPr>
          <w:noProof/>
        </w:rPr>
        <w:drawing>
          <wp:inline distT="0" distB="0" distL="0" distR="0" wp14:anchorId="616DEBAB" wp14:editId="50F6D7E9">
            <wp:extent cx="5920154" cy="2263173"/>
            <wp:effectExtent l="0" t="0" r="4445" b="381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20958" cy="2263480"/>
                    </a:xfrm>
                    <a:prstGeom prst="rect">
                      <a:avLst/>
                    </a:prstGeom>
                    <a:noFill/>
                    <a:ln>
                      <a:noFill/>
                    </a:ln>
                  </pic:spPr>
                </pic:pic>
              </a:graphicData>
            </a:graphic>
          </wp:inline>
        </w:drawing>
      </w:r>
    </w:p>
    <w:p w:rsidR="00A712E1" w:rsidRPr="0030248D" w:rsidRDefault="00A712E1" w:rsidP="00A712E1">
      <w:pPr>
        <w:tabs>
          <w:tab w:val="center" w:pos="4677"/>
          <w:tab w:val="right" w:pos="9355"/>
        </w:tabs>
        <w:spacing w:after="0" w:line="240" w:lineRule="auto"/>
        <w:ind w:firstLine="851"/>
        <w:jc w:val="both"/>
        <w:rPr>
          <w:rFonts w:eastAsia="Calibri"/>
          <w:szCs w:val="28"/>
        </w:rPr>
      </w:pPr>
    </w:p>
    <w:p w:rsidR="00A712E1" w:rsidRPr="009D7B10" w:rsidRDefault="00A712E1" w:rsidP="00A712E1">
      <w:pPr>
        <w:tabs>
          <w:tab w:val="center" w:pos="4677"/>
          <w:tab w:val="right" w:pos="9355"/>
        </w:tabs>
        <w:spacing w:after="0" w:line="240" w:lineRule="auto"/>
        <w:ind w:firstLine="851"/>
        <w:jc w:val="both"/>
        <w:rPr>
          <w:rFonts w:eastAsia="Calibri"/>
          <w:szCs w:val="28"/>
        </w:rPr>
      </w:pPr>
      <w:r w:rsidRPr="009D7B10">
        <w:rPr>
          <w:rFonts w:eastAsia="Calibri"/>
          <w:szCs w:val="28"/>
        </w:rPr>
        <w:t>Расчет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w:t>
      </w:r>
      <w:r>
        <w:rPr>
          <w:rFonts w:eastAsia="Calibri"/>
          <w:szCs w:val="28"/>
        </w:rPr>
        <w:t>риям потребителей, на 2025 год</w:t>
      </w:r>
      <w:r w:rsidRPr="009D7B10">
        <w:rPr>
          <w:rFonts w:eastAsia="Calibri"/>
          <w:szCs w:val="28"/>
        </w:rPr>
        <w:t xml:space="preserve"> произведен в соответствии с </w:t>
      </w:r>
      <w:r w:rsidRPr="004E5E51">
        <w:rPr>
          <w:rFonts w:eastAsia="Calibri"/>
          <w:szCs w:val="28"/>
        </w:rPr>
        <w:t>Методическими указаниями № 20-э/2,</w:t>
      </w:r>
      <w:r w:rsidRPr="009D7B10">
        <w:rPr>
          <w:rFonts w:eastAsia="Calibri"/>
          <w:szCs w:val="28"/>
        </w:rPr>
        <w:t xml:space="preserve"> с учётом положений пункта 11.1 Основ ценообразования № 1178 исходя из непревышения величины цен (тарифов) в первом полугодии очередного годового периода регулирования над величиной соответствующих цен (тарифов) во втором полугодии предшествующего годового периода регулирования по состоянию на 31 декабря.</w:t>
      </w:r>
    </w:p>
    <w:p w:rsidR="00A712E1" w:rsidRDefault="00A712E1" w:rsidP="00A712E1">
      <w:pPr>
        <w:tabs>
          <w:tab w:val="center" w:pos="4677"/>
          <w:tab w:val="right" w:pos="9355"/>
        </w:tabs>
        <w:spacing w:after="0" w:line="240" w:lineRule="auto"/>
        <w:ind w:firstLine="851"/>
        <w:jc w:val="both"/>
        <w:rPr>
          <w:rFonts w:eastAsia="Calibri"/>
          <w:szCs w:val="28"/>
        </w:rPr>
      </w:pPr>
      <w:r w:rsidRPr="009D7B10">
        <w:rPr>
          <w:rFonts w:eastAsia="Calibri"/>
          <w:szCs w:val="28"/>
        </w:rPr>
        <w:t xml:space="preserve">Единые (котловые) тарифы на услуги по передаче электрической энергии потребителям, не относящимся к населению и приравненным к нему </w:t>
      </w:r>
      <w:r w:rsidRPr="009D7B10">
        <w:rPr>
          <w:rFonts w:eastAsia="Calibri"/>
          <w:szCs w:val="28"/>
        </w:rPr>
        <w:lastRenderedPageBreak/>
        <w:t>категориям потребителей,  сформированные на второе полугодие 2025 года, установ</w:t>
      </w:r>
      <w:r>
        <w:rPr>
          <w:rFonts w:eastAsia="Calibri"/>
          <w:szCs w:val="28"/>
        </w:rPr>
        <w:t>лены</w:t>
      </w:r>
      <w:r w:rsidRPr="009D7B10">
        <w:rPr>
          <w:rFonts w:eastAsia="Calibri"/>
          <w:szCs w:val="28"/>
        </w:rPr>
        <w:t xml:space="preserve"> выше предельных уровней тарифов на услуги по передаче электрической энергии, оказываемые потребителям, не относящимся к населению и приравненным к нему категориям потребителей, установленных приказом ФАС России от 24.10.2024 № 766/24. </w:t>
      </w:r>
    </w:p>
    <w:p w:rsidR="00A712E1" w:rsidRPr="009D7B10" w:rsidRDefault="00A712E1" w:rsidP="00A712E1">
      <w:pPr>
        <w:tabs>
          <w:tab w:val="center" w:pos="4677"/>
          <w:tab w:val="right" w:pos="9355"/>
        </w:tabs>
        <w:spacing w:after="0" w:line="240" w:lineRule="auto"/>
        <w:ind w:firstLine="851"/>
        <w:jc w:val="both"/>
        <w:rPr>
          <w:rFonts w:eastAsia="Calibri"/>
          <w:szCs w:val="28"/>
        </w:rPr>
      </w:pPr>
      <w:r>
        <w:rPr>
          <w:rFonts w:eastAsia="Calibri"/>
          <w:szCs w:val="28"/>
        </w:rPr>
        <w:t>Д</w:t>
      </w:r>
      <w:r w:rsidRPr="009D7B10">
        <w:rPr>
          <w:rFonts w:eastAsia="Calibri"/>
          <w:szCs w:val="28"/>
        </w:rPr>
        <w:t xml:space="preserve">епартаментом в адрес ФАС России </w:t>
      </w:r>
      <w:r>
        <w:rPr>
          <w:rFonts w:eastAsia="Calibri"/>
          <w:szCs w:val="28"/>
        </w:rPr>
        <w:t xml:space="preserve">были </w:t>
      </w:r>
      <w:r w:rsidRPr="009D7B10">
        <w:rPr>
          <w:rFonts w:eastAsia="Calibri"/>
          <w:szCs w:val="28"/>
        </w:rPr>
        <w:t>направлен</w:t>
      </w:r>
      <w:r>
        <w:rPr>
          <w:rFonts w:eastAsia="Calibri"/>
          <w:szCs w:val="28"/>
        </w:rPr>
        <w:t>ы</w:t>
      </w:r>
      <w:r w:rsidRPr="009D7B10">
        <w:rPr>
          <w:rFonts w:eastAsia="Calibri"/>
          <w:szCs w:val="28"/>
        </w:rPr>
        <w:t xml:space="preserve"> </w:t>
      </w:r>
      <w:r>
        <w:rPr>
          <w:rFonts w:eastAsia="Calibri"/>
          <w:szCs w:val="28"/>
        </w:rPr>
        <w:t xml:space="preserve">вышеуказанные </w:t>
      </w:r>
      <w:r w:rsidRPr="009D7B10">
        <w:rPr>
          <w:rFonts w:eastAsia="Calibri"/>
          <w:szCs w:val="28"/>
        </w:rPr>
        <w:t>заявлени</w:t>
      </w:r>
      <w:r>
        <w:rPr>
          <w:rFonts w:eastAsia="Calibri"/>
          <w:szCs w:val="28"/>
        </w:rPr>
        <w:t>я</w:t>
      </w:r>
      <w:r w:rsidRPr="009D7B10">
        <w:rPr>
          <w:rFonts w:eastAsia="Calibri"/>
          <w:szCs w:val="28"/>
        </w:rPr>
        <w:t xml:space="preserve"> </w:t>
      </w:r>
      <w:r>
        <w:rPr>
          <w:rFonts w:eastAsia="Calibri"/>
          <w:szCs w:val="28"/>
        </w:rPr>
        <w:t>(</w:t>
      </w:r>
      <w:r w:rsidRPr="004C0715">
        <w:rPr>
          <w:rFonts w:eastAsia="Calibri"/>
          <w:szCs w:val="28"/>
        </w:rPr>
        <w:t>от 24.10.2024 № 1607-08/33</w:t>
      </w:r>
      <w:r>
        <w:rPr>
          <w:rFonts w:eastAsia="Calibri"/>
          <w:szCs w:val="28"/>
        </w:rPr>
        <w:t xml:space="preserve">, </w:t>
      </w:r>
      <w:r w:rsidRPr="004C0715">
        <w:rPr>
          <w:rFonts w:eastAsia="Calibri"/>
          <w:szCs w:val="28"/>
        </w:rPr>
        <w:t>от 14.11.2024 № 1725-08/33</w:t>
      </w:r>
      <w:r>
        <w:rPr>
          <w:rFonts w:eastAsia="Calibri"/>
          <w:szCs w:val="28"/>
        </w:rPr>
        <w:t xml:space="preserve">) </w:t>
      </w:r>
      <w:r w:rsidRPr="009D7B10">
        <w:rPr>
          <w:rFonts w:eastAsia="Calibri"/>
          <w:szCs w:val="28"/>
        </w:rPr>
        <w:t>с приложением необходимых документов для согласования решения департамента по корректировке на 2025 год единых (котловых) тарифов на услуги по передаче электрической энергии</w:t>
      </w:r>
      <w:r>
        <w:rPr>
          <w:rFonts w:eastAsia="Calibri"/>
          <w:szCs w:val="28"/>
        </w:rPr>
        <w:t xml:space="preserve"> по сетям Новосибирской области</w:t>
      </w:r>
      <w:r w:rsidRPr="009D7B10">
        <w:rPr>
          <w:rFonts w:eastAsia="Calibri"/>
          <w:szCs w:val="28"/>
        </w:rPr>
        <w:t xml:space="preserve"> </w:t>
      </w:r>
      <w:r>
        <w:rPr>
          <w:rFonts w:eastAsia="Calibri"/>
          <w:szCs w:val="28"/>
        </w:rPr>
        <w:t>для</w:t>
      </w:r>
      <w:r w:rsidRPr="009D7B10">
        <w:rPr>
          <w:rFonts w:eastAsia="Calibri"/>
          <w:szCs w:val="28"/>
        </w:rPr>
        <w:t xml:space="preserve"> </w:t>
      </w:r>
      <w:r>
        <w:rPr>
          <w:rFonts w:eastAsia="Calibri"/>
          <w:szCs w:val="28"/>
        </w:rPr>
        <w:t>потребителей</w:t>
      </w:r>
      <w:r w:rsidRPr="009D7B10">
        <w:rPr>
          <w:rFonts w:eastAsia="Calibri"/>
          <w:szCs w:val="28"/>
        </w:rPr>
        <w:t>, не относящихся к населению и приравненным к нему категориям потребителей, на уровне выше предельных максимальных уровней.</w:t>
      </w:r>
    </w:p>
    <w:p w:rsidR="00A712E1" w:rsidRDefault="00A712E1" w:rsidP="00A712E1">
      <w:pPr>
        <w:tabs>
          <w:tab w:val="center" w:pos="4677"/>
          <w:tab w:val="right" w:pos="9355"/>
        </w:tabs>
        <w:spacing w:after="0" w:line="240" w:lineRule="auto"/>
        <w:ind w:firstLine="851"/>
        <w:jc w:val="both"/>
        <w:rPr>
          <w:rFonts w:eastAsia="Calibri"/>
          <w:szCs w:val="28"/>
        </w:rPr>
      </w:pPr>
      <w:r w:rsidRPr="009D7B10">
        <w:rPr>
          <w:rFonts w:eastAsia="Calibri"/>
          <w:szCs w:val="28"/>
        </w:rPr>
        <w:t>Приказом ФАС России от 28.11.2024 № 921/24 «О согласовании решений исполнительных органов субъектов Российской Федерации в области государственного регулирования цен (тарифов) на уровне выше максимальных уровней, установленных ФАС</w:t>
      </w:r>
      <w:r>
        <w:rPr>
          <w:rFonts w:eastAsia="Calibri"/>
          <w:szCs w:val="28"/>
        </w:rPr>
        <w:t xml:space="preserve"> России на 2025 год» согласовано</w:t>
      </w:r>
      <w:r w:rsidRPr="009D7B10">
        <w:rPr>
          <w:rFonts w:eastAsia="Calibri"/>
          <w:szCs w:val="28"/>
        </w:rPr>
        <w:t xml:space="preserve"> решени</w:t>
      </w:r>
      <w:r>
        <w:rPr>
          <w:rFonts w:eastAsia="Calibri"/>
          <w:szCs w:val="28"/>
        </w:rPr>
        <w:t>е департамента</w:t>
      </w:r>
      <w:r w:rsidRPr="009D7B10">
        <w:rPr>
          <w:rFonts w:eastAsia="Calibri"/>
          <w:szCs w:val="28"/>
        </w:rPr>
        <w:t xml:space="preserve"> об установлении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категорий потребителей. </w:t>
      </w:r>
    </w:p>
    <w:p w:rsidR="00A712E1" w:rsidRDefault="00A712E1" w:rsidP="00A712E1">
      <w:pPr>
        <w:tabs>
          <w:tab w:val="center" w:pos="4677"/>
          <w:tab w:val="right" w:pos="9355"/>
        </w:tabs>
        <w:spacing w:after="0" w:line="240" w:lineRule="auto"/>
        <w:ind w:firstLine="709"/>
        <w:jc w:val="both"/>
        <w:rPr>
          <w:rFonts w:eastAsia="Times New Roman"/>
          <w:szCs w:val="28"/>
        </w:rPr>
      </w:pPr>
      <w:r w:rsidRPr="0030248D">
        <w:rPr>
          <w:rFonts w:eastAsia="Times New Roman"/>
          <w:szCs w:val="28"/>
        </w:rPr>
        <w:t xml:space="preserve">В результате, рост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категориям потребителей, </w:t>
      </w:r>
      <w:r>
        <w:rPr>
          <w:rFonts w:eastAsia="Times New Roman"/>
          <w:b/>
          <w:szCs w:val="28"/>
        </w:rPr>
        <w:t>на второе полугодие 2025</w:t>
      </w:r>
      <w:r w:rsidRPr="0030248D">
        <w:rPr>
          <w:rFonts w:eastAsia="Times New Roman"/>
          <w:b/>
          <w:szCs w:val="28"/>
        </w:rPr>
        <w:t xml:space="preserve"> года</w:t>
      </w:r>
      <w:r w:rsidRPr="0030248D">
        <w:rPr>
          <w:rFonts w:eastAsia="Times New Roman"/>
          <w:szCs w:val="28"/>
        </w:rPr>
        <w:t xml:space="preserve"> составил: по ставке (тарифу) на содержание электрических сетей</w:t>
      </w:r>
      <w:r>
        <w:rPr>
          <w:rFonts w:eastAsia="Times New Roman"/>
          <w:szCs w:val="28"/>
        </w:rPr>
        <w:t xml:space="preserve"> по отношению к 1 полугодию 2025</w:t>
      </w:r>
      <w:r w:rsidRPr="0030248D">
        <w:rPr>
          <w:rFonts w:eastAsia="Times New Roman"/>
          <w:szCs w:val="28"/>
        </w:rPr>
        <w:t xml:space="preserve"> года на ВН -</w:t>
      </w:r>
      <w:r w:rsidRPr="00494FB2">
        <w:rPr>
          <w:rFonts w:eastAsia="Times New Roman"/>
          <w:szCs w:val="28"/>
        </w:rPr>
        <w:t>117,6%</w:t>
      </w:r>
      <w:r w:rsidRPr="0030248D">
        <w:rPr>
          <w:rFonts w:eastAsia="Times New Roman"/>
          <w:szCs w:val="28"/>
        </w:rPr>
        <w:t xml:space="preserve">, на СН1 </w:t>
      </w:r>
      <w:r w:rsidRPr="00494FB2">
        <w:rPr>
          <w:rFonts w:eastAsia="Times New Roman"/>
          <w:szCs w:val="28"/>
        </w:rPr>
        <w:t>-</w:t>
      </w:r>
      <w:r>
        <w:rPr>
          <w:rFonts w:eastAsia="Times New Roman"/>
          <w:szCs w:val="28"/>
        </w:rPr>
        <w:t xml:space="preserve"> </w:t>
      </w:r>
      <w:r w:rsidRPr="00494FB2">
        <w:rPr>
          <w:rFonts w:eastAsia="Times New Roman"/>
          <w:szCs w:val="28"/>
        </w:rPr>
        <w:t>106,8%</w:t>
      </w:r>
      <w:r w:rsidRPr="0030248D">
        <w:rPr>
          <w:rFonts w:eastAsia="Times New Roman"/>
          <w:szCs w:val="28"/>
        </w:rPr>
        <w:t>, на СН2 -</w:t>
      </w:r>
      <w:r w:rsidRPr="00494FB2">
        <w:rPr>
          <w:rFonts w:eastAsia="Times New Roman"/>
          <w:szCs w:val="28"/>
        </w:rPr>
        <w:t>116,7%</w:t>
      </w:r>
      <w:r w:rsidRPr="0030248D">
        <w:rPr>
          <w:rFonts w:eastAsia="Times New Roman"/>
          <w:szCs w:val="28"/>
        </w:rPr>
        <w:t>, на Н</w:t>
      </w:r>
      <w:r>
        <w:rPr>
          <w:rFonts w:eastAsia="Times New Roman"/>
          <w:szCs w:val="28"/>
        </w:rPr>
        <w:t>Н</w:t>
      </w:r>
      <w:r w:rsidRPr="0030248D">
        <w:rPr>
          <w:rFonts w:eastAsia="Times New Roman"/>
          <w:szCs w:val="28"/>
        </w:rPr>
        <w:t xml:space="preserve"> -</w:t>
      </w:r>
      <w:r w:rsidRPr="00494FB2">
        <w:rPr>
          <w:rFonts w:eastAsia="Times New Roman"/>
          <w:szCs w:val="28"/>
        </w:rPr>
        <w:t>125,0%</w:t>
      </w:r>
      <w:r w:rsidRPr="0030248D">
        <w:rPr>
          <w:rFonts w:eastAsia="Times New Roman"/>
          <w:szCs w:val="28"/>
        </w:rPr>
        <w:t xml:space="preserve">, по ставке (тарифу) на оплату потерь по всем уровням - </w:t>
      </w:r>
      <w:r>
        <w:rPr>
          <w:rFonts w:eastAsia="Times New Roman"/>
          <w:szCs w:val="28"/>
        </w:rPr>
        <w:t>111,6</w:t>
      </w:r>
      <w:r w:rsidRPr="00494FB2">
        <w:rPr>
          <w:rFonts w:eastAsia="Times New Roman"/>
          <w:szCs w:val="28"/>
        </w:rPr>
        <w:t>%</w:t>
      </w:r>
      <w:r>
        <w:rPr>
          <w:rFonts w:eastAsia="Times New Roman"/>
          <w:szCs w:val="28"/>
        </w:rPr>
        <w:t xml:space="preserve">, </w:t>
      </w:r>
      <w:r w:rsidRPr="0030248D">
        <w:rPr>
          <w:rFonts w:eastAsia="Times New Roman"/>
          <w:szCs w:val="28"/>
        </w:rPr>
        <w:t>по одноставочному тарифу: на ВН -</w:t>
      </w:r>
      <w:r>
        <w:rPr>
          <w:rFonts w:eastAsia="Times New Roman"/>
          <w:szCs w:val="28"/>
        </w:rPr>
        <w:t xml:space="preserve"> </w:t>
      </w:r>
      <w:r w:rsidRPr="00494FB2">
        <w:rPr>
          <w:rFonts w:eastAsia="Times New Roman"/>
          <w:szCs w:val="28"/>
        </w:rPr>
        <w:t>116,8%</w:t>
      </w:r>
      <w:r w:rsidRPr="0030248D">
        <w:rPr>
          <w:rFonts w:eastAsia="Times New Roman"/>
          <w:szCs w:val="28"/>
        </w:rPr>
        <w:t>, на СН1 -</w:t>
      </w:r>
      <w:r>
        <w:rPr>
          <w:rFonts w:eastAsia="Times New Roman"/>
          <w:szCs w:val="28"/>
        </w:rPr>
        <w:t xml:space="preserve"> </w:t>
      </w:r>
      <w:r w:rsidRPr="00494FB2">
        <w:rPr>
          <w:rFonts w:eastAsia="Times New Roman"/>
          <w:szCs w:val="28"/>
        </w:rPr>
        <w:t>107,4%</w:t>
      </w:r>
      <w:r w:rsidRPr="0030248D">
        <w:rPr>
          <w:rFonts w:eastAsia="Times New Roman"/>
          <w:szCs w:val="28"/>
        </w:rPr>
        <w:t xml:space="preserve">, на СН2 - </w:t>
      </w:r>
      <w:r w:rsidRPr="00494FB2">
        <w:rPr>
          <w:rFonts w:eastAsia="Times New Roman"/>
          <w:szCs w:val="28"/>
        </w:rPr>
        <w:t>115,7%</w:t>
      </w:r>
      <w:r>
        <w:rPr>
          <w:rFonts w:eastAsia="Times New Roman"/>
          <w:szCs w:val="28"/>
        </w:rPr>
        <w:t xml:space="preserve">, </w:t>
      </w:r>
      <w:r w:rsidRPr="0030248D">
        <w:rPr>
          <w:rFonts w:eastAsia="Times New Roman"/>
          <w:szCs w:val="28"/>
        </w:rPr>
        <w:t xml:space="preserve">на НН </w:t>
      </w:r>
      <w:r>
        <w:rPr>
          <w:rFonts w:eastAsia="Times New Roman"/>
          <w:szCs w:val="28"/>
        </w:rPr>
        <w:t>–</w:t>
      </w:r>
      <w:r w:rsidRPr="0030248D">
        <w:rPr>
          <w:rFonts w:eastAsia="Times New Roman"/>
          <w:szCs w:val="28"/>
        </w:rPr>
        <w:t xml:space="preserve"> </w:t>
      </w:r>
      <w:r w:rsidRPr="00494FB2">
        <w:rPr>
          <w:rFonts w:eastAsia="Times New Roman"/>
          <w:szCs w:val="28"/>
        </w:rPr>
        <w:t>121,4%</w:t>
      </w:r>
      <w:r>
        <w:rPr>
          <w:rFonts w:eastAsia="Times New Roman"/>
          <w:szCs w:val="28"/>
        </w:rPr>
        <w:t>.</w:t>
      </w:r>
    </w:p>
    <w:p w:rsidR="00A712E1" w:rsidRPr="0030248D" w:rsidRDefault="00A712E1" w:rsidP="00A712E1">
      <w:pPr>
        <w:tabs>
          <w:tab w:val="center" w:pos="4677"/>
          <w:tab w:val="right" w:pos="9355"/>
        </w:tabs>
        <w:spacing w:after="0" w:line="240" w:lineRule="auto"/>
        <w:ind w:firstLine="709"/>
        <w:jc w:val="both"/>
        <w:rPr>
          <w:rFonts w:eastAsia="Times New Roman"/>
          <w:szCs w:val="28"/>
        </w:rPr>
      </w:pPr>
      <w:r w:rsidRPr="0030248D">
        <w:rPr>
          <w:rFonts w:eastAsia="Times New Roman"/>
          <w:szCs w:val="28"/>
        </w:rPr>
        <w:t>При этом, прирост среднего тарифа на услуги по передаче электрической энергии прочим потребите</w:t>
      </w:r>
      <w:r>
        <w:rPr>
          <w:rFonts w:eastAsia="Times New Roman"/>
          <w:szCs w:val="28"/>
        </w:rPr>
        <w:t>лям составит на 2 полугодие 2025 года</w:t>
      </w:r>
      <w:r w:rsidRPr="0030248D">
        <w:rPr>
          <w:rFonts w:eastAsia="Times New Roman"/>
          <w:szCs w:val="28"/>
        </w:rPr>
        <w:t xml:space="preserve"> отн</w:t>
      </w:r>
      <w:r>
        <w:rPr>
          <w:rFonts w:eastAsia="Times New Roman"/>
          <w:szCs w:val="28"/>
        </w:rPr>
        <w:t xml:space="preserve">осительно первого полугодия 2025 года - </w:t>
      </w:r>
      <w:r w:rsidRPr="00717E6F">
        <w:rPr>
          <w:rFonts w:eastAsia="Times New Roman"/>
          <w:szCs w:val="28"/>
        </w:rPr>
        <w:t>16,8%.</w:t>
      </w:r>
      <w:r w:rsidRPr="0030248D">
        <w:rPr>
          <w:rFonts w:eastAsia="Times New Roman"/>
          <w:szCs w:val="28"/>
        </w:rPr>
        <w:t xml:space="preserve"> </w:t>
      </w:r>
    </w:p>
    <w:p w:rsidR="00A712E1" w:rsidRPr="0030248D" w:rsidRDefault="00A712E1" w:rsidP="00A712E1">
      <w:pPr>
        <w:tabs>
          <w:tab w:val="center" w:pos="4153"/>
          <w:tab w:val="right" w:pos="8306"/>
        </w:tabs>
        <w:spacing w:after="0" w:line="240" w:lineRule="auto"/>
        <w:ind w:firstLine="709"/>
        <w:jc w:val="both"/>
        <w:rPr>
          <w:rFonts w:eastAsia="Times New Roman"/>
          <w:color w:val="000000"/>
          <w:szCs w:val="28"/>
        </w:rPr>
      </w:pPr>
      <w:r w:rsidRPr="0030248D">
        <w:rPr>
          <w:rFonts w:eastAsia="Times New Roman"/>
          <w:color w:val="000000"/>
          <w:szCs w:val="28"/>
        </w:rPr>
        <w:t xml:space="preserve">Размеры скорректированных </w:t>
      </w:r>
      <w:r w:rsidRPr="0030248D">
        <w:rPr>
          <w:rFonts w:eastAsia="Times New Roman"/>
          <w:szCs w:val="28"/>
        </w:rPr>
        <w:t>единых (котловых) тарифов на услуги по передаче электрической энергии по сетям Новосибирской области, поставляемой прочим потребителям</w:t>
      </w:r>
      <w:r w:rsidRPr="0030248D">
        <w:t xml:space="preserve"> </w:t>
      </w:r>
      <w:r>
        <w:rPr>
          <w:rFonts w:eastAsia="Times New Roman"/>
          <w:b/>
          <w:szCs w:val="28"/>
        </w:rPr>
        <w:t>на 2025</w:t>
      </w:r>
      <w:r w:rsidRPr="0030248D">
        <w:rPr>
          <w:rFonts w:eastAsia="Times New Roman"/>
          <w:b/>
          <w:szCs w:val="28"/>
        </w:rPr>
        <w:t xml:space="preserve"> год</w:t>
      </w:r>
      <w:r w:rsidRPr="0030248D">
        <w:rPr>
          <w:rFonts w:eastAsia="Times New Roman"/>
          <w:szCs w:val="28"/>
        </w:rPr>
        <w:t>, установл</w:t>
      </w:r>
      <w:r>
        <w:rPr>
          <w:rFonts w:eastAsia="Times New Roman"/>
          <w:szCs w:val="28"/>
        </w:rPr>
        <w:t>енных приказом департамента от 0</w:t>
      </w:r>
      <w:r w:rsidRPr="0030248D">
        <w:rPr>
          <w:rFonts w:eastAsia="Times New Roman"/>
          <w:szCs w:val="28"/>
        </w:rPr>
        <w:t xml:space="preserve">9 </w:t>
      </w:r>
      <w:r>
        <w:rPr>
          <w:rFonts w:eastAsia="Times New Roman"/>
          <w:szCs w:val="28"/>
        </w:rPr>
        <w:t>дека</w:t>
      </w:r>
      <w:r w:rsidRPr="0030248D">
        <w:rPr>
          <w:rFonts w:eastAsia="Times New Roman"/>
          <w:szCs w:val="28"/>
        </w:rPr>
        <w:t>бря 202</w:t>
      </w:r>
      <w:r>
        <w:rPr>
          <w:rFonts w:eastAsia="Times New Roman"/>
          <w:szCs w:val="28"/>
        </w:rPr>
        <w:t>4</w:t>
      </w:r>
      <w:r w:rsidRPr="0030248D">
        <w:rPr>
          <w:rFonts w:eastAsia="Times New Roman"/>
          <w:szCs w:val="28"/>
        </w:rPr>
        <w:t xml:space="preserve"> года № </w:t>
      </w:r>
      <w:r>
        <w:rPr>
          <w:rFonts w:eastAsia="Times New Roman"/>
          <w:szCs w:val="28"/>
        </w:rPr>
        <w:t>339</w:t>
      </w:r>
      <w:r w:rsidRPr="0030248D">
        <w:rPr>
          <w:rFonts w:eastAsia="Times New Roman"/>
          <w:szCs w:val="28"/>
        </w:rPr>
        <w:t>-ЭЭ/НПА</w:t>
      </w:r>
      <w:r w:rsidRPr="0030248D">
        <w:rPr>
          <w:rFonts w:eastAsia="Times New Roman"/>
          <w:color w:val="000000"/>
          <w:szCs w:val="28"/>
        </w:rPr>
        <w:t>, с календарной разбивкой (</w:t>
      </w:r>
      <w:r w:rsidRPr="0030248D">
        <w:rPr>
          <w:rFonts w:eastAsia="Times New Roman"/>
          <w:szCs w:val="28"/>
        </w:rPr>
        <w:t>в одноставочном и двухставочном выражении с учётом их дифференциации по уровням напряжения),</w:t>
      </w:r>
      <w:r w:rsidRPr="0030248D">
        <w:rPr>
          <w:rFonts w:eastAsia="Times New Roman"/>
          <w:color w:val="000000"/>
          <w:szCs w:val="28"/>
        </w:rPr>
        <w:t xml:space="preserve"> а также </w:t>
      </w:r>
      <w:r w:rsidRPr="0030248D">
        <w:rPr>
          <w:color w:val="000000"/>
          <w:szCs w:val="28"/>
        </w:rPr>
        <w:t xml:space="preserve">размеры экономически обоснованных тарифов на услуги по передаче электрической энергии </w:t>
      </w:r>
      <w:r w:rsidRPr="0030248D">
        <w:rPr>
          <w:rFonts w:eastAsia="Times New Roman"/>
          <w:color w:val="000000"/>
          <w:szCs w:val="28"/>
        </w:rPr>
        <w:t xml:space="preserve">приведены ниже в таблице. </w:t>
      </w:r>
    </w:p>
    <w:p w:rsidR="00A712E1" w:rsidRPr="0030248D" w:rsidRDefault="00A712E1" w:rsidP="00A712E1">
      <w:pPr>
        <w:tabs>
          <w:tab w:val="center" w:pos="4153"/>
          <w:tab w:val="right" w:pos="8306"/>
        </w:tabs>
        <w:spacing w:after="0" w:line="240" w:lineRule="auto"/>
        <w:ind w:firstLine="709"/>
        <w:jc w:val="both"/>
        <w:rPr>
          <w:rFonts w:eastAsia="Times New Roman"/>
          <w:color w:val="000000"/>
          <w:szCs w:val="28"/>
        </w:rPr>
      </w:pPr>
    </w:p>
    <w:tbl>
      <w:tblPr>
        <w:tblStyle w:val="27"/>
        <w:tblW w:w="4889" w:type="pct"/>
        <w:tblLook w:val="04A0" w:firstRow="1" w:lastRow="0" w:firstColumn="1" w:lastColumn="0" w:noHBand="0" w:noVBand="1"/>
      </w:tblPr>
      <w:tblGrid>
        <w:gridCol w:w="3503"/>
        <w:gridCol w:w="1162"/>
        <w:gridCol w:w="71"/>
        <w:gridCol w:w="1685"/>
        <w:gridCol w:w="1263"/>
        <w:gridCol w:w="1675"/>
      </w:tblGrid>
      <w:tr w:rsidR="00A712E1" w:rsidRPr="00A23BC2" w:rsidTr="00017B45">
        <w:trPr>
          <w:trHeight w:val="20"/>
        </w:trPr>
        <w:tc>
          <w:tcPr>
            <w:tcW w:w="1871" w:type="pct"/>
            <w:vMerge w:val="restart"/>
            <w:vAlign w:val="center"/>
            <w:hideMark/>
          </w:tcPr>
          <w:p w:rsidR="00A712E1" w:rsidRPr="00A23BC2" w:rsidRDefault="00A712E1" w:rsidP="00A712E1">
            <w:pPr>
              <w:rPr>
                <w:sz w:val="20"/>
                <w:szCs w:val="20"/>
              </w:rPr>
            </w:pPr>
            <w:r w:rsidRPr="00A23BC2">
              <w:rPr>
                <w:sz w:val="20"/>
                <w:szCs w:val="20"/>
              </w:rPr>
              <w:t>Тарифы по диапазонам напряжения</w:t>
            </w:r>
          </w:p>
        </w:tc>
        <w:tc>
          <w:tcPr>
            <w:tcW w:w="1559" w:type="pct"/>
            <w:gridSpan w:val="3"/>
            <w:noWrap/>
            <w:hideMark/>
          </w:tcPr>
          <w:p w:rsidR="00A712E1" w:rsidRPr="00A23BC2" w:rsidRDefault="00A712E1" w:rsidP="00A712E1">
            <w:pPr>
              <w:rPr>
                <w:sz w:val="20"/>
                <w:szCs w:val="20"/>
              </w:rPr>
            </w:pPr>
            <w:r w:rsidRPr="00A23BC2">
              <w:rPr>
                <w:sz w:val="20"/>
                <w:szCs w:val="20"/>
              </w:rPr>
              <w:t>1 полугодие 2025 г.</w:t>
            </w:r>
          </w:p>
        </w:tc>
        <w:tc>
          <w:tcPr>
            <w:tcW w:w="1571" w:type="pct"/>
            <w:gridSpan w:val="2"/>
            <w:noWrap/>
            <w:hideMark/>
          </w:tcPr>
          <w:p w:rsidR="00A712E1" w:rsidRPr="00A23BC2" w:rsidRDefault="00A712E1" w:rsidP="00A712E1">
            <w:pPr>
              <w:rPr>
                <w:sz w:val="20"/>
                <w:szCs w:val="20"/>
              </w:rPr>
            </w:pPr>
            <w:r w:rsidRPr="00A23BC2">
              <w:rPr>
                <w:sz w:val="20"/>
                <w:szCs w:val="20"/>
              </w:rPr>
              <w:t>2 полугодие 2025 г.</w:t>
            </w:r>
          </w:p>
        </w:tc>
      </w:tr>
      <w:tr w:rsidR="00A712E1" w:rsidRPr="00A23BC2" w:rsidTr="00017B45">
        <w:trPr>
          <w:trHeight w:val="20"/>
        </w:trPr>
        <w:tc>
          <w:tcPr>
            <w:tcW w:w="1871" w:type="pct"/>
            <w:vMerge/>
            <w:hideMark/>
          </w:tcPr>
          <w:p w:rsidR="00A712E1" w:rsidRPr="00A23BC2" w:rsidRDefault="00A712E1" w:rsidP="00A712E1">
            <w:pPr>
              <w:rPr>
                <w:sz w:val="20"/>
                <w:szCs w:val="20"/>
              </w:rPr>
            </w:pPr>
          </w:p>
        </w:tc>
        <w:tc>
          <w:tcPr>
            <w:tcW w:w="659" w:type="pct"/>
            <w:gridSpan w:val="2"/>
            <w:noWrap/>
            <w:hideMark/>
          </w:tcPr>
          <w:p w:rsidR="00A712E1" w:rsidRPr="00A23BC2" w:rsidRDefault="00A712E1" w:rsidP="00A712E1">
            <w:pPr>
              <w:rPr>
                <w:sz w:val="20"/>
                <w:szCs w:val="20"/>
              </w:rPr>
            </w:pPr>
            <w:r w:rsidRPr="00A23BC2">
              <w:rPr>
                <w:sz w:val="20"/>
                <w:szCs w:val="20"/>
              </w:rPr>
              <w:t>ЭОТ</w:t>
            </w:r>
          </w:p>
        </w:tc>
        <w:tc>
          <w:tcPr>
            <w:tcW w:w="899" w:type="pct"/>
            <w:noWrap/>
            <w:hideMark/>
          </w:tcPr>
          <w:p w:rsidR="00A712E1" w:rsidRPr="00A23BC2" w:rsidRDefault="00A712E1" w:rsidP="00A712E1">
            <w:pPr>
              <w:rPr>
                <w:sz w:val="20"/>
                <w:szCs w:val="20"/>
              </w:rPr>
            </w:pPr>
            <w:r w:rsidRPr="00A23BC2">
              <w:rPr>
                <w:sz w:val="20"/>
                <w:szCs w:val="20"/>
              </w:rPr>
              <w:t>утвержденный</w:t>
            </w:r>
          </w:p>
        </w:tc>
        <w:tc>
          <w:tcPr>
            <w:tcW w:w="675" w:type="pct"/>
            <w:noWrap/>
            <w:hideMark/>
          </w:tcPr>
          <w:p w:rsidR="00A712E1" w:rsidRPr="00A23BC2" w:rsidRDefault="00A712E1" w:rsidP="00A712E1">
            <w:pPr>
              <w:rPr>
                <w:sz w:val="20"/>
                <w:szCs w:val="20"/>
              </w:rPr>
            </w:pPr>
            <w:r w:rsidRPr="00A23BC2">
              <w:rPr>
                <w:sz w:val="20"/>
                <w:szCs w:val="20"/>
              </w:rPr>
              <w:t>ЭОТ</w:t>
            </w:r>
          </w:p>
        </w:tc>
        <w:tc>
          <w:tcPr>
            <w:tcW w:w="896" w:type="pct"/>
            <w:noWrap/>
            <w:hideMark/>
          </w:tcPr>
          <w:p w:rsidR="00A712E1" w:rsidRPr="00A23BC2" w:rsidRDefault="00A712E1" w:rsidP="00A712E1">
            <w:pPr>
              <w:rPr>
                <w:sz w:val="20"/>
                <w:szCs w:val="20"/>
              </w:rPr>
            </w:pPr>
            <w:r w:rsidRPr="00A23BC2">
              <w:rPr>
                <w:sz w:val="20"/>
                <w:szCs w:val="20"/>
              </w:rPr>
              <w:t>утвержденный</w:t>
            </w:r>
          </w:p>
        </w:tc>
      </w:tr>
      <w:tr w:rsidR="00A712E1" w:rsidRPr="00A23BC2" w:rsidTr="00017B45">
        <w:trPr>
          <w:trHeight w:val="20"/>
        </w:trPr>
        <w:tc>
          <w:tcPr>
            <w:tcW w:w="5000" w:type="pct"/>
            <w:gridSpan w:val="6"/>
            <w:noWrap/>
            <w:hideMark/>
          </w:tcPr>
          <w:p w:rsidR="00A712E1" w:rsidRPr="00A23BC2" w:rsidRDefault="00A712E1" w:rsidP="00A712E1">
            <w:pPr>
              <w:rPr>
                <w:b/>
                <w:bCs/>
                <w:sz w:val="20"/>
                <w:szCs w:val="20"/>
              </w:rPr>
            </w:pPr>
            <w:r w:rsidRPr="00A23BC2">
              <w:rPr>
                <w:b/>
                <w:bCs/>
                <w:sz w:val="20"/>
                <w:szCs w:val="20"/>
              </w:rPr>
              <w:lastRenderedPageBreak/>
              <w:t>Одноставочный тариф (руб./кВт·ч)</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59" w:type="pct"/>
            <w:gridSpan w:val="2"/>
            <w:noWrap/>
          </w:tcPr>
          <w:p w:rsidR="00A712E1" w:rsidRPr="00A23BC2" w:rsidRDefault="00A712E1" w:rsidP="00A712E1">
            <w:pPr>
              <w:rPr>
                <w:sz w:val="18"/>
                <w:szCs w:val="18"/>
              </w:rPr>
            </w:pPr>
            <w:r w:rsidRPr="00A23BC2">
              <w:rPr>
                <w:sz w:val="18"/>
                <w:szCs w:val="18"/>
              </w:rPr>
              <w:t>0,65406</w:t>
            </w:r>
          </w:p>
        </w:tc>
        <w:tc>
          <w:tcPr>
            <w:tcW w:w="899" w:type="pct"/>
            <w:noWrap/>
          </w:tcPr>
          <w:p w:rsidR="00A712E1" w:rsidRPr="00A23BC2" w:rsidRDefault="00A712E1" w:rsidP="00A712E1">
            <w:pPr>
              <w:rPr>
                <w:sz w:val="18"/>
                <w:szCs w:val="18"/>
              </w:rPr>
            </w:pPr>
            <w:r w:rsidRPr="00A23BC2">
              <w:rPr>
                <w:sz w:val="18"/>
                <w:szCs w:val="18"/>
              </w:rPr>
              <w:t>1,58009</w:t>
            </w:r>
          </w:p>
        </w:tc>
        <w:tc>
          <w:tcPr>
            <w:tcW w:w="675" w:type="pct"/>
            <w:noWrap/>
          </w:tcPr>
          <w:p w:rsidR="00A712E1" w:rsidRPr="00A23BC2" w:rsidRDefault="00A712E1" w:rsidP="00A712E1">
            <w:pPr>
              <w:rPr>
                <w:sz w:val="18"/>
                <w:szCs w:val="18"/>
              </w:rPr>
            </w:pPr>
            <w:r w:rsidRPr="00A23BC2">
              <w:rPr>
                <w:sz w:val="18"/>
                <w:szCs w:val="18"/>
              </w:rPr>
              <w:t>0,74540</w:t>
            </w:r>
          </w:p>
        </w:tc>
        <w:tc>
          <w:tcPr>
            <w:tcW w:w="896" w:type="pct"/>
            <w:noWrap/>
          </w:tcPr>
          <w:p w:rsidR="00A712E1" w:rsidRPr="00A23BC2" w:rsidRDefault="00A712E1" w:rsidP="00A712E1">
            <w:pPr>
              <w:rPr>
                <w:sz w:val="18"/>
                <w:szCs w:val="18"/>
              </w:rPr>
            </w:pPr>
            <w:r w:rsidRPr="00A23BC2">
              <w:rPr>
                <w:sz w:val="18"/>
                <w:szCs w:val="18"/>
              </w:rPr>
              <w:t>1,84592</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59" w:type="pct"/>
            <w:gridSpan w:val="2"/>
            <w:noWrap/>
          </w:tcPr>
          <w:p w:rsidR="00A712E1" w:rsidRPr="00A23BC2" w:rsidRDefault="00A712E1" w:rsidP="00A712E1">
            <w:pPr>
              <w:rPr>
                <w:sz w:val="18"/>
                <w:szCs w:val="18"/>
              </w:rPr>
            </w:pPr>
            <w:r w:rsidRPr="00A23BC2">
              <w:rPr>
                <w:sz w:val="18"/>
                <w:szCs w:val="18"/>
              </w:rPr>
              <w:t>1,25081</w:t>
            </w:r>
          </w:p>
        </w:tc>
        <w:tc>
          <w:tcPr>
            <w:tcW w:w="899" w:type="pct"/>
            <w:noWrap/>
          </w:tcPr>
          <w:p w:rsidR="00A712E1" w:rsidRPr="00A23BC2" w:rsidRDefault="00A712E1" w:rsidP="00A712E1">
            <w:pPr>
              <w:rPr>
                <w:sz w:val="18"/>
                <w:szCs w:val="18"/>
              </w:rPr>
            </w:pPr>
            <w:r w:rsidRPr="00A23BC2">
              <w:rPr>
                <w:sz w:val="18"/>
                <w:szCs w:val="18"/>
              </w:rPr>
              <w:t>2,14158</w:t>
            </w:r>
          </w:p>
        </w:tc>
        <w:tc>
          <w:tcPr>
            <w:tcW w:w="675" w:type="pct"/>
            <w:noWrap/>
          </w:tcPr>
          <w:p w:rsidR="00A712E1" w:rsidRPr="00A23BC2" w:rsidRDefault="00A712E1" w:rsidP="00A712E1">
            <w:pPr>
              <w:rPr>
                <w:sz w:val="18"/>
                <w:szCs w:val="18"/>
              </w:rPr>
            </w:pPr>
            <w:r w:rsidRPr="00A23BC2">
              <w:rPr>
                <w:sz w:val="18"/>
                <w:szCs w:val="18"/>
              </w:rPr>
              <w:t>1,49433</w:t>
            </w:r>
          </w:p>
        </w:tc>
        <w:tc>
          <w:tcPr>
            <w:tcW w:w="896" w:type="pct"/>
            <w:noWrap/>
          </w:tcPr>
          <w:p w:rsidR="00A712E1" w:rsidRPr="00A23BC2" w:rsidRDefault="00A712E1" w:rsidP="00A712E1">
            <w:pPr>
              <w:rPr>
                <w:sz w:val="18"/>
                <w:szCs w:val="18"/>
              </w:rPr>
            </w:pPr>
            <w:r w:rsidRPr="00A23BC2">
              <w:rPr>
                <w:sz w:val="18"/>
                <w:szCs w:val="18"/>
              </w:rPr>
              <w:t>2,30069</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59" w:type="pct"/>
            <w:gridSpan w:val="2"/>
            <w:noWrap/>
          </w:tcPr>
          <w:p w:rsidR="00A712E1" w:rsidRPr="00A23BC2" w:rsidRDefault="00A712E1" w:rsidP="00A712E1">
            <w:pPr>
              <w:rPr>
                <w:sz w:val="18"/>
                <w:szCs w:val="18"/>
              </w:rPr>
            </w:pPr>
            <w:r w:rsidRPr="00A23BC2">
              <w:rPr>
                <w:sz w:val="18"/>
                <w:szCs w:val="18"/>
              </w:rPr>
              <w:t>1,60843</w:t>
            </w:r>
          </w:p>
        </w:tc>
        <w:tc>
          <w:tcPr>
            <w:tcW w:w="899" w:type="pct"/>
            <w:noWrap/>
          </w:tcPr>
          <w:p w:rsidR="00A712E1" w:rsidRPr="00A23BC2" w:rsidRDefault="00A712E1" w:rsidP="00A712E1">
            <w:pPr>
              <w:rPr>
                <w:sz w:val="18"/>
                <w:szCs w:val="18"/>
              </w:rPr>
            </w:pPr>
            <w:r w:rsidRPr="00A23BC2">
              <w:rPr>
                <w:sz w:val="18"/>
                <w:szCs w:val="18"/>
              </w:rPr>
              <w:t>2,35958</w:t>
            </w:r>
          </w:p>
        </w:tc>
        <w:tc>
          <w:tcPr>
            <w:tcW w:w="675" w:type="pct"/>
            <w:noWrap/>
          </w:tcPr>
          <w:p w:rsidR="00A712E1" w:rsidRPr="00A23BC2" w:rsidRDefault="00A712E1" w:rsidP="00A712E1">
            <w:pPr>
              <w:rPr>
                <w:sz w:val="18"/>
                <w:szCs w:val="18"/>
              </w:rPr>
            </w:pPr>
            <w:r w:rsidRPr="00A23BC2">
              <w:rPr>
                <w:sz w:val="18"/>
                <w:szCs w:val="18"/>
              </w:rPr>
              <w:t>1,93538</w:t>
            </w:r>
          </w:p>
        </w:tc>
        <w:tc>
          <w:tcPr>
            <w:tcW w:w="896" w:type="pct"/>
            <w:noWrap/>
          </w:tcPr>
          <w:p w:rsidR="00A712E1" w:rsidRPr="00A23BC2" w:rsidRDefault="00A712E1" w:rsidP="00A712E1">
            <w:pPr>
              <w:rPr>
                <w:sz w:val="18"/>
                <w:szCs w:val="18"/>
              </w:rPr>
            </w:pPr>
            <w:r w:rsidRPr="00A23BC2">
              <w:rPr>
                <w:sz w:val="18"/>
                <w:szCs w:val="18"/>
              </w:rPr>
              <w:t>2,73067</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59" w:type="pct"/>
            <w:gridSpan w:val="2"/>
            <w:noWrap/>
          </w:tcPr>
          <w:p w:rsidR="00A712E1" w:rsidRPr="00A23BC2" w:rsidRDefault="00A712E1" w:rsidP="00A712E1">
            <w:pPr>
              <w:rPr>
                <w:sz w:val="18"/>
                <w:szCs w:val="18"/>
              </w:rPr>
            </w:pPr>
            <w:r w:rsidRPr="00A23BC2">
              <w:rPr>
                <w:sz w:val="18"/>
                <w:szCs w:val="18"/>
              </w:rPr>
              <w:t>2,60108</w:t>
            </w:r>
          </w:p>
        </w:tc>
        <w:tc>
          <w:tcPr>
            <w:tcW w:w="899" w:type="pct"/>
            <w:noWrap/>
          </w:tcPr>
          <w:p w:rsidR="00A712E1" w:rsidRPr="00A23BC2" w:rsidRDefault="00A712E1" w:rsidP="00A712E1">
            <w:pPr>
              <w:rPr>
                <w:sz w:val="18"/>
                <w:szCs w:val="18"/>
              </w:rPr>
            </w:pPr>
            <w:r w:rsidRPr="00A23BC2">
              <w:rPr>
                <w:sz w:val="18"/>
                <w:szCs w:val="18"/>
              </w:rPr>
              <w:t>2,88633</w:t>
            </w:r>
          </w:p>
        </w:tc>
        <w:tc>
          <w:tcPr>
            <w:tcW w:w="675" w:type="pct"/>
            <w:noWrap/>
          </w:tcPr>
          <w:p w:rsidR="00A712E1" w:rsidRPr="00A23BC2" w:rsidRDefault="00A712E1" w:rsidP="00A712E1">
            <w:pPr>
              <w:rPr>
                <w:sz w:val="18"/>
                <w:szCs w:val="18"/>
              </w:rPr>
            </w:pPr>
            <w:r w:rsidRPr="00A23BC2">
              <w:rPr>
                <w:sz w:val="18"/>
                <w:szCs w:val="18"/>
              </w:rPr>
              <w:t>3,15223</w:t>
            </w:r>
          </w:p>
        </w:tc>
        <w:tc>
          <w:tcPr>
            <w:tcW w:w="896" w:type="pct"/>
            <w:noWrap/>
          </w:tcPr>
          <w:p w:rsidR="00A712E1" w:rsidRPr="00A23BC2" w:rsidRDefault="00A712E1" w:rsidP="00A712E1">
            <w:pPr>
              <w:rPr>
                <w:sz w:val="18"/>
                <w:szCs w:val="18"/>
              </w:rPr>
            </w:pPr>
            <w:r w:rsidRPr="00A23BC2">
              <w:rPr>
                <w:sz w:val="18"/>
                <w:szCs w:val="18"/>
              </w:rPr>
              <w:t>3,50267</w:t>
            </w:r>
          </w:p>
        </w:tc>
      </w:tr>
      <w:tr w:rsidR="00A712E1" w:rsidRPr="00A23BC2" w:rsidTr="00017B45">
        <w:trPr>
          <w:trHeight w:val="20"/>
        </w:trPr>
        <w:tc>
          <w:tcPr>
            <w:tcW w:w="5000" w:type="pct"/>
            <w:gridSpan w:val="6"/>
            <w:noWrap/>
            <w:hideMark/>
          </w:tcPr>
          <w:p w:rsidR="00A712E1" w:rsidRPr="00A23BC2" w:rsidRDefault="00A712E1" w:rsidP="00A712E1">
            <w:pPr>
              <w:rPr>
                <w:sz w:val="20"/>
                <w:szCs w:val="20"/>
              </w:rPr>
            </w:pPr>
            <w:r w:rsidRPr="00A23BC2">
              <w:rPr>
                <w:sz w:val="20"/>
                <w:szCs w:val="20"/>
              </w:rPr>
              <w:t>Рост к предыдущему периоду</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59" w:type="pct"/>
            <w:gridSpan w:val="2"/>
            <w:noWrap/>
          </w:tcPr>
          <w:p w:rsidR="00A712E1" w:rsidRPr="00A23BC2" w:rsidRDefault="00A712E1" w:rsidP="00A712E1">
            <w:pPr>
              <w:rPr>
                <w:sz w:val="18"/>
                <w:szCs w:val="18"/>
              </w:rPr>
            </w:pPr>
            <w:r w:rsidRPr="00A23BC2">
              <w:rPr>
                <w:sz w:val="18"/>
                <w:szCs w:val="18"/>
              </w:rPr>
              <w:t>67,8%</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114,0%</w:t>
            </w:r>
          </w:p>
        </w:tc>
        <w:tc>
          <w:tcPr>
            <w:tcW w:w="896" w:type="pct"/>
            <w:noWrap/>
          </w:tcPr>
          <w:p w:rsidR="00A712E1" w:rsidRPr="00A23BC2" w:rsidRDefault="00A712E1" w:rsidP="00A712E1">
            <w:pPr>
              <w:rPr>
                <w:sz w:val="18"/>
                <w:szCs w:val="18"/>
              </w:rPr>
            </w:pPr>
            <w:r w:rsidRPr="00A23BC2">
              <w:rPr>
                <w:sz w:val="18"/>
                <w:szCs w:val="18"/>
              </w:rPr>
              <w:t>116,8%</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59" w:type="pct"/>
            <w:gridSpan w:val="2"/>
            <w:noWrap/>
          </w:tcPr>
          <w:p w:rsidR="00A712E1" w:rsidRPr="00A23BC2" w:rsidRDefault="00A712E1" w:rsidP="00A712E1">
            <w:pPr>
              <w:rPr>
                <w:sz w:val="18"/>
                <w:szCs w:val="18"/>
              </w:rPr>
            </w:pPr>
            <w:r w:rsidRPr="00A23BC2">
              <w:rPr>
                <w:sz w:val="18"/>
                <w:szCs w:val="18"/>
              </w:rPr>
              <w:t>103,5%</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119,5%</w:t>
            </w:r>
          </w:p>
        </w:tc>
        <w:tc>
          <w:tcPr>
            <w:tcW w:w="896" w:type="pct"/>
            <w:noWrap/>
          </w:tcPr>
          <w:p w:rsidR="00A712E1" w:rsidRPr="00A23BC2" w:rsidRDefault="00A712E1" w:rsidP="00A712E1">
            <w:pPr>
              <w:rPr>
                <w:sz w:val="18"/>
                <w:szCs w:val="18"/>
              </w:rPr>
            </w:pPr>
            <w:r w:rsidRPr="00A23BC2">
              <w:rPr>
                <w:sz w:val="18"/>
                <w:szCs w:val="18"/>
              </w:rPr>
              <w:t>107,4%</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59" w:type="pct"/>
            <w:gridSpan w:val="2"/>
            <w:noWrap/>
          </w:tcPr>
          <w:p w:rsidR="00A712E1" w:rsidRPr="00A23BC2" w:rsidRDefault="00A712E1" w:rsidP="00A712E1">
            <w:pPr>
              <w:rPr>
                <w:sz w:val="18"/>
                <w:szCs w:val="18"/>
              </w:rPr>
            </w:pPr>
            <w:r w:rsidRPr="00A23BC2">
              <w:rPr>
                <w:sz w:val="18"/>
                <w:szCs w:val="18"/>
              </w:rPr>
              <w:t>98,6%</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120,3%</w:t>
            </w:r>
          </w:p>
        </w:tc>
        <w:tc>
          <w:tcPr>
            <w:tcW w:w="896" w:type="pct"/>
            <w:noWrap/>
          </w:tcPr>
          <w:p w:rsidR="00A712E1" w:rsidRPr="00A23BC2" w:rsidRDefault="00A712E1" w:rsidP="00A712E1">
            <w:pPr>
              <w:rPr>
                <w:sz w:val="18"/>
                <w:szCs w:val="18"/>
              </w:rPr>
            </w:pPr>
            <w:r w:rsidRPr="00A23BC2">
              <w:rPr>
                <w:sz w:val="18"/>
                <w:szCs w:val="18"/>
              </w:rPr>
              <w:t>115,7%</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59" w:type="pct"/>
            <w:gridSpan w:val="2"/>
            <w:noWrap/>
          </w:tcPr>
          <w:p w:rsidR="00A712E1" w:rsidRPr="00A23BC2" w:rsidRDefault="00A712E1" w:rsidP="00A712E1">
            <w:pPr>
              <w:rPr>
                <w:sz w:val="18"/>
                <w:szCs w:val="18"/>
              </w:rPr>
            </w:pPr>
            <w:r w:rsidRPr="00A23BC2">
              <w:rPr>
                <w:sz w:val="18"/>
                <w:szCs w:val="18"/>
              </w:rPr>
              <w:t>99,1%</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121,2%</w:t>
            </w:r>
          </w:p>
        </w:tc>
        <w:tc>
          <w:tcPr>
            <w:tcW w:w="896" w:type="pct"/>
            <w:noWrap/>
          </w:tcPr>
          <w:p w:rsidR="00A712E1" w:rsidRPr="00A23BC2" w:rsidRDefault="00A712E1" w:rsidP="00A712E1">
            <w:pPr>
              <w:rPr>
                <w:sz w:val="18"/>
                <w:szCs w:val="18"/>
              </w:rPr>
            </w:pPr>
            <w:r w:rsidRPr="00A23BC2">
              <w:rPr>
                <w:sz w:val="18"/>
                <w:szCs w:val="18"/>
              </w:rPr>
              <w:t>121,4%</w:t>
            </w:r>
          </w:p>
        </w:tc>
      </w:tr>
      <w:tr w:rsidR="00A712E1" w:rsidRPr="00A23BC2" w:rsidTr="00017B45">
        <w:trPr>
          <w:trHeight w:val="20"/>
        </w:trPr>
        <w:tc>
          <w:tcPr>
            <w:tcW w:w="5000" w:type="pct"/>
            <w:gridSpan w:val="6"/>
            <w:noWrap/>
            <w:hideMark/>
          </w:tcPr>
          <w:p w:rsidR="00A712E1" w:rsidRPr="00A23BC2" w:rsidRDefault="00A712E1" w:rsidP="00A712E1">
            <w:pPr>
              <w:rPr>
                <w:b/>
                <w:bCs/>
                <w:sz w:val="20"/>
                <w:szCs w:val="20"/>
              </w:rPr>
            </w:pPr>
            <w:r w:rsidRPr="00A23BC2">
              <w:rPr>
                <w:b/>
                <w:bCs/>
                <w:sz w:val="20"/>
                <w:szCs w:val="20"/>
              </w:rPr>
              <w:t>Двухставочный тариф:</w:t>
            </w:r>
          </w:p>
        </w:tc>
      </w:tr>
      <w:tr w:rsidR="00A712E1" w:rsidRPr="00A23BC2" w:rsidTr="00017B45">
        <w:trPr>
          <w:trHeight w:val="20"/>
        </w:trPr>
        <w:tc>
          <w:tcPr>
            <w:tcW w:w="5000" w:type="pct"/>
            <w:gridSpan w:val="6"/>
            <w:noWrap/>
          </w:tcPr>
          <w:p w:rsidR="00A712E1" w:rsidRPr="00A23BC2" w:rsidRDefault="00A712E1" w:rsidP="00A712E1">
            <w:pPr>
              <w:rPr>
                <w:b/>
                <w:bCs/>
                <w:sz w:val="20"/>
                <w:szCs w:val="20"/>
              </w:rPr>
            </w:pPr>
            <w:r w:rsidRPr="00A23BC2">
              <w:rPr>
                <w:b/>
                <w:bCs/>
                <w:sz w:val="20"/>
                <w:szCs w:val="20"/>
              </w:rPr>
              <w:t>ставка на содержание (руб./МВт·мес.)</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59" w:type="pct"/>
            <w:gridSpan w:val="2"/>
            <w:noWrap/>
          </w:tcPr>
          <w:p w:rsidR="00A712E1" w:rsidRPr="00A23BC2" w:rsidRDefault="00A712E1" w:rsidP="00A712E1">
            <w:pPr>
              <w:rPr>
                <w:sz w:val="18"/>
                <w:szCs w:val="18"/>
              </w:rPr>
            </w:pPr>
            <w:r w:rsidRPr="00A23BC2">
              <w:rPr>
                <w:sz w:val="18"/>
                <w:szCs w:val="18"/>
              </w:rPr>
              <w:t>291 973,37</w:t>
            </w:r>
          </w:p>
        </w:tc>
        <w:tc>
          <w:tcPr>
            <w:tcW w:w="899" w:type="pct"/>
            <w:noWrap/>
          </w:tcPr>
          <w:p w:rsidR="00A712E1" w:rsidRPr="00A23BC2" w:rsidRDefault="00A712E1" w:rsidP="00A712E1">
            <w:pPr>
              <w:rPr>
                <w:sz w:val="18"/>
                <w:szCs w:val="18"/>
              </w:rPr>
            </w:pPr>
            <w:r w:rsidRPr="00A23BC2">
              <w:rPr>
                <w:sz w:val="18"/>
                <w:szCs w:val="18"/>
              </w:rPr>
              <w:t>917 551,81</w:t>
            </w:r>
          </w:p>
        </w:tc>
        <w:tc>
          <w:tcPr>
            <w:tcW w:w="675" w:type="pct"/>
            <w:noWrap/>
          </w:tcPr>
          <w:p w:rsidR="00A712E1" w:rsidRPr="00A23BC2" w:rsidRDefault="00A712E1" w:rsidP="00A712E1">
            <w:pPr>
              <w:rPr>
                <w:sz w:val="18"/>
                <w:szCs w:val="18"/>
              </w:rPr>
            </w:pPr>
            <w:r w:rsidRPr="00A23BC2">
              <w:rPr>
                <w:sz w:val="18"/>
                <w:szCs w:val="18"/>
              </w:rPr>
              <w:t>336 778,65</w:t>
            </w:r>
          </w:p>
        </w:tc>
        <w:tc>
          <w:tcPr>
            <w:tcW w:w="896" w:type="pct"/>
            <w:noWrap/>
          </w:tcPr>
          <w:p w:rsidR="00A712E1" w:rsidRPr="00A23BC2" w:rsidRDefault="00A712E1" w:rsidP="00A712E1">
            <w:pPr>
              <w:rPr>
                <w:sz w:val="18"/>
                <w:szCs w:val="18"/>
              </w:rPr>
            </w:pPr>
            <w:r w:rsidRPr="00A23BC2">
              <w:rPr>
                <w:sz w:val="18"/>
                <w:szCs w:val="18"/>
              </w:rPr>
              <w:t>1 078 796,95</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59" w:type="pct"/>
            <w:gridSpan w:val="2"/>
            <w:noWrap/>
          </w:tcPr>
          <w:p w:rsidR="00A712E1" w:rsidRPr="00A23BC2" w:rsidRDefault="00A712E1" w:rsidP="00A712E1">
            <w:pPr>
              <w:rPr>
                <w:sz w:val="18"/>
                <w:szCs w:val="18"/>
              </w:rPr>
            </w:pPr>
            <w:r w:rsidRPr="00A23BC2">
              <w:rPr>
                <w:sz w:val="18"/>
                <w:szCs w:val="18"/>
              </w:rPr>
              <w:t>633 505,07</w:t>
            </w:r>
          </w:p>
        </w:tc>
        <w:tc>
          <w:tcPr>
            <w:tcW w:w="899" w:type="pct"/>
            <w:noWrap/>
          </w:tcPr>
          <w:p w:rsidR="00A712E1" w:rsidRPr="00A23BC2" w:rsidRDefault="00A712E1" w:rsidP="00A712E1">
            <w:pPr>
              <w:rPr>
                <w:sz w:val="18"/>
                <w:szCs w:val="18"/>
              </w:rPr>
            </w:pPr>
            <w:r w:rsidRPr="00A23BC2">
              <w:rPr>
                <w:sz w:val="18"/>
                <w:szCs w:val="18"/>
              </w:rPr>
              <w:t>1 219 005,96</w:t>
            </w:r>
          </w:p>
        </w:tc>
        <w:tc>
          <w:tcPr>
            <w:tcW w:w="675" w:type="pct"/>
            <w:noWrap/>
          </w:tcPr>
          <w:p w:rsidR="00A712E1" w:rsidRPr="00A23BC2" w:rsidRDefault="00A712E1" w:rsidP="00A712E1">
            <w:pPr>
              <w:rPr>
                <w:sz w:val="18"/>
                <w:szCs w:val="18"/>
              </w:rPr>
            </w:pPr>
            <w:r w:rsidRPr="00A23BC2">
              <w:rPr>
                <w:sz w:val="18"/>
                <w:szCs w:val="18"/>
              </w:rPr>
              <w:t>771 680,14</w:t>
            </w:r>
          </w:p>
        </w:tc>
        <w:tc>
          <w:tcPr>
            <w:tcW w:w="896" w:type="pct"/>
            <w:noWrap/>
          </w:tcPr>
          <w:p w:rsidR="00A712E1" w:rsidRPr="00A23BC2" w:rsidRDefault="00A712E1" w:rsidP="00A712E1">
            <w:pPr>
              <w:rPr>
                <w:sz w:val="18"/>
                <w:szCs w:val="18"/>
              </w:rPr>
            </w:pPr>
            <w:r w:rsidRPr="00A23BC2">
              <w:rPr>
                <w:sz w:val="18"/>
                <w:szCs w:val="18"/>
              </w:rPr>
              <w:t>1 301 700,25</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59" w:type="pct"/>
            <w:gridSpan w:val="2"/>
            <w:noWrap/>
          </w:tcPr>
          <w:p w:rsidR="00A712E1" w:rsidRPr="00A23BC2" w:rsidRDefault="00A712E1" w:rsidP="00A712E1">
            <w:pPr>
              <w:rPr>
                <w:sz w:val="18"/>
                <w:szCs w:val="18"/>
              </w:rPr>
            </w:pPr>
            <w:r w:rsidRPr="00A23BC2">
              <w:rPr>
                <w:sz w:val="18"/>
                <w:szCs w:val="18"/>
              </w:rPr>
              <w:t>754 272,99</w:t>
            </w:r>
          </w:p>
        </w:tc>
        <w:tc>
          <w:tcPr>
            <w:tcW w:w="899" w:type="pct"/>
            <w:noWrap/>
          </w:tcPr>
          <w:p w:rsidR="00A712E1" w:rsidRPr="00A23BC2" w:rsidRDefault="00A712E1" w:rsidP="00A712E1">
            <w:pPr>
              <w:rPr>
                <w:sz w:val="18"/>
                <w:szCs w:val="18"/>
              </w:rPr>
            </w:pPr>
            <w:r w:rsidRPr="00A23BC2">
              <w:rPr>
                <w:sz w:val="18"/>
                <w:szCs w:val="18"/>
              </w:rPr>
              <w:t>1 247 096,67</w:t>
            </w:r>
          </w:p>
        </w:tc>
        <w:tc>
          <w:tcPr>
            <w:tcW w:w="675" w:type="pct"/>
            <w:noWrap/>
          </w:tcPr>
          <w:p w:rsidR="00A712E1" w:rsidRPr="00A23BC2" w:rsidRDefault="00A712E1" w:rsidP="00A712E1">
            <w:pPr>
              <w:rPr>
                <w:sz w:val="18"/>
                <w:szCs w:val="18"/>
              </w:rPr>
            </w:pPr>
            <w:r w:rsidRPr="00A23BC2">
              <w:rPr>
                <w:sz w:val="18"/>
                <w:szCs w:val="18"/>
              </w:rPr>
              <w:t>933 859,14</w:t>
            </w:r>
          </w:p>
        </w:tc>
        <w:tc>
          <w:tcPr>
            <w:tcW w:w="896" w:type="pct"/>
            <w:noWrap/>
          </w:tcPr>
          <w:p w:rsidR="00A712E1" w:rsidRPr="00A23BC2" w:rsidRDefault="00A712E1" w:rsidP="00A712E1">
            <w:pPr>
              <w:rPr>
                <w:sz w:val="18"/>
                <w:szCs w:val="18"/>
              </w:rPr>
            </w:pPr>
            <w:r w:rsidRPr="00A23BC2">
              <w:rPr>
                <w:sz w:val="18"/>
                <w:szCs w:val="18"/>
              </w:rPr>
              <w:t>1 455 648,51</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59" w:type="pct"/>
            <w:gridSpan w:val="2"/>
            <w:noWrap/>
          </w:tcPr>
          <w:p w:rsidR="00A712E1" w:rsidRPr="00A23BC2" w:rsidRDefault="00A712E1" w:rsidP="00A712E1">
            <w:pPr>
              <w:rPr>
                <w:sz w:val="18"/>
                <w:szCs w:val="18"/>
              </w:rPr>
            </w:pPr>
            <w:r w:rsidRPr="00A23BC2">
              <w:rPr>
                <w:sz w:val="18"/>
                <w:szCs w:val="18"/>
              </w:rPr>
              <w:t>1 043 411,96</w:t>
            </w:r>
          </w:p>
        </w:tc>
        <w:tc>
          <w:tcPr>
            <w:tcW w:w="899" w:type="pct"/>
            <w:noWrap/>
          </w:tcPr>
          <w:p w:rsidR="00A712E1" w:rsidRPr="00A23BC2" w:rsidRDefault="00A712E1" w:rsidP="00A712E1">
            <w:pPr>
              <w:rPr>
                <w:sz w:val="18"/>
                <w:szCs w:val="18"/>
              </w:rPr>
            </w:pPr>
            <w:r w:rsidRPr="00A23BC2">
              <w:rPr>
                <w:sz w:val="18"/>
                <w:szCs w:val="18"/>
              </w:rPr>
              <w:t>1 320 793,24</w:t>
            </w:r>
          </w:p>
        </w:tc>
        <w:tc>
          <w:tcPr>
            <w:tcW w:w="675" w:type="pct"/>
            <w:noWrap/>
          </w:tcPr>
          <w:p w:rsidR="00A712E1" w:rsidRPr="00A23BC2" w:rsidRDefault="00A712E1" w:rsidP="00A712E1">
            <w:pPr>
              <w:rPr>
                <w:sz w:val="18"/>
                <w:szCs w:val="18"/>
              </w:rPr>
            </w:pPr>
            <w:r w:rsidRPr="00A23BC2">
              <w:rPr>
                <w:sz w:val="18"/>
                <w:szCs w:val="18"/>
              </w:rPr>
              <w:t>1 307 109,51</w:t>
            </w:r>
          </w:p>
        </w:tc>
        <w:tc>
          <w:tcPr>
            <w:tcW w:w="896" w:type="pct"/>
            <w:noWrap/>
          </w:tcPr>
          <w:p w:rsidR="00A712E1" w:rsidRPr="00A23BC2" w:rsidRDefault="00A712E1" w:rsidP="00A712E1">
            <w:pPr>
              <w:rPr>
                <w:sz w:val="18"/>
                <w:szCs w:val="18"/>
              </w:rPr>
            </w:pPr>
            <w:r w:rsidRPr="00A23BC2">
              <w:rPr>
                <w:sz w:val="18"/>
                <w:szCs w:val="18"/>
              </w:rPr>
              <w:t>1 650 991,56</w:t>
            </w:r>
          </w:p>
        </w:tc>
      </w:tr>
      <w:tr w:rsidR="00A712E1" w:rsidRPr="00A23BC2" w:rsidTr="00017B45">
        <w:trPr>
          <w:trHeight w:val="20"/>
        </w:trPr>
        <w:tc>
          <w:tcPr>
            <w:tcW w:w="5000" w:type="pct"/>
            <w:gridSpan w:val="6"/>
            <w:noWrap/>
            <w:hideMark/>
          </w:tcPr>
          <w:p w:rsidR="00A712E1" w:rsidRPr="00A23BC2" w:rsidRDefault="00A712E1" w:rsidP="00A712E1">
            <w:pPr>
              <w:rPr>
                <w:b/>
                <w:sz w:val="20"/>
                <w:szCs w:val="20"/>
              </w:rPr>
            </w:pPr>
            <w:r w:rsidRPr="00A23BC2">
              <w:rPr>
                <w:b/>
                <w:sz w:val="20"/>
                <w:szCs w:val="20"/>
              </w:rPr>
              <w:t>Рост к предыдущему периоду</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59" w:type="pct"/>
            <w:gridSpan w:val="2"/>
            <w:noWrap/>
          </w:tcPr>
          <w:p w:rsidR="00A712E1" w:rsidRPr="00A23BC2" w:rsidRDefault="00A712E1" w:rsidP="00A712E1">
            <w:pPr>
              <w:rPr>
                <w:sz w:val="18"/>
                <w:szCs w:val="18"/>
              </w:rPr>
            </w:pPr>
            <w:r w:rsidRPr="00A23BC2">
              <w:rPr>
                <w:sz w:val="18"/>
                <w:szCs w:val="18"/>
              </w:rPr>
              <w:t>94,6%</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115,3%</w:t>
            </w:r>
          </w:p>
        </w:tc>
        <w:tc>
          <w:tcPr>
            <w:tcW w:w="896" w:type="pct"/>
            <w:noWrap/>
          </w:tcPr>
          <w:p w:rsidR="00A712E1" w:rsidRPr="00A23BC2" w:rsidRDefault="00A712E1" w:rsidP="00A712E1">
            <w:pPr>
              <w:rPr>
                <w:sz w:val="18"/>
                <w:szCs w:val="18"/>
              </w:rPr>
            </w:pPr>
            <w:r w:rsidRPr="00A23BC2">
              <w:rPr>
                <w:sz w:val="18"/>
                <w:szCs w:val="18"/>
              </w:rPr>
              <w:t>117,6%</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59" w:type="pct"/>
            <w:gridSpan w:val="2"/>
            <w:noWrap/>
          </w:tcPr>
          <w:p w:rsidR="00A712E1" w:rsidRPr="00A23BC2" w:rsidRDefault="00A712E1" w:rsidP="00A712E1">
            <w:pPr>
              <w:rPr>
                <w:sz w:val="18"/>
                <w:szCs w:val="18"/>
              </w:rPr>
            </w:pPr>
            <w:r w:rsidRPr="00A23BC2">
              <w:rPr>
                <w:sz w:val="18"/>
                <w:szCs w:val="18"/>
              </w:rPr>
              <w:t>104,6%</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121,8%</w:t>
            </w:r>
          </w:p>
        </w:tc>
        <w:tc>
          <w:tcPr>
            <w:tcW w:w="896" w:type="pct"/>
            <w:noWrap/>
          </w:tcPr>
          <w:p w:rsidR="00A712E1" w:rsidRPr="00A23BC2" w:rsidRDefault="00A712E1" w:rsidP="00A712E1">
            <w:pPr>
              <w:rPr>
                <w:sz w:val="18"/>
                <w:szCs w:val="18"/>
              </w:rPr>
            </w:pPr>
            <w:r w:rsidRPr="00A23BC2">
              <w:rPr>
                <w:sz w:val="18"/>
                <w:szCs w:val="18"/>
              </w:rPr>
              <w:t>106,8%</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59" w:type="pct"/>
            <w:gridSpan w:val="2"/>
            <w:noWrap/>
          </w:tcPr>
          <w:p w:rsidR="00A712E1" w:rsidRPr="00A23BC2" w:rsidRDefault="00A712E1" w:rsidP="00A712E1">
            <w:pPr>
              <w:rPr>
                <w:sz w:val="18"/>
                <w:szCs w:val="18"/>
              </w:rPr>
            </w:pPr>
            <w:r w:rsidRPr="00A23BC2">
              <w:rPr>
                <w:sz w:val="18"/>
                <w:szCs w:val="18"/>
              </w:rPr>
              <w:t>98,1%</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123,8%</w:t>
            </w:r>
          </w:p>
        </w:tc>
        <w:tc>
          <w:tcPr>
            <w:tcW w:w="896" w:type="pct"/>
            <w:noWrap/>
          </w:tcPr>
          <w:p w:rsidR="00A712E1" w:rsidRPr="00A23BC2" w:rsidRDefault="00A712E1" w:rsidP="00A712E1">
            <w:pPr>
              <w:rPr>
                <w:sz w:val="18"/>
                <w:szCs w:val="18"/>
              </w:rPr>
            </w:pPr>
            <w:r w:rsidRPr="00A23BC2">
              <w:rPr>
                <w:sz w:val="18"/>
                <w:szCs w:val="18"/>
              </w:rPr>
              <w:t>116,7%</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59" w:type="pct"/>
            <w:gridSpan w:val="2"/>
            <w:noWrap/>
          </w:tcPr>
          <w:p w:rsidR="00A712E1" w:rsidRPr="00A23BC2" w:rsidRDefault="00A712E1" w:rsidP="00A712E1">
            <w:pPr>
              <w:rPr>
                <w:sz w:val="18"/>
                <w:szCs w:val="18"/>
              </w:rPr>
            </w:pPr>
            <w:r w:rsidRPr="00A23BC2">
              <w:rPr>
                <w:sz w:val="18"/>
                <w:szCs w:val="18"/>
              </w:rPr>
              <w:t>98,7%</w:t>
            </w:r>
          </w:p>
        </w:tc>
        <w:tc>
          <w:tcPr>
            <w:tcW w:w="899" w:type="pct"/>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125,3%</w:t>
            </w:r>
          </w:p>
        </w:tc>
        <w:tc>
          <w:tcPr>
            <w:tcW w:w="896" w:type="pct"/>
            <w:noWrap/>
          </w:tcPr>
          <w:p w:rsidR="00A712E1" w:rsidRPr="00A23BC2" w:rsidRDefault="00A712E1" w:rsidP="00A712E1">
            <w:pPr>
              <w:rPr>
                <w:sz w:val="18"/>
                <w:szCs w:val="18"/>
              </w:rPr>
            </w:pPr>
            <w:r w:rsidRPr="00A23BC2">
              <w:rPr>
                <w:sz w:val="18"/>
                <w:szCs w:val="18"/>
              </w:rPr>
              <w:t>125,0%</w:t>
            </w:r>
          </w:p>
        </w:tc>
      </w:tr>
      <w:tr w:rsidR="00A712E1" w:rsidRPr="00A23BC2" w:rsidTr="00017B45">
        <w:trPr>
          <w:trHeight w:val="20"/>
        </w:trPr>
        <w:tc>
          <w:tcPr>
            <w:tcW w:w="5000" w:type="pct"/>
            <w:gridSpan w:val="6"/>
            <w:noWrap/>
            <w:hideMark/>
          </w:tcPr>
          <w:p w:rsidR="00A712E1" w:rsidRPr="00A23BC2" w:rsidRDefault="00A712E1" w:rsidP="00A712E1">
            <w:pPr>
              <w:rPr>
                <w:b/>
                <w:bCs/>
                <w:sz w:val="20"/>
                <w:szCs w:val="20"/>
              </w:rPr>
            </w:pPr>
            <w:r w:rsidRPr="00A23BC2">
              <w:rPr>
                <w:b/>
                <w:bCs/>
                <w:color w:val="000000"/>
                <w:sz w:val="20"/>
                <w:szCs w:val="20"/>
              </w:rPr>
              <w:t>ставка на оплату потерь (руб./МВт·ч)</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59" w:type="pct"/>
            <w:gridSpan w:val="2"/>
            <w:noWrap/>
          </w:tcPr>
          <w:p w:rsidR="00A712E1" w:rsidRPr="00A23BC2" w:rsidRDefault="00A712E1" w:rsidP="00A712E1">
            <w:pPr>
              <w:rPr>
                <w:sz w:val="18"/>
                <w:szCs w:val="18"/>
              </w:rPr>
            </w:pPr>
            <w:r w:rsidRPr="00A23BC2">
              <w:rPr>
                <w:sz w:val="18"/>
                <w:szCs w:val="18"/>
              </w:rPr>
              <w:t>198,50</w:t>
            </w:r>
          </w:p>
        </w:tc>
        <w:tc>
          <w:tcPr>
            <w:tcW w:w="899" w:type="pct"/>
            <w:noWrap/>
          </w:tcPr>
          <w:p w:rsidR="00A712E1" w:rsidRPr="00A23BC2" w:rsidRDefault="00A712E1" w:rsidP="00A712E1">
            <w:pPr>
              <w:rPr>
                <w:sz w:val="18"/>
                <w:szCs w:val="18"/>
              </w:rPr>
            </w:pPr>
            <w:r w:rsidRPr="00A23BC2">
              <w:rPr>
                <w:sz w:val="18"/>
                <w:szCs w:val="18"/>
              </w:rPr>
              <w:t>198,50</w:t>
            </w:r>
          </w:p>
        </w:tc>
        <w:tc>
          <w:tcPr>
            <w:tcW w:w="675" w:type="pct"/>
            <w:noWrap/>
          </w:tcPr>
          <w:p w:rsidR="00A712E1" w:rsidRPr="00A23BC2" w:rsidRDefault="00A712E1" w:rsidP="00A712E1">
            <w:pPr>
              <w:rPr>
                <w:sz w:val="18"/>
                <w:szCs w:val="18"/>
              </w:rPr>
            </w:pPr>
            <w:r w:rsidRPr="00A23BC2">
              <w:rPr>
                <w:sz w:val="18"/>
                <w:szCs w:val="18"/>
              </w:rPr>
              <w:t>221,53</w:t>
            </w:r>
          </w:p>
        </w:tc>
        <w:tc>
          <w:tcPr>
            <w:tcW w:w="896" w:type="pct"/>
            <w:noWrap/>
          </w:tcPr>
          <w:p w:rsidR="00A712E1" w:rsidRPr="00A23BC2" w:rsidRDefault="00A712E1" w:rsidP="00A712E1">
            <w:pPr>
              <w:rPr>
                <w:sz w:val="18"/>
                <w:szCs w:val="18"/>
              </w:rPr>
            </w:pPr>
            <w:r w:rsidRPr="00A23BC2">
              <w:rPr>
                <w:sz w:val="18"/>
                <w:szCs w:val="18"/>
              </w:rPr>
              <w:t>221,53</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59" w:type="pct"/>
            <w:gridSpan w:val="2"/>
            <w:noWrap/>
          </w:tcPr>
          <w:p w:rsidR="00A712E1" w:rsidRPr="00A23BC2" w:rsidRDefault="00A712E1" w:rsidP="00A712E1">
            <w:pPr>
              <w:rPr>
                <w:sz w:val="18"/>
                <w:szCs w:val="18"/>
              </w:rPr>
            </w:pPr>
            <w:r w:rsidRPr="00A23BC2">
              <w:rPr>
                <w:sz w:val="18"/>
                <w:szCs w:val="18"/>
              </w:rPr>
              <w:t>287,00</w:t>
            </w:r>
          </w:p>
        </w:tc>
        <w:tc>
          <w:tcPr>
            <w:tcW w:w="899" w:type="pct"/>
            <w:noWrap/>
          </w:tcPr>
          <w:p w:rsidR="00A712E1" w:rsidRPr="00A23BC2" w:rsidRDefault="00A712E1" w:rsidP="00A712E1">
            <w:pPr>
              <w:rPr>
                <w:sz w:val="18"/>
                <w:szCs w:val="18"/>
              </w:rPr>
            </w:pPr>
            <w:r w:rsidRPr="00A23BC2">
              <w:rPr>
                <w:sz w:val="18"/>
                <w:szCs w:val="18"/>
              </w:rPr>
              <w:t>287,00</w:t>
            </w:r>
          </w:p>
        </w:tc>
        <w:tc>
          <w:tcPr>
            <w:tcW w:w="675" w:type="pct"/>
            <w:noWrap/>
          </w:tcPr>
          <w:p w:rsidR="00A712E1" w:rsidRPr="00A23BC2" w:rsidRDefault="00A712E1" w:rsidP="00A712E1">
            <w:pPr>
              <w:rPr>
                <w:sz w:val="18"/>
                <w:szCs w:val="18"/>
              </w:rPr>
            </w:pPr>
            <w:r w:rsidRPr="00A23BC2">
              <w:rPr>
                <w:sz w:val="18"/>
                <w:szCs w:val="18"/>
              </w:rPr>
              <w:t>320,30</w:t>
            </w:r>
          </w:p>
        </w:tc>
        <w:tc>
          <w:tcPr>
            <w:tcW w:w="896" w:type="pct"/>
            <w:noWrap/>
          </w:tcPr>
          <w:p w:rsidR="00A712E1" w:rsidRPr="00A23BC2" w:rsidRDefault="00A712E1" w:rsidP="00A712E1">
            <w:pPr>
              <w:rPr>
                <w:sz w:val="18"/>
                <w:szCs w:val="18"/>
              </w:rPr>
            </w:pPr>
            <w:r w:rsidRPr="00A23BC2">
              <w:rPr>
                <w:sz w:val="18"/>
                <w:szCs w:val="18"/>
              </w:rPr>
              <w:t>320,30</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59" w:type="pct"/>
            <w:gridSpan w:val="2"/>
            <w:noWrap/>
          </w:tcPr>
          <w:p w:rsidR="00A712E1" w:rsidRPr="00A23BC2" w:rsidRDefault="00A712E1" w:rsidP="00A712E1">
            <w:pPr>
              <w:rPr>
                <w:sz w:val="18"/>
                <w:szCs w:val="18"/>
              </w:rPr>
            </w:pPr>
            <w:r w:rsidRPr="00A23BC2">
              <w:rPr>
                <w:sz w:val="18"/>
                <w:szCs w:val="18"/>
              </w:rPr>
              <w:t>458,80</w:t>
            </w:r>
          </w:p>
        </w:tc>
        <w:tc>
          <w:tcPr>
            <w:tcW w:w="899" w:type="pct"/>
            <w:noWrap/>
          </w:tcPr>
          <w:p w:rsidR="00A712E1" w:rsidRPr="00A23BC2" w:rsidRDefault="00A712E1" w:rsidP="00A712E1">
            <w:pPr>
              <w:rPr>
                <w:sz w:val="18"/>
                <w:szCs w:val="18"/>
              </w:rPr>
            </w:pPr>
            <w:r w:rsidRPr="00A23BC2">
              <w:rPr>
                <w:sz w:val="18"/>
                <w:szCs w:val="18"/>
              </w:rPr>
              <w:t>458,80</w:t>
            </w:r>
          </w:p>
        </w:tc>
        <w:tc>
          <w:tcPr>
            <w:tcW w:w="675" w:type="pct"/>
            <w:noWrap/>
          </w:tcPr>
          <w:p w:rsidR="00A712E1" w:rsidRPr="00A23BC2" w:rsidRDefault="00A712E1" w:rsidP="00A712E1">
            <w:pPr>
              <w:rPr>
                <w:sz w:val="18"/>
                <w:szCs w:val="18"/>
              </w:rPr>
            </w:pPr>
            <w:r w:rsidRPr="00A23BC2">
              <w:rPr>
                <w:sz w:val="18"/>
                <w:szCs w:val="18"/>
              </w:rPr>
              <w:t>512,03</w:t>
            </w:r>
          </w:p>
        </w:tc>
        <w:tc>
          <w:tcPr>
            <w:tcW w:w="896" w:type="pct"/>
            <w:noWrap/>
          </w:tcPr>
          <w:p w:rsidR="00A712E1" w:rsidRPr="00A23BC2" w:rsidRDefault="00A712E1" w:rsidP="00A712E1">
            <w:pPr>
              <w:rPr>
                <w:sz w:val="18"/>
                <w:szCs w:val="18"/>
              </w:rPr>
            </w:pPr>
            <w:r w:rsidRPr="00A23BC2">
              <w:rPr>
                <w:sz w:val="18"/>
                <w:szCs w:val="18"/>
              </w:rPr>
              <w:t>512,03</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59" w:type="pct"/>
            <w:gridSpan w:val="2"/>
            <w:noWrap/>
          </w:tcPr>
          <w:p w:rsidR="00A712E1" w:rsidRPr="00A23BC2" w:rsidRDefault="00A712E1" w:rsidP="00A712E1">
            <w:pPr>
              <w:rPr>
                <w:sz w:val="18"/>
                <w:szCs w:val="18"/>
              </w:rPr>
            </w:pPr>
            <w:r w:rsidRPr="00A23BC2">
              <w:rPr>
                <w:sz w:val="18"/>
                <w:szCs w:val="18"/>
              </w:rPr>
              <w:t>785,44</w:t>
            </w:r>
          </w:p>
        </w:tc>
        <w:tc>
          <w:tcPr>
            <w:tcW w:w="899" w:type="pct"/>
            <w:noWrap/>
          </w:tcPr>
          <w:p w:rsidR="00A712E1" w:rsidRPr="00A23BC2" w:rsidRDefault="00A712E1" w:rsidP="00A712E1">
            <w:pPr>
              <w:rPr>
                <w:sz w:val="18"/>
                <w:szCs w:val="18"/>
              </w:rPr>
            </w:pPr>
            <w:r w:rsidRPr="00A23BC2">
              <w:rPr>
                <w:sz w:val="18"/>
                <w:szCs w:val="18"/>
              </w:rPr>
              <w:t>785,44</w:t>
            </w:r>
          </w:p>
        </w:tc>
        <w:tc>
          <w:tcPr>
            <w:tcW w:w="675" w:type="pct"/>
            <w:noWrap/>
          </w:tcPr>
          <w:p w:rsidR="00A712E1" w:rsidRPr="00A23BC2" w:rsidRDefault="00A712E1" w:rsidP="00A712E1">
            <w:pPr>
              <w:rPr>
                <w:sz w:val="18"/>
                <w:szCs w:val="18"/>
              </w:rPr>
            </w:pPr>
            <w:r w:rsidRPr="00A23BC2">
              <w:rPr>
                <w:sz w:val="18"/>
                <w:szCs w:val="18"/>
              </w:rPr>
              <w:t>876,56</w:t>
            </w:r>
          </w:p>
        </w:tc>
        <w:tc>
          <w:tcPr>
            <w:tcW w:w="896" w:type="pct"/>
            <w:noWrap/>
          </w:tcPr>
          <w:p w:rsidR="00A712E1" w:rsidRPr="00A23BC2" w:rsidRDefault="00A712E1" w:rsidP="00A712E1">
            <w:pPr>
              <w:rPr>
                <w:sz w:val="18"/>
                <w:szCs w:val="18"/>
              </w:rPr>
            </w:pPr>
            <w:r w:rsidRPr="00A23BC2">
              <w:rPr>
                <w:sz w:val="18"/>
                <w:szCs w:val="18"/>
              </w:rPr>
              <w:t>876,56</w:t>
            </w:r>
          </w:p>
        </w:tc>
      </w:tr>
      <w:tr w:rsidR="00A712E1" w:rsidRPr="00A23BC2" w:rsidTr="00017B45">
        <w:trPr>
          <w:trHeight w:val="20"/>
        </w:trPr>
        <w:tc>
          <w:tcPr>
            <w:tcW w:w="5000" w:type="pct"/>
            <w:gridSpan w:val="6"/>
            <w:noWrap/>
            <w:hideMark/>
          </w:tcPr>
          <w:p w:rsidR="00A712E1" w:rsidRPr="00A23BC2" w:rsidRDefault="00A712E1" w:rsidP="00A712E1">
            <w:pPr>
              <w:rPr>
                <w:b/>
                <w:sz w:val="20"/>
                <w:szCs w:val="20"/>
              </w:rPr>
            </w:pPr>
            <w:r w:rsidRPr="00A23BC2">
              <w:rPr>
                <w:b/>
                <w:sz w:val="20"/>
                <w:szCs w:val="20"/>
              </w:rPr>
              <w:t>Рост к предыдущему периоду</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ВН</w:t>
            </w:r>
          </w:p>
        </w:tc>
        <w:tc>
          <w:tcPr>
            <w:tcW w:w="621" w:type="pct"/>
            <w:noWrap/>
          </w:tcPr>
          <w:p w:rsidR="00A712E1" w:rsidRPr="00A23BC2" w:rsidRDefault="00A712E1" w:rsidP="00A712E1">
            <w:pPr>
              <w:rPr>
                <w:sz w:val="18"/>
                <w:szCs w:val="18"/>
              </w:rPr>
            </w:pPr>
            <w:r w:rsidRPr="00A23BC2">
              <w:rPr>
                <w:sz w:val="18"/>
                <w:szCs w:val="18"/>
              </w:rPr>
              <w:t>100,0%</w:t>
            </w:r>
          </w:p>
        </w:tc>
        <w:tc>
          <w:tcPr>
            <w:tcW w:w="937" w:type="pct"/>
            <w:gridSpan w:val="2"/>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111,6%</w:t>
            </w:r>
          </w:p>
        </w:tc>
        <w:tc>
          <w:tcPr>
            <w:tcW w:w="896" w:type="pct"/>
            <w:noWrap/>
          </w:tcPr>
          <w:p w:rsidR="00A712E1" w:rsidRPr="00A23BC2" w:rsidRDefault="00A712E1" w:rsidP="00A712E1">
            <w:pPr>
              <w:rPr>
                <w:sz w:val="18"/>
                <w:szCs w:val="18"/>
              </w:rPr>
            </w:pPr>
            <w:r w:rsidRPr="00A23BC2">
              <w:rPr>
                <w:sz w:val="18"/>
                <w:szCs w:val="18"/>
              </w:rPr>
              <w:t>111,6%</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СН1</w:t>
            </w:r>
          </w:p>
        </w:tc>
        <w:tc>
          <w:tcPr>
            <w:tcW w:w="621" w:type="pct"/>
            <w:noWrap/>
          </w:tcPr>
          <w:p w:rsidR="00A712E1" w:rsidRPr="00A23BC2" w:rsidRDefault="00A712E1" w:rsidP="00A712E1">
            <w:pPr>
              <w:rPr>
                <w:sz w:val="18"/>
                <w:szCs w:val="18"/>
              </w:rPr>
            </w:pPr>
            <w:r w:rsidRPr="00A23BC2">
              <w:rPr>
                <w:sz w:val="18"/>
                <w:szCs w:val="18"/>
              </w:rPr>
              <w:t>100,0%</w:t>
            </w:r>
          </w:p>
        </w:tc>
        <w:tc>
          <w:tcPr>
            <w:tcW w:w="937" w:type="pct"/>
            <w:gridSpan w:val="2"/>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111,6%</w:t>
            </w:r>
          </w:p>
        </w:tc>
        <w:tc>
          <w:tcPr>
            <w:tcW w:w="896" w:type="pct"/>
            <w:noWrap/>
          </w:tcPr>
          <w:p w:rsidR="00A712E1" w:rsidRPr="00A23BC2" w:rsidRDefault="00A712E1" w:rsidP="00A712E1">
            <w:pPr>
              <w:rPr>
                <w:sz w:val="18"/>
                <w:szCs w:val="18"/>
              </w:rPr>
            </w:pPr>
            <w:r w:rsidRPr="00A23BC2">
              <w:rPr>
                <w:sz w:val="18"/>
                <w:szCs w:val="18"/>
              </w:rPr>
              <w:t>111,6%</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СН2</w:t>
            </w:r>
          </w:p>
        </w:tc>
        <w:tc>
          <w:tcPr>
            <w:tcW w:w="621" w:type="pct"/>
            <w:noWrap/>
          </w:tcPr>
          <w:p w:rsidR="00A712E1" w:rsidRPr="00A23BC2" w:rsidRDefault="00A712E1" w:rsidP="00A712E1">
            <w:pPr>
              <w:rPr>
                <w:sz w:val="18"/>
                <w:szCs w:val="18"/>
              </w:rPr>
            </w:pPr>
            <w:r w:rsidRPr="00A23BC2">
              <w:rPr>
                <w:sz w:val="18"/>
                <w:szCs w:val="18"/>
              </w:rPr>
              <w:t>100,0%</w:t>
            </w:r>
          </w:p>
        </w:tc>
        <w:tc>
          <w:tcPr>
            <w:tcW w:w="937" w:type="pct"/>
            <w:gridSpan w:val="2"/>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111,6%</w:t>
            </w:r>
          </w:p>
        </w:tc>
        <w:tc>
          <w:tcPr>
            <w:tcW w:w="896" w:type="pct"/>
            <w:noWrap/>
          </w:tcPr>
          <w:p w:rsidR="00A712E1" w:rsidRPr="00A23BC2" w:rsidRDefault="00A712E1" w:rsidP="00A712E1">
            <w:pPr>
              <w:rPr>
                <w:sz w:val="18"/>
                <w:szCs w:val="18"/>
              </w:rPr>
            </w:pPr>
            <w:r w:rsidRPr="00A23BC2">
              <w:rPr>
                <w:sz w:val="18"/>
                <w:szCs w:val="18"/>
              </w:rPr>
              <w:t>111,6%</w:t>
            </w:r>
          </w:p>
        </w:tc>
      </w:tr>
      <w:tr w:rsidR="00A712E1" w:rsidRPr="00A23BC2" w:rsidTr="00017B45">
        <w:trPr>
          <w:trHeight w:val="20"/>
        </w:trPr>
        <w:tc>
          <w:tcPr>
            <w:tcW w:w="1871" w:type="pct"/>
            <w:noWrap/>
            <w:hideMark/>
          </w:tcPr>
          <w:p w:rsidR="00A712E1" w:rsidRPr="00A23BC2" w:rsidRDefault="00A712E1" w:rsidP="00A712E1">
            <w:pPr>
              <w:rPr>
                <w:sz w:val="20"/>
                <w:szCs w:val="20"/>
              </w:rPr>
            </w:pPr>
            <w:r w:rsidRPr="00A23BC2">
              <w:rPr>
                <w:sz w:val="20"/>
                <w:szCs w:val="20"/>
              </w:rPr>
              <w:t>НН (прочие потребители)</w:t>
            </w:r>
          </w:p>
        </w:tc>
        <w:tc>
          <w:tcPr>
            <w:tcW w:w="621" w:type="pct"/>
            <w:noWrap/>
          </w:tcPr>
          <w:p w:rsidR="00A712E1" w:rsidRPr="00A23BC2" w:rsidRDefault="00A712E1" w:rsidP="00A712E1">
            <w:pPr>
              <w:rPr>
                <w:sz w:val="18"/>
                <w:szCs w:val="18"/>
              </w:rPr>
            </w:pPr>
            <w:r w:rsidRPr="00A23BC2">
              <w:rPr>
                <w:sz w:val="18"/>
                <w:szCs w:val="18"/>
              </w:rPr>
              <w:t>100,0%</w:t>
            </w:r>
          </w:p>
        </w:tc>
        <w:tc>
          <w:tcPr>
            <w:tcW w:w="937" w:type="pct"/>
            <w:gridSpan w:val="2"/>
            <w:noWrap/>
          </w:tcPr>
          <w:p w:rsidR="00A712E1" w:rsidRPr="00A23BC2" w:rsidRDefault="00A712E1" w:rsidP="00A712E1">
            <w:pPr>
              <w:rPr>
                <w:sz w:val="18"/>
                <w:szCs w:val="18"/>
              </w:rPr>
            </w:pPr>
            <w:r w:rsidRPr="00A23BC2">
              <w:rPr>
                <w:sz w:val="18"/>
                <w:szCs w:val="18"/>
              </w:rPr>
              <w:t>100,0%</w:t>
            </w:r>
          </w:p>
        </w:tc>
        <w:tc>
          <w:tcPr>
            <w:tcW w:w="675" w:type="pct"/>
            <w:noWrap/>
          </w:tcPr>
          <w:p w:rsidR="00A712E1" w:rsidRPr="00A23BC2" w:rsidRDefault="00A712E1" w:rsidP="00A712E1">
            <w:pPr>
              <w:rPr>
                <w:sz w:val="18"/>
                <w:szCs w:val="18"/>
              </w:rPr>
            </w:pPr>
            <w:r w:rsidRPr="00A23BC2">
              <w:rPr>
                <w:sz w:val="18"/>
                <w:szCs w:val="18"/>
              </w:rPr>
              <w:t>111,6%</w:t>
            </w:r>
          </w:p>
        </w:tc>
        <w:tc>
          <w:tcPr>
            <w:tcW w:w="896" w:type="pct"/>
            <w:noWrap/>
          </w:tcPr>
          <w:p w:rsidR="00A712E1" w:rsidRPr="00A23BC2" w:rsidRDefault="00A712E1" w:rsidP="00A712E1">
            <w:pPr>
              <w:rPr>
                <w:sz w:val="18"/>
                <w:szCs w:val="18"/>
              </w:rPr>
            </w:pPr>
            <w:r w:rsidRPr="00A23BC2">
              <w:rPr>
                <w:sz w:val="18"/>
                <w:szCs w:val="18"/>
              </w:rPr>
              <w:t>111,6%</w:t>
            </w:r>
          </w:p>
        </w:tc>
      </w:tr>
    </w:tbl>
    <w:p w:rsidR="00A712E1" w:rsidRDefault="00A712E1" w:rsidP="00A712E1">
      <w:pPr>
        <w:tabs>
          <w:tab w:val="center" w:pos="4677"/>
          <w:tab w:val="right" w:pos="9355"/>
        </w:tabs>
        <w:spacing w:after="0" w:line="240" w:lineRule="auto"/>
        <w:ind w:firstLine="709"/>
        <w:jc w:val="both"/>
        <w:rPr>
          <w:rFonts w:eastAsia="Calibri"/>
          <w:b/>
          <w:szCs w:val="28"/>
        </w:rPr>
      </w:pPr>
    </w:p>
    <w:p w:rsidR="00A712E1" w:rsidRPr="001F06C8" w:rsidRDefault="00A712E1" w:rsidP="00A712E1">
      <w:pPr>
        <w:tabs>
          <w:tab w:val="center" w:pos="4677"/>
          <w:tab w:val="right" w:pos="9355"/>
        </w:tabs>
        <w:spacing w:after="0" w:line="240" w:lineRule="auto"/>
        <w:ind w:firstLine="709"/>
        <w:jc w:val="both"/>
        <w:rPr>
          <w:rFonts w:eastAsia="Calibri"/>
          <w:szCs w:val="28"/>
        </w:rPr>
      </w:pPr>
      <w:r w:rsidRPr="001F06C8">
        <w:rPr>
          <w:rFonts w:eastAsia="Calibri"/>
          <w:szCs w:val="28"/>
        </w:rPr>
        <w:t xml:space="preserve">Сравнительная динамика установленных единых (котловых) тарифов </w:t>
      </w:r>
      <w:r w:rsidRPr="001F06C8">
        <w:rPr>
          <w:szCs w:val="28"/>
        </w:rPr>
        <w:t>на услуги по передаче электрической энергии, поставляемой прочим потребителям, и экономически обоснованных тарифов (ЭОТ), в разрезе уровней напряжения по городам-миллионникам за период 2015-2025 годов представлена ниже на графиках:</w:t>
      </w:r>
      <w:r w:rsidRPr="001F06C8">
        <w:rPr>
          <w:rFonts w:eastAsia="Calibri"/>
          <w:szCs w:val="28"/>
        </w:rPr>
        <w:t xml:space="preserve"> </w:t>
      </w:r>
    </w:p>
    <w:p w:rsidR="00A712E1" w:rsidRDefault="00A712E1" w:rsidP="00A712E1">
      <w:pPr>
        <w:spacing w:after="0" w:line="240" w:lineRule="auto"/>
        <w:jc w:val="both"/>
        <w:rPr>
          <w:rFonts w:eastAsia="Times New Roman"/>
          <w:szCs w:val="28"/>
        </w:rPr>
      </w:pPr>
      <w:r>
        <w:rPr>
          <w:noProof/>
        </w:rPr>
        <w:lastRenderedPageBreak/>
        <w:drawing>
          <wp:inline distT="0" distB="0" distL="0" distR="0" wp14:anchorId="28C5E8DA" wp14:editId="4B82B98D">
            <wp:extent cx="5961185" cy="2702169"/>
            <wp:effectExtent l="0" t="0" r="1905" b="3175"/>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A712E1" w:rsidRPr="0011141A" w:rsidRDefault="00A712E1" w:rsidP="00A712E1">
      <w:pPr>
        <w:spacing w:after="0" w:line="240" w:lineRule="auto"/>
        <w:ind w:firstLine="709"/>
        <w:jc w:val="both"/>
        <w:rPr>
          <w:rFonts w:eastAsia="Times New Roman"/>
          <w:szCs w:val="28"/>
        </w:rPr>
      </w:pPr>
      <w:r w:rsidRPr="00606810">
        <w:rPr>
          <w:rFonts w:eastAsia="Times New Roman"/>
          <w:szCs w:val="28"/>
        </w:rPr>
        <w:t>Следует отметить, что установленные тарифы для прочих потребителей на уровне напряжения ВН по городу Новосибирску находятся на уровне выше минимального и ниже максимального уровня тарифов среди городов-миллионников. Минимальные значения сложились по г. Казань, максимальные - по г. Нижний Новгород</w:t>
      </w:r>
      <w:r w:rsidRPr="0011141A">
        <w:rPr>
          <w:rFonts w:eastAsia="Times New Roman"/>
          <w:szCs w:val="28"/>
        </w:rPr>
        <w:t xml:space="preserve">. </w:t>
      </w:r>
    </w:p>
    <w:p w:rsidR="00A712E1" w:rsidRPr="00FE1097" w:rsidRDefault="00A712E1" w:rsidP="00A712E1">
      <w:pPr>
        <w:tabs>
          <w:tab w:val="center" w:pos="4153"/>
          <w:tab w:val="right" w:pos="8306"/>
        </w:tabs>
        <w:spacing w:before="240" w:after="0" w:line="240" w:lineRule="auto"/>
        <w:jc w:val="both"/>
        <w:rPr>
          <w:rFonts w:eastAsia="Times New Roman"/>
          <w:color w:val="FF0000"/>
          <w:szCs w:val="28"/>
        </w:rPr>
      </w:pPr>
      <w:r>
        <w:rPr>
          <w:noProof/>
        </w:rPr>
        <w:drawing>
          <wp:inline distT="0" distB="0" distL="0" distR="0" wp14:anchorId="71154590" wp14:editId="581AA25E">
            <wp:extent cx="6122505" cy="3140765"/>
            <wp:effectExtent l="0" t="0" r="0" b="254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A712E1" w:rsidRPr="00606810" w:rsidRDefault="00A712E1" w:rsidP="00A712E1">
      <w:pPr>
        <w:tabs>
          <w:tab w:val="center" w:pos="4153"/>
          <w:tab w:val="right" w:pos="8306"/>
        </w:tabs>
        <w:spacing w:before="240" w:after="0" w:line="240" w:lineRule="auto"/>
        <w:ind w:firstLine="851"/>
        <w:jc w:val="both"/>
        <w:rPr>
          <w:rFonts w:eastAsia="Times New Roman"/>
          <w:szCs w:val="28"/>
        </w:rPr>
      </w:pPr>
      <w:r>
        <w:rPr>
          <w:rFonts w:eastAsia="Times New Roman"/>
          <w:szCs w:val="28"/>
        </w:rPr>
        <w:t>Величина</w:t>
      </w:r>
      <w:r w:rsidRPr="00606810">
        <w:rPr>
          <w:rFonts w:eastAsia="Times New Roman"/>
          <w:szCs w:val="28"/>
        </w:rPr>
        <w:t xml:space="preserve"> экономически обоснованных тарифов для г. Новосибирск находится </w:t>
      </w:r>
      <w:r>
        <w:rPr>
          <w:rFonts w:eastAsia="Times New Roman"/>
          <w:szCs w:val="28"/>
        </w:rPr>
        <w:t xml:space="preserve">в основном </w:t>
      </w:r>
      <w:r w:rsidRPr="00606810">
        <w:rPr>
          <w:rFonts w:eastAsia="Times New Roman"/>
          <w:szCs w:val="28"/>
        </w:rPr>
        <w:t>чуть выше минимальных значений среди сравниваемых городов</w:t>
      </w:r>
      <w:r>
        <w:rPr>
          <w:rFonts w:eastAsia="Times New Roman"/>
          <w:szCs w:val="28"/>
        </w:rPr>
        <w:t>, при этом в 2018 и в 2021 годах - соответствовала минимальным значениям</w:t>
      </w:r>
      <w:r w:rsidRPr="00606810">
        <w:rPr>
          <w:rFonts w:eastAsia="Times New Roman"/>
          <w:szCs w:val="28"/>
        </w:rPr>
        <w:t>. Максимальный уровень сложился по г. Санкт-Петербург, и в 2017</w:t>
      </w:r>
      <w:r>
        <w:rPr>
          <w:rFonts w:eastAsia="Times New Roman"/>
          <w:szCs w:val="28"/>
        </w:rPr>
        <w:t xml:space="preserve"> </w:t>
      </w:r>
      <w:r w:rsidRPr="00606810">
        <w:rPr>
          <w:rFonts w:eastAsia="Times New Roman"/>
          <w:szCs w:val="28"/>
        </w:rPr>
        <w:t>г. по г. Нижний Новгород.</w:t>
      </w:r>
    </w:p>
    <w:p w:rsidR="00A712E1" w:rsidRPr="00FE1097" w:rsidRDefault="00A712E1" w:rsidP="00A712E1">
      <w:pPr>
        <w:spacing w:after="0" w:line="240" w:lineRule="auto"/>
        <w:jc w:val="both"/>
        <w:rPr>
          <w:rFonts w:eastAsia="Times New Roman"/>
          <w:b/>
          <w:szCs w:val="28"/>
        </w:rPr>
      </w:pPr>
      <w:r>
        <w:rPr>
          <w:noProof/>
        </w:rPr>
        <w:lastRenderedPageBreak/>
        <w:drawing>
          <wp:inline distT="0" distB="0" distL="0" distR="0" wp14:anchorId="10D3D023" wp14:editId="28E475FB">
            <wp:extent cx="5987333" cy="2941983"/>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A712E1" w:rsidRPr="00077BD0" w:rsidRDefault="00A712E1" w:rsidP="00A712E1">
      <w:pPr>
        <w:tabs>
          <w:tab w:val="center" w:pos="4153"/>
          <w:tab w:val="right" w:pos="8306"/>
        </w:tabs>
        <w:spacing w:before="240" w:after="0" w:line="240" w:lineRule="auto"/>
        <w:ind w:firstLine="851"/>
        <w:jc w:val="both"/>
        <w:rPr>
          <w:rFonts w:eastAsia="Times New Roman"/>
          <w:szCs w:val="28"/>
        </w:rPr>
      </w:pPr>
      <w:r w:rsidRPr="00077BD0">
        <w:rPr>
          <w:rFonts w:eastAsia="Times New Roman"/>
          <w:szCs w:val="28"/>
        </w:rPr>
        <w:t xml:space="preserve">Тарифы на уровне напряжения СН-1 по г. Новосибирску находятся на уровне выше минимального, и ниже максимального уровня тарифов. Минимальные значения сложились по г. Омск, и в 2015 г. по г. Красноярск, максимальные - по г. Нижний Новгород, в 2015 г. - по г. Санкт-Петербург. </w:t>
      </w:r>
    </w:p>
    <w:p w:rsidR="00A712E1" w:rsidRDefault="00A712E1" w:rsidP="00A712E1">
      <w:pPr>
        <w:spacing w:after="0" w:line="240" w:lineRule="auto"/>
        <w:jc w:val="both"/>
        <w:rPr>
          <w:rFonts w:eastAsia="Times New Roman"/>
          <w:b/>
          <w:szCs w:val="28"/>
        </w:rPr>
      </w:pPr>
    </w:p>
    <w:p w:rsidR="00A712E1" w:rsidRPr="00FE1097" w:rsidRDefault="00A712E1" w:rsidP="00A712E1">
      <w:pPr>
        <w:spacing w:after="0" w:line="240" w:lineRule="auto"/>
        <w:jc w:val="both"/>
        <w:rPr>
          <w:rFonts w:eastAsia="Times New Roman"/>
          <w:b/>
          <w:szCs w:val="28"/>
        </w:rPr>
      </w:pPr>
      <w:r>
        <w:rPr>
          <w:noProof/>
        </w:rPr>
        <w:drawing>
          <wp:inline distT="0" distB="0" distL="0" distR="0" wp14:anchorId="5F8ED88D" wp14:editId="0616862C">
            <wp:extent cx="6122505" cy="3625794"/>
            <wp:effectExtent l="0" t="0" r="0"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A712E1" w:rsidRPr="003E7A88" w:rsidRDefault="00A712E1" w:rsidP="00A712E1">
      <w:pPr>
        <w:tabs>
          <w:tab w:val="center" w:pos="4153"/>
          <w:tab w:val="right" w:pos="8306"/>
        </w:tabs>
        <w:spacing w:before="240" w:after="0" w:line="240" w:lineRule="auto"/>
        <w:ind w:firstLine="851"/>
        <w:jc w:val="both"/>
        <w:rPr>
          <w:rFonts w:eastAsia="Times New Roman"/>
          <w:szCs w:val="28"/>
        </w:rPr>
      </w:pPr>
      <w:r w:rsidRPr="003E7A88">
        <w:rPr>
          <w:rFonts w:eastAsia="Times New Roman"/>
          <w:szCs w:val="28"/>
        </w:rPr>
        <w:t>Размер экономически обоснованных тарифов для г. Новосибирск находится практически на минимальных значениях среди анализируемых субъектов. Минимальный уровень экономически обоснованных тарифов сложился также по г. Омск, в 2016-2018</w:t>
      </w:r>
      <w:r>
        <w:rPr>
          <w:rFonts w:eastAsia="Times New Roman"/>
          <w:szCs w:val="28"/>
        </w:rPr>
        <w:t xml:space="preserve"> </w:t>
      </w:r>
      <w:r w:rsidRPr="003E7A88">
        <w:rPr>
          <w:rFonts w:eastAsia="Times New Roman"/>
          <w:szCs w:val="28"/>
        </w:rPr>
        <w:t>г.г. и в 2020-2021</w:t>
      </w:r>
      <w:r>
        <w:rPr>
          <w:rFonts w:eastAsia="Times New Roman"/>
          <w:szCs w:val="28"/>
        </w:rPr>
        <w:t xml:space="preserve"> </w:t>
      </w:r>
      <w:r w:rsidRPr="003E7A88">
        <w:rPr>
          <w:rFonts w:eastAsia="Times New Roman"/>
          <w:szCs w:val="28"/>
        </w:rPr>
        <w:t>г.г., и по г. Красноярск с 2022 г. по 202</w:t>
      </w:r>
      <w:r>
        <w:rPr>
          <w:rFonts w:eastAsia="Times New Roman"/>
          <w:szCs w:val="28"/>
        </w:rPr>
        <w:t xml:space="preserve">5 </w:t>
      </w:r>
      <w:r w:rsidRPr="003E7A88">
        <w:rPr>
          <w:rFonts w:eastAsia="Times New Roman"/>
          <w:szCs w:val="28"/>
        </w:rPr>
        <w:t>г.</w:t>
      </w:r>
      <w:r>
        <w:rPr>
          <w:rFonts w:eastAsia="Times New Roman"/>
          <w:szCs w:val="28"/>
        </w:rPr>
        <w:t xml:space="preserve"> </w:t>
      </w:r>
      <w:r w:rsidRPr="003E7A88">
        <w:rPr>
          <w:rFonts w:eastAsia="Times New Roman"/>
          <w:szCs w:val="28"/>
        </w:rPr>
        <w:t xml:space="preserve">Максимальный уровень сложился по г. </w:t>
      </w:r>
      <w:r w:rsidRPr="003E7A88">
        <w:rPr>
          <w:rFonts w:eastAsia="Times New Roman"/>
          <w:szCs w:val="28"/>
        </w:rPr>
        <w:lastRenderedPageBreak/>
        <w:t>Москва, в 2015 г. и в 2024 г. - по г. Санкт-Петербург, в 2021 - 2023 г.г. – по г. Нижний Новгород</w:t>
      </w:r>
      <w:r>
        <w:rPr>
          <w:rFonts w:eastAsia="Times New Roman"/>
          <w:szCs w:val="28"/>
        </w:rPr>
        <w:t>,</w:t>
      </w:r>
      <w:r w:rsidRPr="00CA4705">
        <w:rPr>
          <w:rFonts w:eastAsia="Times New Roman"/>
          <w:szCs w:val="28"/>
        </w:rPr>
        <w:t xml:space="preserve"> </w:t>
      </w:r>
      <w:r>
        <w:rPr>
          <w:rFonts w:eastAsia="Times New Roman"/>
          <w:szCs w:val="28"/>
        </w:rPr>
        <w:t>в 2025 г. – по г. Казань.</w:t>
      </w:r>
    </w:p>
    <w:p w:rsidR="00A712E1" w:rsidRPr="00FE1097" w:rsidRDefault="00A712E1" w:rsidP="00A712E1">
      <w:pPr>
        <w:spacing w:after="0" w:line="240" w:lineRule="auto"/>
        <w:jc w:val="both"/>
        <w:rPr>
          <w:rFonts w:eastAsia="Times New Roman"/>
          <w:b/>
          <w:szCs w:val="28"/>
        </w:rPr>
      </w:pPr>
      <w:r>
        <w:rPr>
          <w:noProof/>
        </w:rPr>
        <w:drawing>
          <wp:inline distT="0" distB="0" distL="0" distR="0" wp14:anchorId="2925FD82" wp14:editId="317B2E8F">
            <wp:extent cx="6122505" cy="2798859"/>
            <wp:effectExtent l="0" t="0" r="0" b="1905"/>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A712E1" w:rsidRPr="00077BD0" w:rsidRDefault="00A712E1" w:rsidP="00A712E1">
      <w:pPr>
        <w:tabs>
          <w:tab w:val="center" w:pos="4153"/>
          <w:tab w:val="right" w:pos="8306"/>
        </w:tabs>
        <w:spacing w:before="240" w:after="0" w:line="240" w:lineRule="auto"/>
        <w:ind w:firstLine="851"/>
        <w:jc w:val="both"/>
        <w:rPr>
          <w:rFonts w:eastAsia="Times New Roman"/>
          <w:szCs w:val="28"/>
        </w:rPr>
      </w:pPr>
      <w:r w:rsidRPr="00077BD0">
        <w:rPr>
          <w:rFonts w:eastAsia="Times New Roman"/>
          <w:szCs w:val="28"/>
        </w:rPr>
        <w:t xml:space="preserve">Тарифы для прочих потребителей на уровне напряжения СН-2 по г. Новосибирску находятся практически на минимальных значениях, с 2017 года минимальные уровни тарифов на СН-2 установлены в г. Омск. Максимальные значения сложились по г. Санкт-Петербург и в 2017 г. - по г. Нижний Новгород. </w:t>
      </w:r>
    </w:p>
    <w:p w:rsidR="00A712E1" w:rsidRPr="00FE1097" w:rsidRDefault="00A712E1" w:rsidP="00A712E1">
      <w:pPr>
        <w:spacing w:after="0" w:line="240" w:lineRule="auto"/>
        <w:jc w:val="both"/>
        <w:rPr>
          <w:rFonts w:eastAsia="Times New Roman"/>
          <w:b/>
          <w:szCs w:val="28"/>
        </w:rPr>
      </w:pPr>
      <w:r>
        <w:rPr>
          <w:noProof/>
        </w:rPr>
        <w:drawing>
          <wp:inline distT="0" distB="0" distL="0" distR="0" wp14:anchorId="5DB5DE9E" wp14:editId="252A35DB">
            <wp:extent cx="6122505" cy="3013545"/>
            <wp:effectExtent l="0" t="0" r="0" b="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A712E1" w:rsidRPr="0056725B" w:rsidRDefault="00A712E1" w:rsidP="00A712E1">
      <w:pPr>
        <w:tabs>
          <w:tab w:val="center" w:pos="4153"/>
          <w:tab w:val="right" w:pos="8306"/>
        </w:tabs>
        <w:spacing w:before="240" w:after="0" w:line="240" w:lineRule="auto"/>
        <w:ind w:firstLine="851"/>
        <w:jc w:val="both"/>
        <w:rPr>
          <w:rFonts w:eastAsia="Times New Roman"/>
          <w:szCs w:val="28"/>
        </w:rPr>
      </w:pPr>
      <w:r w:rsidRPr="0056725B">
        <w:rPr>
          <w:rFonts w:eastAsia="Times New Roman"/>
          <w:szCs w:val="28"/>
        </w:rPr>
        <w:t>Уровень экономически обоснованных тарифов для г. Новосибирск соответствует минимальным значениям среди анализируемых субъектов за весь анализируемый период, за исключением 2024 г., в котором минимальное значение сложилось по г. Красноярск. Максимальный уровень сложился по г. Санкт-Петербург (2015</w:t>
      </w:r>
      <w:r>
        <w:rPr>
          <w:rFonts w:eastAsia="Times New Roman"/>
          <w:szCs w:val="28"/>
        </w:rPr>
        <w:t xml:space="preserve"> </w:t>
      </w:r>
      <w:r w:rsidRPr="0056725B">
        <w:rPr>
          <w:rFonts w:eastAsia="Times New Roman"/>
          <w:szCs w:val="28"/>
        </w:rPr>
        <w:t>г., 2016</w:t>
      </w:r>
      <w:r>
        <w:rPr>
          <w:rFonts w:eastAsia="Times New Roman"/>
          <w:szCs w:val="28"/>
        </w:rPr>
        <w:t xml:space="preserve"> </w:t>
      </w:r>
      <w:r w:rsidRPr="0056725B">
        <w:rPr>
          <w:rFonts w:eastAsia="Times New Roman"/>
          <w:szCs w:val="28"/>
        </w:rPr>
        <w:t>г., 2019</w:t>
      </w:r>
      <w:r>
        <w:rPr>
          <w:rFonts w:eastAsia="Times New Roman"/>
          <w:szCs w:val="28"/>
        </w:rPr>
        <w:t xml:space="preserve"> </w:t>
      </w:r>
      <w:r w:rsidRPr="0056725B">
        <w:rPr>
          <w:rFonts w:eastAsia="Times New Roman"/>
          <w:szCs w:val="28"/>
        </w:rPr>
        <w:t>г.), по г. Нижний Новгород и по г. Самара (2022 г.).</w:t>
      </w:r>
    </w:p>
    <w:p w:rsidR="00A712E1" w:rsidRPr="00FE1097" w:rsidRDefault="00A712E1" w:rsidP="00A712E1">
      <w:pPr>
        <w:spacing w:after="0" w:line="240" w:lineRule="auto"/>
        <w:jc w:val="both"/>
        <w:rPr>
          <w:rFonts w:eastAsia="Times New Roman"/>
          <w:b/>
          <w:szCs w:val="28"/>
        </w:rPr>
      </w:pPr>
      <w:r>
        <w:rPr>
          <w:noProof/>
        </w:rPr>
        <w:lastRenderedPageBreak/>
        <w:drawing>
          <wp:inline distT="0" distB="0" distL="0" distR="0" wp14:anchorId="5F60DFF5" wp14:editId="227CAC32">
            <wp:extent cx="6122505" cy="3180522"/>
            <wp:effectExtent l="0" t="0" r="0" b="127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A712E1" w:rsidRPr="00077BD0" w:rsidRDefault="00A712E1" w:rsidP="00A712E1">
      <w:pPr>
        <w:tabs>
          <w:tab w:val="center" w:pos="4153"/>
          <w:tab w:val="right" w:pos="8306"/>
        </w:tabs>
        <w:spacing w:before="240" w:after="0" w:line="240" w:lineRule="auto"/>
        <w:ind w:firstLine="851"/>
        <w:jc w:val="both"/>
        <w:rPr>
          <w:rFonts w:eastAsia="Times New Roman"/>
          <w:szCs w:val="28"/>
        </w:rPr>
      </w:pPr>
      <w:r w:rsidRPr="00077BD0">
        <w:rPr>
          <w:rFonts w:eastAsia="Times New Roman"/>
          <w:szCs w:val="28"/>
        </w:rPr>
        <w:t>Тарифы, установленные для прочих потребителей на уровне напряжения НН, по г. Новосибирску находятся на минимальных значениях среди городов-миллионников. Максимальные значения сложились в основном по г. Красноярск, в 2015</w:t>
      </w:r>
      <w:r>
        <w:rPr>
          <w:rFonts w:eastAsia="Times New Roman"/>
          <w:szCs w:val="28"/>
        </w:rPr>
        <w:t>, в 2024</w:t>
      </w:r>
      <w:r w:rsidRPr="00077BD0">
        <w:rPr>
          <w:rFonts w:eastAsia="Times New Roman"/>
          <w:szCs w:val="28"/>
        </w:rPr>
        <w:t xml:space="preserve"> и в 202</w:t>
      </w:r>
      <w:r>
        <w:rPr>
          <w:rFonts w:eastAsia="Times New Roman"/>
          <w:szCs w:val="28"/>
        </w:rPr>
        <w:t xml:space="preserve">5 </w:t>
      </w:r>
      <w:r w:rsidRPr="00077BD0">
        <w:rPr>
          <w:rFonts w:eastAsia="Times New Roman"/>
          <w:szCs w:val="28"/>
        </w:rPr>
        <w:t>г</w:t>
      </w:r>
      <w:r>
        <w:rPr>
          <w:rFonts w:eastAsia="Times New Roman"/>
          <w:szCs w:val="28"/>
        </w:rPr>
        <w:t>одах</w:t>
      </w:r>
      <w:r w:rsidRPr="00077BD0">
        <w:rPr>
          <w:rFonts w:eastAsia="Times New Roman"/>
          <w:szCs w:val="28"/>
        </w:rPr>
        <w:t xml:space="preserve"> - по г. Самара. </w:t>
      </w:r>
    </w:p>
    <w:p w:rsidR="00A712E1" w:rsidRPr="00077BD0" w:rsidRDefault="00A712E1" w:rsidP="00A712E1">
      <w:pPr>
        <w:spacing w:after="0" w:line="240" w:lineRule="auto"/>
        <w:jc w:val="both"/>
        <w:rPr>
          <w:rFonts w:eastAsia="Times New Roman"/>
          <w:b/>
          <w:szCs w:val="28"/>
        </w:rPr>
      </w:pPr>
    </w:p>
    <w:p w:rsidR="00A712E1" w:rsidRPr="00FE1097" w:rsidRDefault="00A712E1" w:rsidP="00A712E1">
      <w:pPr>
        <w:spacing w:after="0" w:line="240" w:lineRule="auto"/>
        <w:jc w:val="both"/>
        <w:rPr>
          <w:rFonts w:eastAsia="Times New Roman"/>
          <w:b/>
          <w:szCs w:val="28"/>
          <w:lang w:val="en-US"/>
        </w:rPr>
      </w:pPr>
      <w:r>
        <w:rPr>
          <w:noProof/>
        </w:rPr>
        <w:drawing>
          <wp:inline distT="0" distB="0" distL="0" distR="0" wp14:anchorId="23E6CD1D" wp14:editId="685787EE">
            <wp:extent cx="6122505" cy="3037398"/>
            <wp:effectExtent l="0" t="0" r="0" b="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A712E1" w:rsidRPr="0056725B" w:rsidRDefault="00A712E1" w:rsidP="00A712E1">
      <w:pPr>
        <w:tabs>
          <w:tab w:val="center" w:pos="4153"/>
          <w:tab w:val="right" w:pos="8306"/>
        </w:tabs>
        <w:spacing w:before="240" w:after="0" w:line="240" w:lineRule="auto"/>
        <w:ind w:firstLine="851"/>
        <w:jc w:val="both"/>
        <w:rPr>
          <w:rFonts w:eastAsia="Times New Roman"/>
          <w:szCs w:val="28"/>
        </w:rPr>
      </w:pPr>
      <w:r w:rsidRPr="0056725B">
        <w:rPr>
          <w:rFonts w:eastAsia="Times New Roman"/>
          <w:szCs w:val="28"/>
        </w:rPr>
        <w:t>Уровень экономически обоснованного тариф</w:t>
      </w:r>
      <w:r>
        <w:rPr>
          <w:rFonts w:eastAsia="Times New Roman"/>
          <w:szCs w:val="28"/>
        </w:rPr>
        <w:t>а по низкому напряжению в 2023</w:t>
      </w:r>
      <w:r w:rsidRPr="0056725B">
        <w:rPr>
          <w:rFonts w:eastAsia="Times New Roman"/>
          <w:szCs w:val="28"/>
        </w:rPr>
        <w:t xml:space="preserve"> </w:t>
      </w:r>
      <w:r>
        <w:rPr>
          <w:rFonts w:eastAsia="Times New Roman"/>
          <w:szCs w:val="28"/>
        </w:rPr>
        <w:t xml:space="preserve">и в 2025 годах </w:t>
      </w:r>
      <w:r w:rsidRPr="0056725B">
        <w:rPr>
          <w:rFonts w:eastAsia="Times New Roman"/>
          <w:szCs w:val="28"/>
        </w:rPr>
        <w:t xml:space="preserve">по г. Новосибирск </w:t>
      </w:r>
      <w:r>
        <w:rPr>
          <w:rFonts w:eastAsia="Times New Roman"/>
          <w:szCs w:val="28"/>
        </w:rPr>
        <w:t>сложился</w:t>
      </w:r>
      <w:r w:rsidRPr="0056725B">
        <w:rPr>
          <w:rFonts w:eastAsia="Times New Roman"/>
          <w:szCs w:val="28"/>
        </w:rPr>
        <w:t xml:space="preserve"> чуть выше минимального. За остальной анализируемый период уровень соответствует минимальным значениям среди городов-миллионников</w:t>
      </w:r>
      <w:r>
        <w:rPr>
          <w:rFonts w:eastAsia="Times New Roman"/>
          <w:szCs w:val="28"/>
        </w:rPr>
        <w:t>. В 2023 м</w:t>
      </w:r>
      <w:r w:rsidRPr="0056725B">
        <w:rPr>
          <w:rFonts w:eastAsia="Times New Roman"/>
          <w:szCs w:val="28"/>
        </w:rPr>
        <w:t xml:space="preserve">инимальный уровень сложился по </w:t>
      </w:r>
      <w:r>
        <w:rPr>
          <w:rFonts w:eastAsia="Times New Roman"/>
          <w:szCs w:val="28"/>
        </w:rPr>
        <w:t xml:space="preserve">городу </w:t>
      </w:r>
      <w:r w:rsidRPr="0056725B">
        <w:rPr>
          <w:rFonts w:eastAsia="Times New Roman"/>
          <w:szCs w:val="28"/>
        </w:rPr>
        <w:t>Челябинск</w:t>
      </w:r>
      <w:r>
        <w:rPr>
          <w:rFonts w:eastAsia="Times New Roman"/>
          <w:szCs w:val="28"/>
        </w:rPr>
        <w:t>, в 2025 – по г. Казань</w:t>
      </w:r>
      <w:r w:rsidRPr="0056725B">
        <w:rPr>
          <w:rFonts w:eastAsia="Times New Roman"/>
          <w:szCs w:val="28"/>
        </w:rPr>
        <w:t>. Максимальн</w:t>
      </w:r>
      <w:r>
        <w:rPr>
          <w:rFonts w:eastAsia="Times New Roman"/>
          <w:szCs w:val="28"/>
        </w:rPr>
        <w:t>ому</w:t>
      </w:r>
      <w:r w:rsidRPr="0056725B">
        <w:rPr>
          <w:rFonts w:eastAsia="Times New Roman"/>
          <w:szCs w:val="28"/>
        </w:rPr>
        <w:t xml:space="preserve"> уров</w:t>
      </w:r>
      <w:r>
        <w:rPr>
          <w:rFonts w:eastAsia="Times New Roman"/>
          <w:szCs w:val="28"/>
        </w:rPr>
        <w:t>ню</w:t>
      </w:r>
      <w:r w:rsidRPr="0056725B">
        <w:rPr>
          <w:rFonts w:eastAsia="Times New Roman"/>
          <w:szCs w:val="28"/>
        </w:rPr>
        <w:t xml:space="preserve"> </w:t>
      </w:r>
      <w:r>
        <w:rPr>
          <w:rFonts w:eastAsia="Times New Roman"/>
          <w:szCs w:val="28"/>
        </w:rPr>
        <w:t>соответствуют тарифы</w:t>
      </w:r>
      <w:r w:rsidRPr="0056725B">
        <w:rPr>
          <w:rFonts w:eastAsia="Times New Roman"/>
          <w:szCs w:val="28"/>
        </w:rPr>
        <w:t xml:space="preserve"> по г</w:t>
      </w:r>
      <w:r>
        <w:rPr>
          <w:rFonts w:eastAsia="Times New Roman"/>
          <w:szCs w:val="28"/>
        </w:rPr>
        <w:t>ороду Самара, и по городу Нижний Новгород (2017</w:t>
      </w:r>
      <w:r w:rsidRPr="0056725B">
        <w:rPr>
          <w:rFonts w:eastAsia="Times New Roman"/>
          <w:szCs w:val="28"/>
        </w:rPr>
        <w:t>, 2018г.).</w:t>
      </w:r>
    </w:p>
    <w:p w:rsidR="00A712E1" w:rsidRPr="00FE1097" w:rsidRDefault="00A712E1" w:rsidP="00A712E1">
      <w:pPr>
        <w:spacing w:after="0" w:line="240" w:lineRule="auto"/>
        <w:ind w:firstLine="709"/>
        <w:jc w:val="both"/>
        <w:rPr>
          <w:rFonts w:eastAsia="Times New Roman"/>
          <w:b/>
          <w:szCs w:val="28"/>
        </w:rPr>
      </w:pPr>
    </w:p>
    <w:p w:rsidR="00A712E1" w:rsidRPr="00975EB8" w:rsidRDefault="00A712E1" w:rsidP="00975EB8">
      <w:pPr>
        <w:pStyle w:val="4"/>
      </w:pPr>
      <w:bookmarkStart w:id="24" w:name="_Toc193810526"/>
      <w:r w:rsidRPr="00975EB8">
        <w:lastRenderedPageBreak/>
        <w:t>2.1.3.4. Анализ структуры НВВ по расчёту единых (котловых) тарифов на услуги по передаче электрической энергии по сетям Новосибирской области.</w:t>
      </w:r>
      <w:bookmarkEnd w:id="24"/>
    </w:p>
    <w:p w:rsidR="00A712E1" w:rsidRDefault="00A712E1" w:rsidP="00A712E1">
      <w:pPr>
        <w:spacing w:after="0" w:line="240" w:lineRule="auto"/>
        <w:ind w:firstLine="709"/>
        <w:jc w:val="both"/>
        <w:rPr>
          <w:rFonts w:eastAsia="Times New Roman"/>
          <w:szCs w:val="28"/>
        </w:rPr>
      </w:pPr>
      <w:r w:rsidRPr="0030248D">
        <w:rPr>
          <w:rFonts w:eastAsia="Times New Roman"/>
          <w:szCs w:val="28"/>
        </w:rPr>
        <w:t xml:space="preserve">На нижеприведенном графике представлена динамика </w:t>
      </w:r>
      <w:r>
        <w:rPr>
          <w:rFonts w:eastAsia="Times New Roman"/>
          <w:szCs w:val="28"/>
        </w:rPr>
        <w:t>котловых расходов на 2021-2025</w:t>
      </w:r>
      <w:r w:rsidRPr="0030248D">
        <w:rPr>
          <w:rFonts w:eastAsia="Times New Roman"/>
          <w:szCs w:val="28"/>
        </w:rPr>
        <w:t xml:space="preserve"> </w:t>
      </w:r>
      <w:r>
        <w:rPr>
          <w:rFonts w:eastAsia="Times New Roman"/>
          <w:szCs w:val="28"/>
        </w:rPr>
        <w:t>годы</w:t>
      </w:r>
      <w:r w:rsidRPr="0030248D">
        <w:rPr>
          <w:rFonts w:eastAsia="Times New Roman"/>
          <w:szCs w:val="28"/>
        </w:rPr>
        <w:t xml:space="preserve">, установленных департаментом </w:t>
      </w:r>
      <w:r>
        <w:rPr>
          <w:rFonts w:eastAsia="Times New Roman"/>
          <w:szCs w:val="28"/>
        </w:rPr>
        <w:t xml:space="preserve">на </w:t>
      </w:r>
      <w:r w:rsidRPr="0030248D">
        <w:rPr>
          <w:rFonts w:eastAsia="Times New Roman"/>
          <w:szCs w:val="28"/>
        </w:rPr>
        <w:t>долгосрочн</w:t>
      </w:r>
      <w:r>
        <w:rPr>
          <w:rFonts w:eastAsia="Times New Roman"/>
          <w:szCs w:val="28"/>
        </w:rPr>
        <w:t>ый период</w:t>
      </w:r>
      <w:r w:rsidRPr="0030248D">
        <w:rPr>
          <w:rFonts w:eastAsia="Times New Roman"/>
          <w:szCs w:val="28"/>
        </w:rPr>
        <w:t xml:space="preserve"> регулирования 2021-2025 г</w:t>
      </w:r>
      <w:r>
        <w:rPr>
          <w:rFonts w:eastAsia="Times New Roman"/>
          <w:szCs w:val="28"/>
        </w:rPr>
        <w:t>одов</w:t>
      </w:r>
      <w:r w:rsidRPr="0030248D">
        <w:rPr>
          <w:rFonts w:eastAsia="Times New Roman"/>
          <w:szCs w:val="28"/>
        </w:rPr>
        <w:t>.</w:t>
      </w:r>
    </w:p>
    <w:p w:rsidR="00A712E1" w:rsidRDefault="00A712E1" w:rsidP="00A712E1">
      <w:pPr>
        <w:spacing w:after="0" w:line="240" w:lineRule="auto"/>
        <w:jc w:val="both"/>
        <w:rPr>
          <w:rFonts w:eastAsia="Times New Roman"/>
          <w:szCs w:val="28"/>
        </w:rPr>
      </w:pPr>
      <w:r>
        <w:rPr>
          <w:noProof/>
        </w:rPr>
        <w:drawing>
          <wp:inline distT="0" distB="0" distL="0" distR="0" wp14:anchorId="0106B0B9" wp14:editId="78B654F6">
            <wp:extent cx="5772647" cy="3578087"/>
            <wp:effectExtent l="0" t="0" r="0" b="3810"/>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A712E1" w:rsidRDefault="00A712E1" w:rsidP="00A712E1">
      <w:pPr>
        <w:spacing w:after="0" w:line="240" w:lineRule="auto"/>
        <w:ind w:firstLine="709"/>
        <w:jc w:val="both"/>
        <w:rPr>
          <w:rFonts w:eastAsia="Times New Roman"/>
          <w:szCs w:val="28"/>
        </w:rPr>
      </w:pP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Размер НВВ АО «РЭС», учитываемый при формировании единых (котловых) тарифов на услуги по передаче электрической энергии для потребителей Новосибирской области на 2021 год в рамках долгосрочного периода регулирования 2021-2025 годов, определен в размере                                   8 531 842 тыс. руб. (без учета оплаты потерь) на основании сформированного департаментом на 2021 год объема НВВ регулируемых сетевых организаций исходя из непревышения на второе полугодие 2021 год ставок на содержание сетей единых (котловых) тарифов на услуги по передаче электрической энергии по прочим потребителям относительно ставок на содержание, утвержденных департаментом на второе полугодие 2020 года, в размере от 2,0 до 4,0% (в зависимости от уровня напряжения).</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В результате, в составе НВВ АО «РЭС» на 2021 год сложилась величина недополученного дохода организации в размере 1 086 750 тыс. руб. (9 618 592 - 8 531 842)</w:t>
      </w:r>
      <w:r w:rsidRPr="0030248D">
        <w:t xml:space="preserve"> </w:t>
      </w:r>
      <w:r w:rsidRPr="0030248D">
        <w:rPr>
          <w:szCs w:val="28"/>
        </w:rPr>
        <w:t xml:space="preserve">с учетом </w:t>
      </w:r>
      <w:r w:rsidRPr="0030248D">
        <w:rPr>
          <w:rFonts w:eastAsia="Calibri"/>
          <w:szCs w:val="28"/>
        </w:rPr>
        <w:t>пересмотра величины экономически обоснованного уровня необходимой валовой выручки АО «РЭС» на 2021 год.</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 xml:space="preserve">На основании положений п. 7 Основ ценообразования </w:t>
      </w:r>
      <w:r>
        <w:rPr>
          <w:rFonts w:eastAsia="Calibri"/>
          <w:szCs w:val="28"/>
        </w:rPr>
        <w:t xml:space="preserve">№ 1178 </w:t>
      </w:r>
      <w:r w:rsidRPr="0030248D">
        <w:rPr>
          <w:rFonts w:eastAsia="Calibri"/>
          <w:szCs w:val="28"/>
        </w:rPr>
        <w:t xml:space="preserve">учет экономически обоснованных расходов организаций, осуществляющих регулируемую деятельность, не учтенных при установлении регулируемых цен (тарифов) на тот период регулирования, в котором они понесены, или доходов, недополученных при осуществлении регулируемой деятельности в </w:t>
      </w:r>
      <w:r w:rsidRPr="0030248D">
        <w:rPr>
          <w:rFonts w:eastAsia="Calibri"/>
          <w:szCs w:val="28"/>
        </w:rPr>
        <w:lastRenderedPageBreak/>
        <w:t>этот период регулирования по независящим от организации, осуществляющей регулируемую деятельность, причинам, в целях сглаживания изменения тарифов могут осуществляться в течение периода, в том числе относящегося к разным долгосрочным периодам регулирования, который не может быть более 5 лет.</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Указанная величина</w:t>
      </w:r>
      <w:r>
        <w:rPr>
          <w:rFonts w:eastAsia="Calibri"/>
          <w:szCs w:val="28"/>
        </w:rPr>
        <w:t xml:space="preserve"> недополученного дохода подлежала</w:t>
      </w:r>
      <w:r w:rsidRPr="0030248D">
        <w:rPr>
          <w:rFonts w:eastAsia="Calibri"/>
          <w:szCs w:val="28"/>
        </w:rPr>
        <w:t xml:space="preserve"> возмещению АО</w:t>
      </w:r>
      <w:r>
        <w:rPr>
          <w:rFonts w:eastAsia="Calibri"/>
          <w:szCs w:val="28"/>
        </w:rPr>
        <w:t> </w:t>
      </w:r>
      <w:r w:rsidRPr="0030248D">
        <w:rPr>
          <w:rFonts w:eastAsia="Calibri"/>
          <w:szCs w:val="28"/>
        </w:rPr>
        <w:t>«РЭС» при установлении необходимой валовой выручки на последующие периоды регулирования в срок не более 5 лет.</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НВВ котлодержателя АО РЭС», учитываемая при расчете единых (котловых) тарифов на услуги по передаче электрической энергии по сетям Новосибирской области на 2021-2023 годы, сформирована департаментом с учетом перераспределения недополученного дохода в 2021 году на последующие годы (в 2022-2023 гг.) в следующем размере:</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 xml:space="preserve">2021 год в размере </w:t>
      </w:r>
      <w:r>
        <w:rPr>
          <w:rFonts w:eastAsia="Calibri"/>
          <w:szCs w:val="28"/>
        </w:rPr>
        <w:t xml:space="preserve">  </w:t>
      </w:r>
      <w:r w:rsidRPr="0030248D">
        <w:rPr>
          <w:rFonts w:eastAsia="Calibri"/>
          <w:szCs w:val="28"/>
        </w:rPr>
        <w:t>-  1 086 750  тыс. руб.</w:t>
      </w:r>
      <w:r w:rsidRPr="0030248D">
        <w:t xml:space="preserve"> </w:t>
      </w:r>
      <w:r w:rsidRPr="0030248D">
        <w:rPr>
          <w:rFonts w:eastAsia="Calibri"/>
          <w:szCs w:val="28"/>
        </w:rPr>
        <w:t>(недополученный доход);</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2022 год  в размере  - 466 265 тыс. руб. (возмещение);</w:t>
      </w:r>
    </w:p>
    <w:p w:rsidR="00A712E1" w:rsidRPr="0030248D" w:rsidRDefault="00A712E1" w:rsidP="00A712E1">
      <w:pPr>
        <w:autoSpaceDE w:val="0"/>
        <w:autoSpaceDN w:val="0"/>
        <w:adjustRightInd w:val="0"/>
        <w:spacing w:after="0" w:line="240" w:lineRule="auto"/>
        <w:ind w:firstLine="709"/>
        <w:jc w:val="both"/>
        <w:rPr>
          <w:rFonts w:eastAsia="Calibri"/>
          <w:szCs w:val="28"/>
        </w:rPr>
      </w:pPr>
      <w:r w:rsidRPr="0030248D">
        <w:rPr>
          <w:rFonts w:eastAsia="Calibri"/>
          <w:szCs w:val="28"/>
        </w:rPr>
        <w:t>2023 год  в размере  - 620 485 тыс. руб. (возмещение).</w:t>
      </w:r>
    </w:p>
    <w:p w:rsidR="00A712E1" w:rsidRDefault="00A712E1" w:rsidP="0092079E">
      <w:pPr>
        <w:pStyle w:val="4"/>
      </w:pPr>
      <w:bookmarkStart w:id="25" w:name="_Toc193810527"/>
      <w:r>
        <w:t xml:space="preserve">2.1.3.5.Определение статуса </w:t>
      </w:r>
      <w:r w:rsidRPr="00D850B2">
        <w:t>системообразующей территориальной сетевой организацией</w:t>
      </w:r>
      <w:bookmarkEnd w:id="25"/>
      <w:r w:rsidRPr="00D850B2">
        <w:t xml:space="preserve"> </w:t>
      </w:r>
    </w:p>
    <w:p w:rsidR="00A712E1" w:rsidRPr="002B02E4" w:rsidRDefault="00A712E1" w:rsidP="00A712E1">
      <w:pPr>
        <w:spacing w:after="0" w:line="240" w:lineRule="auto"/>
        <w:ind w:firstLine="709"/>
        <w:jc w:val="both"/>
        <w:rPr>
          <w:rFonts w:eastAsia="Times New Roman"/>
          <w:szCs w:val="28"/>
        </w:rPr>
      </w:pPr>
      <w:r>
        <w:rPr>
          <w:rFonts w:eastAsia="Times New Roman"/>
          <w:szCs w:val="28"/>
        </w:rPr>
        <w:t xml:space="preserve">На основании требований </w:t>
      </w:r>
      <w:r w:rsidRPr="002B02E4">
        <w:rPr>
          <w:rFonts w:eastAsia="Times New Roman"/>
          <w:szCs w:val="28"/>
        </w:rPr>
        <w:t>пункт</w:t>
      </w:r>
      <w:r>
        <w:rPr>
          <w:rFonts w:eastAsia="Times New Roman"/>
          <w:szCs w:val="28"/>
        </w:rPr>
        <w:t>а</w:t>
      </w:r>
      <w:r w:rsidRPr="002B02E4">
        <w:rPr>
          <w:rFonts w:eastAsia="Times New Roman"/>
          <w:szCs w:val="28"/>
        </w:rPr>
        <w:t xml:space="preserve"> </w:t>
      </w:r>
      <w:r w:rsidRPr="00D850B2">
        <w:rPr>
          <w:rFonts w:eastAsia="Times New Roman"/>
          <w:szCs w:val="28"/>
        </w:rPr>
        <w:t xml:space="preserve">2 Правил определения системообразующих территориальных сетевых организаций, утвержденных </w:t>
      </w:r>
      <w:r w:rsidRPr="00E90533">
        <w:rPr>
          <w:rFonts w:eastAsia="Calibri"/>
          <w:szCs w:val="28"/>
        </w:rPr>
        <w:t>Правительст</w:t>
      </w:r>
      <w:r>
        <w:rPr>
          <w:rFonts w:eastAsia="Calibri"/>
          <w:szCs w:val="28"/>
        </w:rPr>
        <w:t>ва РФот 28.08</w:t>
      </w:r>
      <w:r w:rsidRPr="00E90533">
        <w:rPr>
          <w:rFonts w:eastAsia="Calibri"/>
          <w:szCs w:val="28"/>
        </w:rPr>
        <w:t>.20</w:t>
      </w:r>
      <w:r>
        <w:rPr>
          <w:rFonts w:eastAsia="Calibri"/>
          <w:szCs w:val="28"/>
        </w:rPr>
        <w:t>24</w:t>
      </w:r>
      <w:r w:rsidRPr="00E90533">
        <w:rPr>
          <w:rFonts w:eastAsia="Calibri"/>
          <w:szCs w:val="28"/>
        </w:rPr>
        <w:t xml:space="preserve"> № 1</w:t>
      </w:r>
      <w:r>
        <w:rPr>
          <w:rFonts w:eastAsia="Calibri"/>
          <w:szCs w:val="28"/>
        </w:rPr>
        <w:t>159 «</w:t>
      </w:r>
      <w:r w:rsidRPr="00E90533">
        <w:rPr>
          <w:rFonts w:eastAsia="Calibri"/>
          <w:szCs w:val="28"/>
        </w:rPr>
        <w:t>Об утверждении критериев отнесения территориальных сетевых организаций к системообразующим территориальным сетевым организациям и Правил определения системообразующих терр</w:t>
      </w:r>
      <w:r>
        <w:rPr>
          <w:rFonts w:eastAsia="Calibri"/>
          <w:szCs w:val="28"/>
        </w:rPr>
        <w:t>иториальных сетевых организаций» (далее - П</w:t>
      </w:r>
      <w:r w:rsidRPr="006010BB">
        <w:rPr>
          <w:rFonts w:eastAsia="Calibri"/>
          <w:szCs w:val="28"/>
        </w:rPr>
        <w:t>остановление</w:t>
      </w:r>
      <w:r>
        <w:rPr>
          <w:rFonts w:eastAsia="Calibri"/>
          <w:szCs w:val="28"/>
        </w:rPr>
        <w:t xml:space="preserve"> № 1159)</w:t>
      </w:r>
      <w:r w:rsidRPr="00D850B2">
        <w:rPr>
          <w:rFonts w:eastAsia="Times New Roman"/>
          <w:szCs w:val="28"/>
        </w:rPr>
        <w:t>, департаментом проведена оценка соответствия территориальных сетевых</w:t>
      </w:r>
      <w:r w:rsidRPr="002B02E4">
        <w:rPr>
          <w:rFonts w:eastAsia="Times New Roman"/>
          <w:szCs w:val="28"/>
        </w:rPr>
        <w:t xml:space="preserve"> организаций в Новосибирской области критериям отнесения территориальных сетевых организаций к системообразующим территориальным сетевым организациям, утвержденным  Постановлением</w:t>
      </w:r>
      <w:r>
        <w:rPr>
          <w:rFonts w:eastAsia="Times New Roman"/>
          <w:szCs w:val="28"/>
        </w:rPr>
        <w:t xml:space="preserve"> </w:t>
      </w:r>
      <w:r w:rsidRPr="002B02E4">
        <w:rPr>
          <w:rFonts w:eastAsia="Times New Roman"/>
          <w:szCs w:val="28"/>
        </w:rPr>
        <w:t>№ 1159 (далее – Критерии). По результатам проведения определено, что территориальной сетевой организацией в Новосибирской области, соответствующей Критериям, является АО «РЭС».</w:t>
      </w:r>
    </w:p>
    <w:p w:rsidR="00A712E1" w:rsidRPr="002B02E4" w:rsidRDefault="00A712E1" w:rsidP="00A712E1">
      <w:pPr>
        <w:spacing w:after="0" w:line="240" w:lineRule="auto"/>
        <w:ind w:firstLine="709"/>
        <w:jc w:val="both"/>
        <w:rPr>
          <w:rFonts w:eastAsia="Times New Roman"/>
          <w:szCs w:val="28"/>
        </w:rPr>
      </w:pPr>
      <w:r w:rsidRPr="002B02E4">
        <w:rPr>
          <w:rFonts w:eastAsia="Times New Roman"/>
          <w:szCs w:val="28"/>
        </w:rPr>
        <w:t>Согласно постановлению Губернатора Новосибирской области от 03.09.2024 № 164 системообразующей территориальной сетевой организацией на территории Новосибирской области на период с 1 января 2025 года по 31 декабря 2029 года определено АО «РЭС».</w:t>
      </w:r>
    </w:p>
    <w:p w:rsidR="00A712E1" w:rsidRPr="0030248D" w:rsidRDefault="00A712E1" w:rsidP="00423C09">
      <w:pPr>
        <w:pStyle w:val="4"/>
        <w:rPr>
          <w:color w:val="000000"/>
        </w:rPr>
      </w:pPr>
      <w:bookmarkStart w:id="26" w:name="_Toc193810528"/>
      <w:r>
        <w:t xml:space="preserve">2.1.3.6. </w:t>
      </w:r>
      <w:r w:rsidRPr="0030248D">
        <w:t>Корректировка НВВ А</w:t>
      </w:r>
      <w:r>
        <w:t>О «РЭС» (котлодержателя) на 2025</w:t>
      </w:r>
      <w:r w:rsidRPr="0030248D">
        <w:t xml:space="preserve"> год в рамках  долгосрочного периода регулирования 2021-2025 годов.</w:t>
      </w:r>
      <w:bookmarkEnd w:id="26"/>
      <w:r w:rsidRPr="0030248D">
        <w:t xml:space="preserve"> </w:t>
      </w:r>
    </w:p>
    <w:p w:rsidR="00A712E1" w:rsidRPr="0030248D" w:rsidRDefault="00A712E1" w:rsidP="00A712E1">
      <w:pPr>
        <w:autoSpaceDE w:val="0"/>
        <w:autoSpaceDN w:val="0"/>
        <w:adjustRightInd w:val="0"/>
        <w:spacing w:after="0" w:line="240" w:lineRule="auto"/>
        <w:ind w:firstLine="709"/>
        <w:jc w:val="both"/>
        <w:rPr>
          <w:rFonts w:eastAsia="Calibri"/>
          <w:color w:val="FF0000"/>
          <w:szCs w:val="28"/>
        </w:rPr>
      </w:pPr>
      <w:r w:rsidRPr="0030248D">
        <w:rPr>
          <w:szCs w:val="28"/>
        </w:rPr>
        <w:t>В соответствии с п. 38 Основ ценообразования</w:t>
      </w:r>
      <w:r>
        <w:rPr>
          <w:szCs w:val="28"/>
        </w:rPr>
        <w:t xml:space="preserve"> № 1178</w:t>
      </w:r>
      <w:r w:rsidRPr="0030248D">
        <w:rPr>
          <w:szCs w:val="28"/>
        </w:rPr>
        <w:t xml:space="preserve">, Методических </w:t>
      </w:r>
      <w:r w:rsidRPr="000D3B84">
        <w:rPr>
          <w:szCs w:val="28"/>
        </w:rPr>
        <w:t xml:space="preserve">указаний </w:t>
      </w:r>
      <w:r w:rsidRPr="000D3B84">
        <w:rPr>
          <w:rFonts w:eastAsia="Times New Roman"/>
          <w:szCs w:val="28"/>
        </w:rPr>
        <w:t>№ 98-э</w:t>
      </w:r>
      <w:r w:rsidRPr="00542F00">
        <w:rPr>
          <w:szCs w:val="28"/>
        </w:rPr>
        <w:t xml:space="preserve"> </w:t>
      </w:r>
      <w:r w:rsidRPr="0030248D">
        <w:rPr>
          <w:szCs w:val="28"/>
        </w:rPr>
        <w:t xml:space="preserve">департаментом </w:t>
      </w:r>
      <w:r>
        <w:rPr>
          <w:szCs w:val="28"/>
        </w:rPr>
        <w:t xml:space="preserve">при </w:t>
      </w:r>
      <w:r w:rsidRPr="0030248D">
        <w:rPr>
          <w:szCs w:val="28"/>
        </w:rPr>
        <w:t>установлении НВВ АО «РЭС», в отношении которого применяется метод долгосрочной индексации НВВ на 2021-2025 годы,</w:t>
      </w:r>
      <w:r w:rsidRPr="0030248D">
        <w:rPr>
          <w:b/>
          <w:szCs w:val="28"/>
        </w:rPr>
        <w:t xml:space="preserve"> </w:t>
      </w:r>
      <w:r w:rsidRPr="0030248D">
        <w:rPr>
          <w:szCs w:val="28"/>
        </w:rPr>
        <w:t>произведена корректировка НВВ на 202</w:t>
      </w:r>
      <w:r>
        <w:rPr>
          <w:szCs w:val="28"/>
        </w:rPr>
        <w:t>5</w:t>
      </w:r>
      <w:r w:rsidRPr="0030248D">
        <w:rPr>
          <w:szCs w:val="28"/>
        </w:rPr>
        <w:t xml:space="preserve"> год. </w:t>
      </w:r>
    </w:p>
    <w:p w:rsidR="00A712E1" w:rsidRPr="0030248D" w:rsidRDefault="00A712E1" w:rsidP="00A712E1">
      <w:pPr>
        <w:spacing w:after="0" w:line="240" w:lineRule="auto"/>
        <w:ind w:firstLine="709"/>
        <w:jc w:val="both"/>
        <w:rPr>
          <w:rFonts w:eastAsia="Times New Roman"/>
          <w:szCs w:val="28"/>
        </w:rPr>
      </w:pPr>
      <w:r w:rsidRPr="0030248D">
        <w:rPr>
          <w:rFonts w:eastAsia="Times New Roman"/>
          <w:szCs w:val="28"/>
        </w:rPr>
        <w:lastRenderedPageBreak/>
        <w:t>Увеличение НВВ АО «РЭС» (без учета оплаты ус</w:t>
      </w:r>
      <w:r>
        <w:rPr>
          <w:rFonts w:eastAsia="Times New Roman"/>
          <w:szCs w:val="28"/>
        </w:rPr>
        <w:t>луг сетевых организаций) на 2025</w:t>
      </w:r>
      <w:r w:rsidRPr="0030248D">
        <w:rPr>
          <w:rFonts w:eastAsia="Times New Roman"/>
          <w:szCs w:val="28"/>
        </w:rPr>
        <w:t xml:space="preserve"> год в части содержания сетей относительн</w:t>
      </w:r>
      <w:r>
        <w:rPr>
          <w:rFonts w:eastAsia="Times New Roman"/>
          <w:szCs w:val="28"/>
        </w:rPr>
        <w:t>о установленных показателей 2024</w:t>
      </w:r>
      <w:r w:rsidRPr="0030248D">
        <w:rPr>
          <w:rFonts w:eastAsia="Times New Roman"/>
          <w:szCs w:val="28"/>
        </w:rPr>
        <w:t xml:space="preserve"> года составило </w:t>
      </w:r>
      <w:r w:rsidRPr="00ED6C94">
        <w:rPr>
          <w:rFonts w:eastAsia="Times New Roman"/>
          <w:szCs w:val="28"/>
        </w:rPr>
        <w:t>3</w:t>
      </w:r>
      <w:r>
        <w:rPr>
          <w:rFonts w:eastAsia="Times New Roman"/>
          <w:szCs w:val="28"/>
        </w:rPr>
        <w:t> </w:t>
      </w:r>
      <w:r w:rsidRPr="00ED6C94">
        <w:rPr>
          <w:rFonts w:eastAsia="Times New Roman"/>
          <w:szCs w:val="28"/>
        </w:rPr>
        <w:t>426</w:t>
      </w:r>
      <w:r>
        <w:rPr>
          <w:rFonts w:eastAsia="Times New Roman"/>
          <w:szCs w:val="28"/>
        </w:rPr>
        <w:t xml:space="preserve"> </w:t>
      </w:r>
      <w:r w:rsidRPr="0030248D">
        <w:rPr>
          <w:rFonts w:eastAsia="Times New Roman"/>
          <w:szCs w:val="28"/>
        </w:rPr>
        <w:t>млн. руб. (</w:t>
      </w:r>
      <w:r>
        <w:rPr>
          <w:rFonts w:eastAsia="Times New Roman"/>
          <w:szCs w:val="28"/>
        </w:rPr>
        <w:t>+</w:t>
      </w:r>
      <w:r w:rsidRPr="00ED6C94">
        <w:rPr>
          <w:rFonts w:eastAsia="Times New Roman"/>
          <w:szCs w:val="28"/>
        </w:rPr>
        <w:t>26,0%</w:t>
      </w:r>
      <w:r w:rsidRPr="0030248D">
        <w:rPr>
          <w:rFonts w:eastAsia="Times New Roman"/>
          <w:szCs w:val="28"/>
        </w:rPr>
        <w:t xml:space="preserve">).  </w:t>
      </w:r>
    </w:p>
    <w:p w:rsidR="00A712E1" w:rsidRPr="0030248D" w:rsidRDefault="00A712E1" w:rsidP="00A712E1">
      <w:pPr>
        <w:spacing w:after="0" w:line="240" w:lineRule="auto"/>
        <w:ind w:firstLine="709"/>
        <w:jc w:val="both"/>
        <w:rPr>
          <w:szCs w:val="28"/>
        </w:rPr>
      </w:pPr>
      <w:r w:rsidRPr="0030248D">
        <w:rPr>
          <w:szCs w:val="28"/>
        </w:rPr>
        <w:t>По структуре НВВ АО «РЭС» отклонения сложились в связи со следующим:</w:t>
      </w:r>
    </w:p>
    <w:p w:rsidR="00A712E1" w:rsidRDefault="00A712E1" w:rsidP="00A712E1">
      <w:pPr>
        <w:spacing w:after="0" w:line="240" w:lineRule="auto"/>
        <w:ind w:firstLine="709"/>
        <w:jc w:val="both"/>
        <w:rPr>
          <w:szCs w:val="28"/>
        </w:rPr>
      </w:pPr>
      <w:r w:rsidRPr="0030248D">
        <w:rPr>
          <w:szCs w:val="28"/>
        </w:rPr>
        <w:t xml:space="preserve">- увеличением подконтрольных расходов АО «РЭС» на </w:t>
      </w:r>
      <w:r w:rsidRPr="00ED6C94">
        <w:rPr>
          <w:szCs w:val="28"/>
        </w:rPr>
        <w:t>317</w:t>
      </w:r>
      <w:r w:rsidRPr="0030248D">
        <w:rPr>
          <w:szCs w:val="28"/>
        </w:rPr>
        <w:t xml:space="preserve"> млн. руб. (+</w:t>
      </w:r>
      <w:r>
        <w:rPr>
          <w:szCs w:val="28"/>
        </w:rPr>
        <w:t>7</w:t>
      </w:r>
      <w:r w:rsidRPr="0030248D">
        <w:rPr>
          <w:szCs w:val="28"/>
        </w:rPr>
        <w:t xml:space="preserve">,3%), что </w:t>
      </w:r>
      <w:r w:rsidRPr="00ED6C94">
        <w:rPr>
          <w:szCs w:val="28"/>
        </w:rPr>
        <w:t>обусловлено индексацией уровня подконтрольных расходов в течение долгосрочного периода регулирования в соответствии с положениями, предусмотренными Методическими указаниями № 98-э;</w:t>
      </w:r>
    </w:p>
    <w:p w:rsidR="00A712E1" w:rsidRPr="0030248D" w:rsidRDefault="00A712E1" w:rsidP="00A712E1">
      <w:pPr>
        <w:spacing w:after="0" w:line="240" w:lineRule="auto"/>
        <w:ind w:firstLine="709"/>
        <w:jc w:val="both"/>
        <w:rPr>
          <w:szCs w:val="28"/>
        </w:rPr>
      </w:pPr>
      <w:r w:rsidRPr="0030248D">
        <w:rPr>
          <w:szCs w:val="28"/>
        </w:rPr>
        <w:t xml:space="preserve">- увеличением величины расчетной предпринимательской прибыли на </w:t>
      </w:r>
      <w:r w:rsidRPr="00ED6C94">
        <w:rPr>
          <w:szCs w:val="28"/>
        </w:rPr>
        <w:t>216</w:t>
      </w:r>
      <w:r>
        <w:rPr>
          <w:szCs w:val="28"/>
        </w:rPr>
        <w:t xml:space="preserve"> </w:t>
      </w:r>
      <w:r w:rsidRPr="0030248D">
        <w:rPr>
          <w:szCs w:val="28"/>
        </w:rPr>
        <w:t xml:space="preserve">млн. руб., рассчитанной в размере </w:t>
      </w:r>
      <w:r w:rsidRPr="00ED6C94">
        <w:rPr>
          <w:szCs w:val="28"/>
        </w:rPr>
        <w:t xml:space="preserve">1 109 </w:t>
      </w:r>
      <w:r w:rsidRPr="0030248D">
        <w:rPr>
          <w:szCs w:val="28"/>
        </w:rPr>
        <w:t>млн. руб. (5 процентов) от необходимой валовой выручки АО «РЭС» с учетом проведенной департаментом корректировки на 20</w:t>
      </w:r>
      <w:r>
        <w:rPr>
          <w:szCs w:val="28"/>
        </w:rPr>
        <w:t>25</w:t>
      </w:r>
      <w:r w:rsidRPr="0030248D">
        <w:rPr>
          <w:szCs w:val="28"/>
        </w:rPr>
        <w:t xml:space="preserve"> год (без учета расходов на оплату услуг смежных сетевых организаций) в размере </w:t>
      </w:r>
      <w:r w:rsidRPr="00ED6C94">
        <w:rPr>
          <w:szCs w:val="28"/>
        </w:rPr>
        <w:t xml:space="preserve">22 182 </w:t>
      </w:r>
      <w:r w:rsidRPr="0030248D">
        <w:rPr>
          <w:szCs w:val="28"/>
        </w:rPr>
        <w:t>млн. руб. на основании п. 38 Основ ценообразования</w:t>
      </w:r>
      <w:r>
        <w:rPr>
          <w:szCs w:val="28"/>
        </w:rPr>
        <w:t xml:space="preserve"> № 1178</w:t>
      </w:r>
      <w:r w:rsidRPr="0030248D">
        <w:rPr>
          <w:szCs w:val="28"/>
        </w:rPr>
        <w:t>;</w:t>
      </w:r>
    </w:p>
    <w:p w:rsidR="00A712E1" w:rsidRPr="0030248D" w:rsidRDefault="00A712E1" w:rsidP="00A712E1">
      <w:pPr>
        <w:spacing w:after="0" w:line="240" w:lineRule="auto"/>
        <w:ind w:firstLine="709"/>
        <w:jc w:val="both"/>
        <w:rPr>
          <w:rFonts w:eastAsia="Times New Roman"/>
          <w:szCs w:val="28"/>
        </w:rPr>
      </w:pPr>
      <w:r w:rsidRPr="0030248D">
        <w:rPr>
          <w:szCs w:val="28"/>
        </w:rPr>
        <w:t xml:space="preserve">- увеличением неподконтрольных расходов АО «РЭС» на </w:t>
      </w:r>
      <w:r w:rsidRPr="005F6DA2">
        <w:rPr>
          <w:szCs w:val="28"/>
        </w:rPr>
        <w:t>2</w:t>
      </w:r>
      <w:r>
        <w:rPr>
          <w:szCs w:val="28"/>
        </w:rPr>
        <w:t> </w:t>
      </w:r>
      <w:r w:rsidRPr="005F6DA2">
        <w:rPr>
          <w:szCs w:val="28"/>
        </w:rPr>
        <w:t>348</w:t>
      </w:r>
      <w:r>
        <w:rPr>
          <w:szCs w:val="28"/>
        </w:rPr>
        <w:t xml:space="preserve"> </w:t>
      </w:r>
      <w:r w:rsidRPr="0030248D">
        <w:rPr>
          <w:szCs w:val="28"/>
        </w:rPr>
        <w:t xml:space="preserve">млн. руб. </w:t>
      </w:r>
      <w:r>
        <w:rPr>
          <w:rFonts w:eastAsia="Times New Roman"/>
          <w:szCs w:val="28"/>
        </w:rPr>
        <w:t>по сравнению с 2024</w:t>
      </w:r>
      <w:r w:rsidRPr="0030248D">
        <w:rPr>
          <w:rFonts w:eastAsia="Times New Roman"/>
          <w:szCs w:val="28"/>
        </w:rPr>
        <w:t xml:space="preserve"> годом произошло в основном </w:t>
      </w:r>
      <w:r w:rsidRPr="0030248D">
        <w:rPr>
          <w:szCs w:val="28"/>
        </w:rPr>
        <w:t>за счет у</w:t>
      </w:r>
      <w:r w:rsidRPr="0030248D">
        <w:rPr>
          <w:rFonts w:eastAsia="Times New Roman"/>
          <w:szCs w:val="28"/>
        </w:rPr>
        <w:t>величения следующих расходов:</w:t>
      </w:r>
    </w:p>
    <w:p w:rsidR="00A712E1" w:rsidRPr="00496FF1" w:rsidRDefault="00A712E1" w:rsidP="00A712E1">
      <w:pPr>
        <w:spacing w:after="0" w:line="240" w:lineRule="auto"/>
        <w:ind w:firstLine="709"/>
        <w:jc w:val="both"/>
        <w:rPr>
          <w:rFonts w:eastAsia="Times New Roman"/>
          <w:szCs w:val="28"/>
        </w:rPr>
      </w:pPr>
      <w:r w:rsidRPr="008C7682">
        <w:rPr>
          <w:rFonts w:eastAsia="Times New Roman"/>
          <w:b/>
          <w:i/>
          <w:szCs w:val="28"/>
        </w:rPr>
        <w:t>на услуги ПАО «ФСК ЕЭС»</w:t>
      </w:r>
      <w:r w:rsidRPr="0030248D">
        <w:rPr>
          <w:rFonts w:eastAsia="Times New Roman"/>
          <w:b/>
          <w:szCs w:val="28"/>
        </w:rPr>
        <w:t xml:space="preserve"> </w:t>
      </w:r>
      <w:r w:rsidRPr="0030248D">
        <w:rPr>
          <w:rFonts w:eastAsia="Times New Roman"/>
          <w:szCs w:val="28"/>
        </w:rPr>
        <w:t xml:space="preserve">+ </w:t>
      </w:r>
      <w:r w:rsidRPr="00496FF1">
        <w:rPr>
          <w:rFonts w:eastAsia="Times New Roman"/>
          <w:szCs w:val="28"/>
        </w:rPr>
        <w:t>868 млн. руб.</w:t>
      </w:r>
      <w:r w:rsidRPr="0030248D">
        <w:rPr>
          <w:szCs w:val="28"/>
        </w:rPr>
        <w:t xml:space="preserve"> (</w:t>
      </w:r>
      <w:r>
        <w:rPr>
          <w:szCs w:val="28"/>
        </w:rPr>
        <w:t>+</w:t>
      </w:r>
      <w:r w:rsidRPr="00496FF1">
        <w:rPr>
          <w:szCs w:val="28"/>
        </w:rPr>
        <w:t>21,3%</w:t>
      </w:r>
      <w:r w:rsidRPr="0030248D">
        <w:rPr>
          <w:rFonts w:eastAsia="Times New Roman"/>
          <w:szCs w:val="28"/>
        </w:rPr>
        <w:t xml:space="preserve">). </w:t>
      </w:r>
      <w:r w:rsidRPr="00496FF1">
        <w:rPr>
          <w:rFonts w:eastAsia="Times New Roman"/>
          <w:szCs w:val="28"/>
        </w:rPr>
        <w:t>Увеличение расходов обусловлено ростом заявленной мощности и объемов оплачиваемых нормативных потерь по АО «РЭС», ростом ставки на</w:t>
      </w:r>
      <w:r>
        <w:rPr>
          <w:rFonts w:eastAsia="Times New Roman"/>
          <w:szCs w:val="28"/>
        </w:rPr>
        <w:t xml:space="preserve"> содержание электрических сетей и</w:t>
      </w:r>
      <w:r w:rsidRPr="00496FF1">
        <w:rPr>
          <w:rFonts w:eastAsia="Times New Roman"/>
          <w:szCs w:val="28"/>
        </w:rPr>
        <w:t xml:space="preserve"> прогнозной ставки на оплату потерь в сетях ЕНЭС.</w:t>
      </w:r>
    </w:p>
    <w:p w:rsidR="00A712E1" w:rsidRPr="00D62499" w:rsidRDefault="00A712E1" w:rsidP="00A712E1">
      <w:pPr>
        <w:spacing w:after="0" w:line="240" w:lineRule="auto"/>
        <w:ind w:firstLine="709"/>
        <w:jc w:val="both"/>
        <w:rPr>
          <w:rFonts w:eastAsia="Times New Roman"/>
          <w:szCs w:val="28"/>
        </w:rPr>
      </w:pPr>
      <w:r w:rsidRPr="00496FF1">
        <w:rPr>
          <w:rFonts w:eastAsia="Times New Roman"/>
          <w:szCs w:val="28"/>
        </w:rPr>
        <w:t xml:space="preserve">Кроме того, рост объемов услуг ПАО «ФСК-Россети» в отношении АО «РЭС» обусловлен учетом при формировании НВВ изменений, внесенных в Правила недискриминационного доступа к услугам по передаче электрической энергии и оказания этих услуг, утвержденные постановлением Правительства РФ от 27.12.2004 </w:t>
      </w:r>
      <w:r>
        <w:rPr>
          <w:rFonts w:eastAsia="Times New Roman"/>
          <w:szCs w:val="28"/>
        </w:rPr>
        <w:t>№</w:t>
      </w:r>
      <w:r w:rsidRPr="00496FF1">
        <w:rPr>
          <w:rFonts w:eastAsia="Times New Roman"/>
          <w:szCs w:val="28"/>
        </w:rPr>
        <w:t xml:space="preserve"> 861, в части формирования обязательств по договору оказания услуг по передаче электрической энергии по сетям ЕНЭС между ПАО «ФСК-Россети» и системообразующей территориальной сетевой </w:t>
      </w:r>
      <w:r>
        <w:rPr>
          <w:rFonts w:eastAsia="Times New Roman"/>
          <w:szCs w:val="28"/>
        </w:rPr>
        <w:t>организации</w:t>
      </w:r>
      <w:r w:rsidRPr="00D62499">
        <w:rPr>
          <w:rFonts w:eastAsia="Times New Roman"/>
          <w:szCs w:val="28"/>
        </w:rPr>
        <w:t>. При этом расходы на услуги ФСК исключены из НВВ прочих ТСО. Таким образом, влияние фактора роста расходов на услуги ФСК на котловую НВВ на содержание сетей на 2025 год по отношению к 2024 году составило + 459 млн. руб.;</w:t>
      </w:r>
    </w:p>
    <w:p w:rsidR="00A712E1" w:rsidRPr="0030248D" w:rsidRDefault="00A712E1" w:rsidP="00A712E1">
      <w:pPr>
        <w:autoSpaceDE w:val="0"/>
        <w:autoSpaceDN w:val="0"/>
        <w:adjustRightInd w:val="0"/>
        <w:spacing w:after="0" w:line="240" w:lineRule="auto"/>
        <w:ind w:firstLine="709"/>
        <w:jc w:val="both"/>
        <w:rPr>
          <w:rFonts w:eastAsia="Times New Roman"/>
          <w:szCs w:val="28"/>
        </w:rPr>
      </w:pPr>
      <w:r w:rsidRPr="008C7682">
        <w:rPr>
          <w:b/>
          <w:i/>
          <w:szCs w:val="28"/>
        </w:rPr>
        <w:t>на уплату налога на прибыль</w:t>
      </w:r>
      <w:r w:rsidRPr="00D62499">
        <w:t xml:space="preserve"> </w:t>
      </w:r>
      <w:r w:rsidRPr="00D62499">
        <w:rPr>
          <w:szCs w:val="28"/>
        </w:rPr>
        <w:t>+226</w:t>
      </w:r>
      <w:r w:rsidRPr="00D62499">
        <w:t xml:space="preserve"> </w:t>
      </w:r>
      <w:r w:rsidRPr="00D62499">
        <w:rPr>
          <w:szCs w:val="28"/>
        </w:rPr>
        <w:t>млн. руб. в связи с увеличением</w:t>
      </w:r>
      <w:r w:rsidRPr="0030248D">
        <w:rPr>
          <w:szCs w:val="28"/>
        </w:rPr>
        <w:t xml:space="preserve"> факт</w:t>
      </w:r>
      <w:r>
        <w:rPr>
          <w:szCs w:val="28"/>
        </w:rPr>
        <w:t>ически понесенных затрат за 2023</w:t>
      </w:r>
      <w:r w:rsidRPr="0030248D">
        <w:rPr>
          <w:szCs w:val="28"/>
        </w:rPr>
        <w:t xml:space="preserve"> год, учитываемых департаментом на основании требований п. 20 Основ ценообразования</w:t>
      </w:r>
      <w:r>
        <w:rPr>
          <w:szCs w:val="28"/>
        </w:rPr>
        <w:t xml:space="preserve"> № 1178</w:t>
      </w:r>
      <w:r w:rsidRPr="0030248D">
        <w:rPr>
          <w:szCs w:val="28"/>
        </w:rPr>
        <w:t xml:space="preserve">; </w:t>
      </w:r>
    </w:p>
    <w:p w:rsidR="00A712E1" w:rsidRPr="0030248D" w:rsidRDefault="00A712E1" w:rsidP="00A712E1">
      <w:pPr>
        <w:spacing w:after="0" w:line="240" w:lineRule="auto"/>
        <w:ind w:firstLine="709"/>
        <w:jc w:val="both"/>
        <w:rPr>
          <w:rFonts w:eastAsia="Times New Roman"/>
          <w:szCs w:val="28"/>
        </w:rPr>
      </w:pPr>
      <w:r w:rsidRPr="008C7682">
        <w:rPr>
          <w:rFonts w:eastAsia="Times New Roman"/>
          <w:b/>
          <w:i/>
          <w:szCs w:val="28"/>
        </w:rPr>
        <w:t>на страховые взносы</w:t>
      </w:r>
      <w:r w:rsidRPr="0030248D">
        <w:rPr>
          <w:rFonts w:eastAsia="Times New Roman"/>
          <w:b/>
          <w:szCs w:val="28"/>
        </w:rPr>
        <w:t xml:space="preserve"> </w:t>
      </w:r>
      <w:r w:rsidRPr="0030248D">
        <w:rPr>
          <w:rFonts w:eastAsia="Times New Roman"/>
          <w:szCs w:val="28"/>
        </w:rPr>
        <w:t xml:space="preserve">на </w:t>
      </w:r>
      <w:r>
        <w:rPr>
          <w:rFonts w:eastAsia="Times New Roman"/>
          <w:szCs w:val="28"/>
        </w:rPr>
        <w:t>71 млн. руб. (на 8</w:t>
      </w:r>
      <w:r w:rsidRPr="0030248D">
        <w:rPr>
          <w:rFonts w:eastAsia="Times New Roman"/>
          <w:szCs w:val="28"/>
        </w:rPr>
        <w:t>,</w:t>
      </w:r>
      <w:r>
        <w:rPr>
          <w:rFonts w:eastAsia="Times New Roman"/>
          <w:szCs w:val="28"/>
        </w:rPr>
        <w:t>6</w:t>
      </w:r>
      <w:r w:rsidRPr="0030248D">
        <w:rPr>
          <w:rFonts w:eastAsia="Times New Roman"/>
          <w:szCs w:val="28"/>
        </w:rPr>
        <w:t>%), что связано с ростом расходов на оплату труда, учитываемых в составе подконтрольных расходов организации.</w:t>
      </w:r>
    </w:p>
    <w:p w:rsidR="00A712E1" w:rsidRPr="0030248D" w:rsidRDefault="00A712E1" w:rsidP="00A712E1">
      <w:pPr>
        <w:spacing w:after="0" w:line="240" w:lineRule="auto"/>
        <w:ind w:firstLine="709"/>
        <w:jc w:val="both"/>
        <w:rPr>
          <w:szCs w:val="28"/>
        </w:rPr>
      </w:pPr>
      <w:r w:rsidRPr="0030248D">
        <w:rPr>
          <w:szCs w:val="28"/>
        </w:rPr>
        <w:t>Также произошло увеличение учитываемых департаментом в составе НВВ АО «РЭС» дополнительных расходов на покрытие в</w:t>
      </w:r>
      <w:r w:rsidRPr="0030248D">
        <w:rPr>
          <w:color w:val="000000"/>
          <w:szCs w:val="28"/>
        </w:rPr>
        <w:t>ыпадающих доходов на основании требований п. 7 Основ ценообразования</w:t>
      </w:r>
      <w:r>
        <w:rPr>
          <w:color w:val="000000"/>
          <w:szCs w:val="28"/>
        </w:rPr>
        <w:t xml:space="preserve"> № 1178</w:t>
      </w:r>
      <w:r>
        <w:rPr>
          <w:szCs w:val="28"/>
        </w:rPr>
        <w:t>. Сумма корректировки в 2025</w:t>
      </w:r>
      <w:r w:rsidRPr="0030248D">
        <w:rPr>
          <w:szCs w:val="28"/>
        </w:rPr>
        <w:t xml:space="preserve"> году составила </w:t>
      </w:r>
      <w:r w:rsidRPr="00E60E6B">
        <w:rPr>
          <w:szCs w:val="28"/>
        </w:rPr>
        <w:t>1731</w:t>
      </w:r>
      <w:r>
        <w:rPr>
          <w:szCs w:val="28"/>
        </w:rPr>
        <w:t>,</w:t>
      </w:r>
      <w:r w:rsidRPr="00E60E6B">
        <w:rPr>
          <w:szCs w:val="28"/>
        </w:rPr>
        <w:t>946</w:t>
      </w:r>
      <w:r>
        <w:rPr>
          <w:szCs w:val="28"/>
        </w:rPr>
        <w:t xml:space="preserve"> </w:t>
      </w:r>
      <w:r w:rsidRPr="0030248D">
        <w:rPr>
          <w:szCs w:val="28"/>
        </w:rPr>
        <w:t>млн. руб.</w:t>
      </w:r>
      <w:r w:rsidRPr="0030248D">
        <w:t xml:space="preserve"> </w:t>
      </w:r>
      <w:r w:rsidRPr="0030248D">
        <w:rPr>
          <w:szCs w:val="28"/>
        </w:rPr>
        <w:t>(+∆НВВ), в том числе по следующим основаниям:</w:t>
      </w:r>
    </w:p>
    <w:p w:rsidR="00A712E1" w:rsidRPr="0030248D" w:rsidRDefault="00A712E1" w:rsidP="00A712E1">
      <w:pPr>
        <w:spacing w:after="0" w:line="240" w:lineRule="auto"/>
        <w:ind w:firstLine="709"/>
        <w:contextualSpacing/>
        <w:jc w:val="both"/>
        <w:rPr>
          <w:rFonts w:eastAsia="Calibri"/>
          <w:szCs w:val="28"/>
        </w:rPr>
      </w:pPr>
      <w:r w:rsidRPr="0030248D">
        <w:rPr>
          <w:rFonts w:eastAsia="Calibri"/>
          <w:szCs w:val="28"/>
        </w:rPr>
        <w:lastRenderedPageBreak/>
        <w:t>- на покрытие выпадающих доходов в части неподконтрольных расходов организации (по оплате услуг смежных сетевых организаций,</w:t>
      </w:r>
      <w:r w:rsidRPr="0030248D">
        <w:t xml:space="preserve"> </w:t>
      </w:r>
      <w:r w:rsidRPr="0030248D">
        <w:rPr>
          <w:rFonts w:eastAsia="Calibri"/>
          <w:szCs w:val="28"/>
        </w:rPr>
        <w:t xml:space="preserve">услуг ПАО «ФСК-Россети», расходам по налогу на прибыль, страховые взносы, расходам, связанным с арендой имущества,) по результатам проведенного департаментом анализа производственно-хозяйственной деятельности организации по регулируемому виду деятельности за 2022 год, признанных департаментом экономически обоснованными в суммарном размере </w:t>
      </w:r>
      <w:r w:rsidRPr="00977D3D">
        <w:rPr>
          <w:rFonts w:eastAsia="Calibri"/>
          <w:szCs w:val="28"/>
        </w:rPr>
        <w:t>1</w:t>
      </w:r>
      <w:r>
        <w:rPr>
          <w:rFonts w:eastAsia="Calibri"/>
          <w:szCs w:val="28"/>
        </w:rPr>
        <w:t> </w:t>
      </w:r>
      <w:r w:rsidRPr="00977D3D">
        <w:rPr>
          <w:rFonts w:eastAsia="Calibri"/>
          <w:szCs w:val="28"/>
        </w:rPr>
        <w:t>086</w:t>
      </w:r>
      <w:r>
        <w:rPr>
          <w:rFonts w:eastAsia="Calibri"/>
          <w:szCs w:val="28"/>
        </w:rPr>
        <w:t>,3</w:t>
      </w:r>
      <w:r w:rsidRPr="00977D3D">
        <w:rPr>
          <w:rFonts w:eastAsia="Calibri"/>
          <w:szCs w:val="28"/>
        </w:rPr>
        <w:t xml:space="preserve"> </w:t>
      </w:r>
      <w:r w:rsidRPr="0030248D">
        <w:rPr>
          <w:rFonts w:eastAsia="Calibri"/>
          <w:szCs w:val="28"/>
        </w:rPr>
        <w:t>млн. руб.;</w:t>
      </w:r>
    </w:p>
    <w:p w:rsidR="00A712E1" w:rsidRPr="0030248D" w:rsidRDefault="00A712E1" w:rsidP="00A712E1">
      <w:pPr>
        <w:spacing w:after="0" w:line="240" w:lineRule="auto"/>
        <w:ind w:firstLine="709"/>
        <w:contextualSpacing/>
        <w:jc w:val="both"/>
        <w:rPr>
          <w:rFonts w:eastAsia="Calibri"/>
          <w:szCs w:val="28"/>
        </w:rPr>
      </w:pPr>
      <w:r w:rsidRPr="0030248D">
        <w:rPr>
          <w:rFonts w:eastAsia="Calibri"/>
          <w:szCs w:val="28"/>
        </w:rPr>
        <w:t xml:space="preserve">- на покрытие выпадающих доходов от деятельности по осуществлению технологического присоединения к электрическим сетям АО «РЭС» в размере </w:t>
      </w:r>
      <w:r w:rsidRPr="00FE1931">
        <w:rPr>
          <w:rFonts w:eastAsia="Calibri"/>
          <w:szCs w:val="28"/>
        </w:rPr>
        <w:t>643</w:t>
      </w:r>
      <w:r>
        <w:rPr>
          <w:rFonts w:eastAsia="Calibri"/>
          <w:szCs w:val="28"/>
        </w:rPr>
        <w:t>,</w:t>
      </w:r>
      <w:r w:rsidRPr="00FE1931">
        <w:rPr>
          <w:rFonts w:eastAsia="Calibri"/>
          <w:szCs w:val="28"/>
        </w:rPr>
        <w:t xml:space="preserve">1 </w:t>
      </w:r>
      <w:r w:rsidRPr="0030248D">
        <w:rPr>
          <w:rFonts w:eastAsia="Calibri"/>
          <w:szCs w:val="28"/>
        </w:rPr>
        <w:t>млн. руб. (</w:t>
      </w:r>
      <w:r>
        <w:rPr>
          <w:rFonts w:eastAsia="Calibri"/>
          <w:szCs w:val="28"/>
        </w:rPr>
        <w:t>увелич</w:t>
      </w:r>
      <w:r w:rsidRPr="0030248D">
        <w:rPr>
          <w:rFonts w:eastAsia="Calibri"/>
          <w:szCs w:val="28"/>
        </w:rPr>
        <w:t>ение выпадающих доходов от деятельности по технологическому присоединению к электрическим сетям, учитываемых в НВВ на оказание услуг по передаче электр</w:t>
      </w:r>
      <w:r>
        <w:rPr>
          <w:rFonts w:eastAsia="Calibri"/>
          <w:szCs w:val="28"/>
        </w:rPr>
        <w:t>ической энергии АО «РЭС» на 2025</w:t>
      </w:r>
      <w:r w:rsidRPr="0030248D">
        <w:rPr>
          <w:rFonts w:eastAsia="Calibri"/>
          <w:szCs w:val="28"/>
        </w:rPr>
        <w:t xml:space="preserve"> год по отношени</w:t>
      </w:r>
      <w:r>
        <w:rPr>
          <w:rFonts w:eastAsia="Calibri"/>
          <w:szCs w:val="28"/>
        </w:rPr>
        <w:t>ю к аналогичному показателю 2024</w:t>
      </w:r>
      <w:r w:rsidRPr="0030248D">
        <w:rPr>
          <w:rFonts w:eastAsia="Calibri"/>
          <w:szCs w:val="28"/>
        </w:rPr>
        <w:t xml:space="preserve"> года составило </w:t>
      </w:r>
      <w:r>
        <w:rPr>
          <w:rFonts w:eastAsia="Calibri"/>
          <w:szCs w:val="28"/>
        </w:rPr>
        <w:t>+</w:t>
      </w:r>
      <w:r w:rsidRPr="0030248D">
        <w:rPr>
          <w:rFonts w:eastAsia="Calibri"/>
          <w:szCs w:val="28"/>
        </w:rPr>
        <w:t xml:space="preserve"> </w:t>
      </w:r>
      <w:r>
        <w:rPr>
          <w:rFonts w:eastAsia="Calibri"/>
          <w:szCs w:val="28"/>
        </w:rPr>
        <w:t>44 млн. руб. (на 7</w:t>
      </w:r>
      <w:r w:rsidRPr="0030248D">
        <w:rPr>
          <w:rFonts w:eastAsia="Calibri"/>
          <w:szCs w:val="28"/>
        </w:rPr>
        <w:t>,</w:t>
      </w:r>
      <w:r>
        <w:rPr>
          <w:rFonts w:eastAsia="Calibri"/>
          <w:szCs w:val="28"/>
        </w:rPr>
        <w:t>3</w:t>
      </w:r>
      <w:r w:rsidRPr="0030248D">
        <w:rPr>
          <w:rFonts w:eastAsia="Calibri"/>
          <w:szCs w:val="28"/>
        </w:rPr>
        <w:t>%));</w:t>
      </w:r>
    </w:p>
    <w:p w:rsidR="00A712E1" w:rsidRPr="0030248D" w:rsidRDefault="00A712E1" w:rsidP="00A712E1">
      <w:pPr>
        <w:spacing w:after="0" w:line="240" w:lineRule="auto"/>
        <w:ind w:firstLine="709"/>
        <w:contextualSpacing/>
        <w:jc w:val="both"/>
        <w:rPr>
          <w:rFonts w:eastAsia="Calibri"/>
          <w:szCs w:val="28"/>
        </w:rPr>
      </w:pPr>
      <w:r w:rsidRPr="0030248D">
        <w:rPr>
          <w:rFonts w:eastAsia="Calibri"/>
          <w:szCs w:val="28"/>
        </w:rPr>
        <w:t>- на создание резерва по с</w:t>
      </w:r>
      <w:r>
        <w:rPr>
          <w:rFonts w:eastAsia="Calibri"/>
          <w:szCs w:val="28"/>
        </w:rPr>
        <w:t>омнительным долгам в размере 2,3</w:t>
      </w:r>
      <w:r w:rsidRPr="0030248D">
        <w:rPr>
          <w:rFonts w:eastAsia="Calibri"/>
          <w:szCs w:val="28"/>
        </w:rPr>
        <w:t xml:space="preserve"> млн. руб. на основании п. 30 Основ ценообразования</w:t>
      </w:r>
      <w:r>
        <w:rPr>
          <w:rFonts w:eastAsia="Calibri"/>
          <w:szCs w:val="28"/>
        </w:rPr>
        <w:t xml:space="preserve"> № 1178.</w:t>
      </w:r>
    </w:p>
    <w:p w:rsidR="00A712E1" w:rsidRPr="0030248D" w:rsidRDefault="00A712E1" w:rsidP="00A712E1">
      <w:pPr>
        <w:spacing w:after="0" w:line="240" w:lineRule="auto"/>
        <w:ind w:firstLine="709"/>
        <w:contextualSpacing/>
        <w:jc w:val="both"/>
        <w:rPr>
          <w:rFonts w:eastAsia="Calibri"/>
          <w:szCs w:val="28"/>
        </w:rPr>
      </w:pPr>
      <w:r w:rsidRPr="0030248D">
        <w:rPr>
          <w:rFonts w:eastAsia="Calibri"/>
          <w:szCs w:val="28"/>
        </w:rPr>
        <w:t>Кроме того, учтена корректировка подконтрольных расходов в связи с изменением планируемых па</w:t>
      </w:r>
      <w:r>
        <w:rPr>
          <w:rFonts w:eastAsia="Calibri"/>
          <w:szCs w:val="28"/>
        </w:rPr>
        <w:t>раметров расчета тарифов за 2023</w:t>
      </w:r>
      <w:r w:rsidRPr="0030248D">
        <w:rPr>
          <w:rFonts w:eastAsia="Calibri"/>
          <w:szCs w:val="28"/>
        </w:rPr>
        <w:t xml:space="preserve"> год</w:t>
      </w:r>
      <w:r w:rsidRPr="0030248D">
        <w:rPr>
          <w:szCs w:val="28"/>
        </w:rPr>
        <w:t xml:space="preserve"> в размере </w:t>
      </w:r>
      <w:r w:rsidRPr="00151E65">
        <w:rPr>
          <w:szCs w:val="28"/>
        </w:rPr>
        <w:t>395</w:t>
      </w:r>
      <w:r>
        <w:rPr>
          <w:szCs w:val="28"/>
        </w:rPr>
        <w:t>,2</w:t>
      </w:r>
      <w:r w:rsidRPr="00151E65">
        <w:rPr>
          <w:szCs w:val="28"/>
        </w:rPr>
        <w:t xml:space="preserve"> </w:t>
      </w:r>
      <w:r w:rsidRPr="0030248D">
        <w:rPr>
          <w:rFonts w:eastAsia="Calibri"/>
          <w:szCs w:val="28"/>
        </w:rPr>
        <w:t xml:space="preserve">млн. руб., рассчитанная в соответствии с формулой 9.6. Методических указаний № 98-э.  </w:t>
      </w:r>
    </w:p>
    <w:p w:rsidR="00A712E1" w:rsidRPr="0030248D" w:rsidRDefault="00A712E1" w:rsidP="00A712E1">
      <w:pPr>
        <w:autoSpaceDE w:val="0"/>
        <w:autoSpaceDN w:val="0"/>
        <w:adjustRightInd w:val="0"/>
        <w:spacing w:after="0" w:line="240" w:lineRule="auto"/>
        <w:ind w:firstLine="709"/>
        <w:jc w:val="both"/>
        <w:rPr>
          <w:szCs w:val="28"/>
        </w:rPr>
      </w:pPr>
      <w:r w:rsidRPr="0030248D">
        <w:rPr>
          <w:rFonts w:eastAsia="Times New Roman"/>
          <w:color w:val="000000"/>
          <w:szCs w:val="28"/>
        </w:rPr>
        <w:t xml:space="preserve">На основании положений </w:t>
      </w:r>
      <w:r w:rsidRPr="0030248D">
        <w:rPr>
          <w:color w:val="000000"/>
          <w:szCs w:val="28"/>
        </w:rPr>
        <w:t xml:space="preserve">п. 34(1), 34 (3) Основ ценообразования </w:t>
      </w:r>
      <w:r>
        <w:rPr>
          <w:color w:val="000000"/>
          <w:szCs w:val="28"/>
        </w:rPr>
        <w:t xml:space="preserve">№ 1178 </w:t>
      </w:r>
      <w:r w:rsidRPr="0030248D">
        <w:rPr>
          <w:szCs w:val="28"/>
        </w:rPr>
        <w:t>при проведении ко</w:t>
      </w:r>
      <w:r>
        <w:rPr>
          <w:szCs w:val="28"/>
        </w:rPr>
        <w:t>рректировки НВВ АО «РЭС» на 2025</w:t>
      </w:r>
      <w:r w:rsidRPr="0030248D">
        <w:rPr>
          <w:szCs w:val="28"/>
        </w:rPr>
        <w:t xml:space="preserve"> год департаментом учтено </w:t>
      </w:r>
      <w:r w:rsidRPr="0030248D">
        <w:rPr>
          <w:rFonts w:eastAsia="Times New Roman"/>
          <w:szCs w:val="28"/>
        </w:rPr>
        <w:t xml:space="preserve">сохранение величины экономии расходов на оплату потерь электрической энергии в размере </w:t>
      </w:r>
      <w:r w:rsidRPr="00FA3BA8">
        <w:rPr>
          <w:rFonts w:eastAsia="Times New Roman"/>
          <w:szCs w:val="28"/>
        </w:rPr>
        <w:t>1</w:t>
      </w:r>
      <w:r>
        <w:rPr>
          <w:rFonts w:eastAsia="Times New Roman"/>
          <w:szCs w:val="28"/>
        </w:rPr>
        <w:t> </w:t>
      </w:r>
      <w:r w:rsidRPr="00FA3BA8">
        <w:rPr>
          <w:rFonts w:eastAsia="Times New Roman"/>
          <w:szCs w:val="28"/>
        </w:rPr>
        <w:t>514</w:t>
      </w:r>
      <w:r>
        <w:rPr>
          <w:rFonts w:eastAsia="Times New Roman"/>
          <w:szCs w:val="28"/>
        </w:rPr>
        <w:t>,6</w:t>
      </w:r>
      <w:r w:rsidRPr="00FA3BA8">
        <w:rPr>
          <w:rFonts w:eastAsia="Times New Roman"/>
          <w:szCs w:val="28"/>
        </w:rPr>
        <w:t xml:space="preserve"> </w:t>
      </w:r>
      <w:r w:rsidRPr="0030248D">
        <w:rPr>
          <w:rFonts w:eastAsia="Times New Roman"/>
          <w:szCs w:val="28"/>
        </w:rPr>
        <w:t>млн. руб.</w:t>
      </w:r>
      <w:r>
        <w:rPr>
          <w:rFonts w:eastAsia="Times New Roman"/>
          <w:szCs w:val="28"/>
        </w:rPr>
        <w:t xml:space="preserve">, в том числе подлежащее учету в расходах на содержание электрических сетей - </w:t>
      </w:r>
      <w:r w:rsidRPr="006A6A66">
        <w:rPr>
          <w:rFonts w:eastAsia="Times New Roman"/>
          <w:szCs w:val="28"/>
        </w:rPr>
        <w:t>1</w:t>
      </w:r>
      <w:r>
        <w:rPr>
          <w:rFonts w:eastAsia="Times New Roman"/>
          <w:szCs w:val="28"/>
        </w:rPr>
        <w:t> </w:t>
      </w:r>
      <w:r w:rsidRPr="006A6A66">
        <w:rPr>
          <w:rFonts w:eastAsia="Times New Roman"/>
          <w:szCs w:val="28"/>
        </w:rPr>
        <w:t>394</w:t>
      </w:r>
      <w:r>
        <w:rPr>
          <w:rFonts w:eastAsia="Times New Roman"/>
          <w:szCs w:val="28"/>
        </w:rPr>
        <w:t>,</w:t>
      </w:r>
      <w:r w:rsidRPr="006A6A66">
        <w:rPr>
          <w:rFonts w:eastAsia="Times New Roman"/>
          <w:szCs w:val="28"/>
        </w:rPr>
        <w:t>0</w:t>
      </w:r>
      <w:r>
        <w:rPr>
          <w:rFonts w:eastAsia="Times New Roman"/>
          <w:szCs w:val="28"/>
        </w:rPr>
        <w:t xml:space="preserve"> млн. руб., на оплату потерь </w:t>
      </w:r>
      <w:r w:rsidRPr="006A6A66">
        <w:rPr>
          <w:rFonts w:eastAsia="Times New Roman"/>
          <w:szCs w:val="28"/>
        </w:rPr>
        <w:t xml:space="preserve">электрической энергии </w:t>
      </w:r>
      <w:r>
        <w:rPr>
          <w:rFonts w:eastAsia="Times New Roman"/>
          <w:szCs w:val="28"/>
        </w:rPr>
        <w:t xml:space="preserve">– </w:t>
      </w:r>
      <w:r w:rsidRPr="006A6A66">
        <w:rPr>
          <w:rFonts w:eastAsia="Times New Roman"/>
          <w:szCs w:val="28"/>
        </w:rPr>
        <w:t>120</w:t>
      </w:r>
      <w:r>
        <w:rPr>
          <w:rFonts w:eastAsia="Times New Roman"/>
          <w:szCs w:val="28"/>
        </w:rPr>
        <w:t xml:space="preserve">,6 </w:t>
      </w:r>
      <w:r w:rsidRPr="006A6A66">
        <w:rPr>
          <w:rFonts w:eastAsia="Times New Roman"/>
          <w:szCs w:val="28"/>
        </w:rPr>
        <w:t>млн. руб.</w:t>
      </w:r>
      <w:r>
        <w:rPr>
          <w:rFonts w:eastAsia="Times New Roman"/>
          <w:szCs w:val="28"/>
        </w:rPr>
        <w:t xml:space="preserve"> </w:t>
      </w:r>
    </w:p>
    <w:p w:rsidR="00A712E1" w:rsidRPr="0030248D" w:rsidRDefault="00A712E1" w:rsidP="00A712E1">
      <w:pPr>
        <w:spacing w:after="0" w:line="240" w:lineRule="auto"/>
        <w:ind w:firstLine="709"/>
        <w:contextualSpacing/>
        <w:jc w:val="both"/>
        <w:rPr>
          <w:rFonts w:eastAsia="Times New Roman"/>
          <w:szCs w:val="28"/>
        </w:rPr>
      </w:pPr>
      <w:r w:rsidRPr="0030248D">
        <w:rPr>
          <w:szCs w:val="28"/>
        </w:rPr>
        <w:t>При проведении коррект</w:t>
      </w:r>
      <w:r>
        <w:rPr>
          <w:szCs w:val="28"/>
        </w:rPr>
        <w:t>ировки НВВ АО «РЭС» на 2025</w:t>
      </w:r>
      <w:r w:rsidRPr="0030248D">
        <w:rPr>
          <w:szCs w:val="28"/>
        </w:rPr>
        <w:t xml:space="preserve"> год </w:t>
      </w:r>
      <w:r w:rsidRPr="0030248D">
        <w:rPr>
          <w:rFonts w:eastAsia="Times New Roman"/>
          <w:szCs w:val="28"/>
        </w:rPr>
        <w:t>департаментом произведено изъятие денежных средств на основании требований п. 7 Основ ценообразования</w:t>
      </w:r>
      <w:r>
        <w:rPr>
          <w:rFonts w:eastAsia="Times New Roman"/>
          <w:szCs w:val="28"/>
        </w:rPr>
        <w:t xml:space="preserve"> № 1178</w:t>
      </w:r>
      <w:r w:rsidRPr="0030248D">
        <w:rPr>
          <w:rFonts w:eastAsia="Times New Roman"/>
          <w:szCs w:val="28"/>
        </w:rPr>
        <w:t>,</w:t>
      </w:r>
      <w:r w:rsidRPr="0030248D">
        <w:t xml:space="preserve"> </w:t>
      </w:r>
      <w:r w:rsidRPr="0030248D">
        <w:rPr>
          <w:rFonts w:eastAsia="Times New Roman"/>
          <w:szCs w:val="28"/>
        </w:rPr>
        <w:t>Методических указаний № 98-э. Учитываемая департаментом при ф</w:t>
      </w:r>
      <w:r>
        <w:rPr>
          <w:rFonts w:eastAsia="Times New Roman"/>
          <w:szCs w:val="28"/>
        </w:rPr>
        <w:t>ормировании НВВ АО «РЭС» на 2025</w:t>
      </w:r>
      <w:r w:rsidRPr="0030248D">
        <w:rPr>
          <w:rFonts w:eastAsia="Times New Roman"/>
          <w:szCs w:val="28"/>
        </w:rPr>
        <w:t xml:space="preserve"> год величина изъятия экономически необоснованных доходов (расходов) с учетом индексации составила </w:t>
      </w:r>
      <w:r w:rsidRPr="0030248D">
        <w:rPr>
          <w:rFonts w:eastAsia="Times New Roman"/>
          <w:color w:val="FF0000"/>
          <w:szCs w:val="28"/>
        </w:rPr>
        <w:t xml:space="preserve"> </w:t>
      </w:r>
      <w:r w:rsidRPr="008A1C25">
        <w:rPr>
          <w:rFonts w:eastAsia="Times New Roman"/>
          <w:szCs w:val="28"/>
        </w:rPr>
        <w:t xml:space="preserve">2 978,2 </w:t>
      </w:r>
      <w:r w:rsidRPr="0030248D">
        <w:rPr>
          <w:rFonts w:eastAsia="Times New Roman"/>
          <w:szCs w:val="28"/>
        </w:rPr>
        <w:t>млн. руб.</w:t>
      </w:r>
      <w:r w:rsidRPr="0030248D">
        <w:rPr>
          <w:rFonts w:eastAsia="Times New Roman"/>
          <w:bCs/>
          <w:szCs w:val="28"/>
        </w:rPr>
        <w:t xml:space="preserve"> </w:t>
      </w:r>
      <w:r w:rsidRPr="0030248D">
        <w:rPr>
          <w:rFonts w:eastAsia="Times New Roman"/>
          <w:bCs/>
          <w:color w:val="000000"/>
          <w:szCs w:val="28"/>
        </w:rPr>
        <w:t>(- ∆НВВ)</w:t>
      </w:r>
      <w:r w:rsidRPr="0030248D">
        <w:rPr>
          <w:rFonts w:eastAsia="Times New Roman"/>
          <w:szCs w:val="28"/>
        </w:rPr>
        <w:t xml:space="preserve">, из них: </w:t>
      </w:r>
    </w:p>
    <w:p w:rsidR="00A712E1" w:rsidRPr="0030248D" w:rsidRDefault="00A712E1" w:rsidP="00A712E1">
      <w:pPr>
        <w:spacing w:after="0" w:line="240" w:lineRule="auto"/>
        <w:ind w:firstLine="709"/>
        <w:jc w:val="both"/>
        <w:rPr>
          <w:rFonts w:eastAsia="Calibri"/>
          <w:szCs w:val="28"/>
        </w:rPr>
      </w:pPr>
      <w:r>
        <w:rPr>
          <w:szCs w:val="28"/>
        </w:rPr>
        <w:t>-</w:t>
      </w:r>
      <w:r w:rsidRPr="0030248D">
        <w:rPr>
          <w:szCs w:val="28"/>
        </w:rPr>
        <w:t xml:space="preserve">корректировка с учетом изменения полезного отпуска и цен на электрическую энергию в размере </w:t>
      </w:r>
      <w:r w:rsidRPr="008A1C25">
        <w:rPr>
          <w:szCs w:val="28"/>
        </w:rPr>
        <w:t>1</w:t>
      </w:r>
      <w:r>
        <w:rPr>
          <w:szCs w:val="28"/>
        </w:rPr>
        <w:t> </w:t>
      </w:r>
      <w:r w:rsidRPr="008A1C25">
        <w:rPr>
          <w:szCs w:val="28"/>
        </w:rPr>
        <w:t>317</w:t>
      </w:r>
      <w:r>
        <w:rPr>
          <w:szCs w:val="28"/>
        </w:rPr>
        <w:t xml:space="preserve">,7 </w:t>
      </w:r>
      <w:r w:rsidRPr="0030248D">
        <w:rPr>
          <w:bCs/>
          <w:szCs w:val="28"/>
        </w:rPr>
        <w:t>млн. руб.</w:t>
      </w:r>
      <w:r>
        <w:rPr>
          <w:bCs/>
          <w:szCs w:val="28"/>
        </w:rPr>
        <w:t>;</w:t>
      </w:r>
    </w:p>
    <w:p w:rsidR="00A712E1" w:rsidRPr="0030248D" w:rsidRDefault="00A712E1" w:rsidP="00A712E1">
      <w:pPr>
        <w:spacing w:after="0" w:line="240" w:lineRule="auto"/>
        <w:ind w:firstLine="709"/>
        <w:jc w:val="both"/>
        <w:rPr>
          <w:rFonts w:eastAsia="Calibri"/>
          <w:szCs w:val="28"/>
        </w:rPr>
      </w:pPr>
      <w:r>
        <w:rPr>
          <w:rFonts w:eastAsia="Calibri"/>
          <w:szCs w:val="28"/>
        </w:rPr>
        <w:t>-</w:t>
      </w:r>
      <w:r w:rsidRPr="0030248D">
        <w:rPr>
          <w:rFonts w:eastAsia="Calibri"/>
          <w:szCs w:val="28"/>
        </w:rPr>
        <w:t>корректировка, связанная с экономией неподконтрольных расходов в части расходов на уплату налогов и сборов из себестоимости, по вывозу, обращению размещению отходов</w:t>
      </w:r>
      <w:r>
        <w:rPr>
          <w:rFonts w:eastAsia="Calibri"/>
          <w:szCs w:val="28"/>
        </w:rPr>
        <w:t>,</w:t>
      </w:r>
      <w:r w:rsidRPr="0030248D">
        <w:rPr>
          <w:rFonts w:eastAsia="Calibri"/>
          <w:szCs w:val="28"/>
        </w:rPr>
        <w:t xml:space="preserve"> </w:t>
      </w:r>
      <w:r w:rsidRPr="00D47535">
        <w:rPr>
          <w:rFonts w:eastAsia="Calibri"/>
          <w:szCs w:val="28"/>
        </w:rPr>
        <w:t>расходам на теплоснабжение,</w:t>
      </w:r>
      <w:r>
        <w:rPr>
          <w:rFonts w:eastAsia="Calibri"/>
          <w:szCs w:val="28"/>
        </w:rPr>
        <w:t xml:space="preserve">                                                                                                                         </w:t>
      </w:r>
      <w:r w:rsidRPr="00D47535">
        <w:rPr>
          <w:rFonts w:eastAsia="Calibri"/>
          <w:szCs w:val="28"/>
        </w:rPr>
        <w:t xml:space="preserve"> на водоснабжение, используемое на хозяйственные нужды</w:t>
      </w:r>
      <w:r>
        <w:rPr>
          <w:rFonts w:eastAsia="Calibri"/>
          <w:szCs w:val="28"/>
        </w:rPr>
        <w:t>,</w:t>
      </w:r>
      <w:r w:rsidRPr="00D47535">
        <w:rPr>
          <w:rFonts w:eastAsia="Calibri"/>
          <w:szCs w:val="28"/>
        </w:rPr>
        <w:t xml:space="preserve"> </w:t>
      </w:r>
      <w:r w:rsidRPr="0030248D">
        <w:rPr>
          <w:rFonts w:eastAsia="Calibri"/>
          <w:szCs w:val="28"/>
        </w:rPr>
        <w:t xml:space="preserve">в суммарном размере </w:t>
      </w:r>
      <w:r>
        <w:rPr>
          <w:rFonts w:eastAsia="Calibri"/>
          <w:szCs w:val="28"/>
        </w:rPr>
        <w:t>300</w:t>
      </w:r>
      <w:r w:rsidRPr="0030248D">
        <w:rPr>
          <w:rFonts w:eastAsia="Calibri"/>
          <w:szCs w:val="28"/>
        </w:rPr>
        <w:t>,5 млн. руб.;</w:t>
      </w:r>
    </w:p>
    <w:p w:rsidR="00A712E1" w:rsidRDefault="00A712E1" w:rsidP="00A712E1">
      <w:pPr>
        <w:spacing w:after="0" w:line="240" w:lineRule="auto"/>
        <w:ind w:firstLine="709"/>
        <w:contextualSpacing/>
        <w:jc w:val="both"/>
        <w:rPr>
          <w:rFonts w:eastAsia="Calibri"/>
          <w:szCs w:val="28"/>
        </w:rPr>
      </w:pPr>
      <w:r>
        <w:rPr>
          <w:rFonts w:eastAsia="Calibri"/>
          <w:szCs w:val="28"/>
        </w:rPr>
        <w:t>-</w:t>
      </w:r>
      <w:r w:rsidRPr="0030248D">
        <w:rPr>
          <w:rFonts w:eastAsia="Calibri"/>
          <w:szCs w:val="28"/>
        </w:rPr>
        <w:t xml:space="preserve">корректировка, связанная с дополнительно </w:t>
      </w:r>
      <w:r w:rsidRPr="0030248D">
        <w:rPr>
          <w:szCs w:val="28"/>
        </w:rPr>
        <w:t xml:space="preserve">выявленными </w:t>
      </w:r>
      <w:r w:rsidRPr="006F30D2">
        <w:rPr>
          <w:szCs w:val="28"/>
        </w:rPr>
        <w:t>департаментом по</w:t>
      </w:r>
      <w:r w:rsidRPr="0030248D">
        <w:rPr>
          <w:szCs w:val="28"/>
        </w:rPr>
        <w:t xml:space="preserve"> результатам анализа производственно-хозяйственной деятельности</w:t>
      </w:r>
      <w:r w:rsidRPr="0030248D">
        <w:rPr>
          <w:rFonts w:eastAsia="Calibri"/>
          <w:szCs w:val="28"/>
        </w:rPr>
        <w:t xml:space="preserve"> полученными доходами АО «РЭС» за счет увеличения пропуска электрической энергии п</w:t>
      </w:r>
      <w:r>
        <w:rPr>
          <w:rFonts w:eastAsia="Calibri"/>
          <w:szCs w:val="28"/>
        </w:rPr>
        <w:t>о сети у организации в 2023</w:t>
      </w:r>
      <w:r w:rsidRPr="0030248D">
        <w:rPr>
          <w:rFonts w:eastAsia="Calibri"/>
          <w:szCs w:val="28"/>
        </w:rPr>
        <w:t xml:space="preserve"> году, а также в </w:t>
      </w:r>
      <w:r w:rsidRPr="0030248D">
        <w:rPr>
          <w:rFonts w:eastAsia="Calibri"/>
          <w:szCs w:val="28"/>
        </w:rPr>
        <w:lastRenderedPageBreak/>
        <w:t xml:space="preserve">результате проведения корректировки по выручке от оказания услуг по передаче электрической энергии за предыдущие отчетные периоды (с учетом индексации общая сумма корректировки составила </w:t>
      </w:r>
      <w:r w:rsidRPr="00FF6753">
        <w:rPr>
          <w:rFonts w:eastAsia="Calibri"/>
          <w:szCs w:val="28"/>
        </w:rPr>
        <w:t>991</w:t>
      </w:r>
      <w:r>
        <w:rPr>
          <w:rFonts w:eastAsia="Calibri"/>
          <w:szCs w:val="28"/>
        </w:rPr>
        <w:t>,</w:t>
      </w:r>
      <w:r w:rsidRPr="00FF6753">
        <w:rPr>
          <w:rFonts w:eastAsia="Calibri"/>
          <w:szCs w:val="28"/>
        </w:rPr>
        <w:t>9</w:t>
      </w:r>
      <w:r>
        <w:rPr>
          <w:rFonts w:eastAsia="Calibri"/>
          <w:szCs w:val="28"/>
        </w:rPr>
        <w:t xml:space="preserve"> </w:t>
      </w:r>
      <w:r w:rsidRPr="0030248D">
        <w:rPr>
          <w:rFonts w:eastAsia="Calibri"/>
          <w:szCs w:val="28"/>
        </w:rPr>
        <w:t>млн. руб.). При этом</w:t>
      </w:r>
      <w:r w:rsidRPr="0030248D">
        <w:t xml:space="preserve"> </w:t>
      </w:r>
      <w:r w:rsidRPr="0030248D">
        <w:rPr>
          <w:szCs w:val="28"/>
        </w:rPr>
        <w:t xml:space="preserve">департаментом </w:t>
      </w:r>
      <w:r w:rsidRPr="0030248D">
        <w:rPr>
          <w:rFonts w:eastAsia="Calibri"/>
          <w:szCs w:val="28"/>
        </w:rPr>
        <w:t>произведено распределение корректировки необходимой валовой выручки по доходам от осуществления регулируе</w:t>
      </w:r>
      <w:r>
        <w:rPr>
          <w:rFonts w:eastAsia="Calibri"/>
          <w:szCs w:val="28"/>
        </w:rPr>
        <w:t>мой деятельности на 2 года (2025 и 2026</w:t>
      </w:r>
      <w:r w:rsidRPr="0030248D">
        <w:rPr>
          <w:rFonts w:eastAsia="Calibri"/>
          <w:szCs w:val="28"/>
        </w:rPr>
        <w:t xml:space="preserve"> годы) следующим образом: </w:t>
      </w:r>
      <w:r w:rsidRPr="003A6F84">
        <w:rPr>
          <w:rFonts w:eastAsia="Calibri"/>
          <w:szCs w:val="28"/>
        </w:rPr>
        <w:t xml:space="preserve">на 2025 год </w:t>
      </w:r>
      <w:r>
        <w:rPr>
          <w:rFonts w:eastAsia="Calibri"/>
          <w:szCs w:val="28"/>
        </w:rPr>
        <w:t>–</w:t>
      </w:r>
      <w:r w:rsidRPr="003A6F84">
        <w:rPr>
          <w:rFonts w:eastAsia="Calibri"/>
          <w:szCs w:val="28"/>
        </w:rPr>
        <w:t xml:space="preserve"> </w:t>
      </w:r>
      <w:r w:rsidRPr="003A6F84">
        <w:rPr>
          <w:rFonts w:eastAsia="Calibri"/>
          <w:b/>
          <w:szCs w:val="28"/>
        </w:rPr>
        <w:t>622,6</w:t>
      </w:r>
      <w:r w:rsidRPr="003A6F84">
        <w:rPr>
          <w:rFonts w:eastAsia="Calibri"/>
          <w:szCs w:val="28"/>
        </w:rPr>
        <w:t xml:space="preserve"> тыс. руб., на 2026 год </w:t>
      </w:r>
      <w:r>
        <w:rPr>
          <w:rFonts w:eastAsia="Calibri"/>
          <w:szCs w:val="28"/>
        </w:rPr>
        <w:t>–</w:t>
      </w:r>
      <w:r w:rsidRPr="003A6F84">
        <w:rPr>
          <w:rFonts w:eastAsia="Calibri"/>
          <w:szCs w:val="28"/>
        </w:rPr>
        <w:t xml:space="preserve"> 369</w:t>
      </w:r>
      <w:r>
        <w:rPr>
          <w:rFonts w:eastAsia="Calibri"/>
          <w:szCs w:val="28"/>
        </w:rPr>
        <w:t>,3</w:t>
      </w:r>
      <w:r w:rsidRPr="003A6F84">
        <w:rPr>
          <w:rFonts w:eastAsia="Calibri"/>
          <w:szCs w:val="28"/>
        </w:rPr>
        <w:t xml:space="preserve"> тыс. руб.</w:t>
      </w:r>
      <w:r>
        <w:rPr>
          <w:rFonts w:eastAsia="Calibri"/>
          <w:szCs w:val="28"/>
        </w:rPr>
        <w:t>;</w:t>
      </w:r>
    </w:p>
    <w:p w:rsidR="00A712E1" w:rsidRPr="00A714DB" w:rsidRDefault="00A712E1" w:rsidP="00A712E1">
      <w:pPr>
        <w:spacing w:after="0" w:line="240" w:lineRule="auto"/>
        <w:ind w:firstLine="709"/>
        <w:contextualSpacing/>
        <w:jc w:val="both"/>
        <w:rPr>
          <w:rFonts w:eastAsia="Calibri"/>
          <w:szCs w:val="28"/>
        </w:rPr>
      </w:pPr>
      <w:r>
        <w:rPr>
          <w:rFonts w:eastAsia="Calibri"/>
          <w:szCs w:val="28"/>
        </w:rPr>
        <w:t>-</w:t>
      </w:r>
      <w:r w:rsidRPr="0030248D">
        <w:rPr>
          <w:rFonts w:eastAsia="Calibri"/>
          <w:szCs w:val="28"/>
        </w:rPr>
        <w:t>корректировка необходимой валовой выручки по доходам от р</w:t>
      </w:r>
      <w:r>
        <w:rPr>
          <w:rFonts w:eastAsia="Calibri"/>
          <w:szCs w:val="28"/>
        </w:rPr>
        <w:t>егулируемой деятельности за 2022</w:t>
      </w:r>
      <w:r w:rsidRPr="0030248D">
        <w:rPr>
          <w:rFonts w:eastAsia="Calibri"/>
          <w:szCs w:val="28"/>
        </w:rPr>
        <w:t xml:space="preserve"> год в размере </w:t>
      </w:r>
      <w:r w:rsidRPr="00B825DD">
        <w:rPr>
          <w:rFonts w:eastAsia="Calibri"/>
          <w:szCs w:val="28"/>
        </w:rPr>
        <w:t>7</w:t>
      </w:r>
      <w:r>
        <w:rPr>
          <w:rFonts w:eastAsia="Calibri"/>
          <w:szCs w:val="28"/>
        </w:rPr>
        <w:t xml:space="preserve">8 </w:t>
      </w:r>
      <w:r w:rsidRPr="0030248D">
        <w:rPr>
          <w:rFonts w:eastAsia="Calibri"/>
          <w:szCs w:val="28"/>
        </w:rPr>
        <w:t xml:space="preserve">млн. руб. </w:t>
      </w:r>
      <w:r w:rsidRPr="00A714DB">
        <w:rPr>
          <w:rFonts w:eastAsia="Calibri"/>
          <w:szCs w:val="28"/>
        </w:rPr>
        <w:t xml:space="preserve">При установлении НВВ АО «РЭС» на 2024 год департаментом произведено распределение корректировки необходимой валовой выручки по доходам от осуществления регулируемой деятельности в размере 1 017,843 млн. руб. на 2 года (2024 и 2025 годы) следующим образом: на 2024 год -  939,9  млн. руб., на 2025 год – 78  млн. руб.;  </w:t>
      </w:r>
    </w:p>
    <w:p w:rsidR="00A712E1" w:rsidRDefault="00A712E1" w:rsidP="00A712E1">
      <w:pPr>
        <w:spacing w:after="0" w:line="240" w:lineRule="auto"/>
        <w:ind w:firstLine="709"/>
        <w:jc w:val="both"/>
        <w:rPr>
          <w:szCs w:val="28"/>
        </w:rPr>
      </w:pPr>
      <w:r w:rsidRPr="006F30D2">
        <w:rPr>
          <w:szCs w:val="28"/>
        </w:rPr>
        <w:t>-корректировка по итогам деятельности АО «РЭС» по нецелевому использованию источника финансирования «амортизация» инвестиционной программы АО «РЭС» за 2023 год в размере 209,6 млн. руб., с учетом индексации корректировки за 2023 год в соответствии с формулой 3 Методических указаний № 98-э сумма составила 239,5 млн. руб. (выявленных в ходе проверки, проводимой про</w:t>
      </w:r>
      <w:r>
        <w:rPr>
          <w:szCs w:val="28"/>
        </w:rPr>
        <w:t>куратурой Новосибирской области</w:t>
      </w:r>
      <w:r w:rsidRPr="006F30D2">
        <w:rPr>
          <w:szCs w:val="28"/>
        </w:rPr>
        <w:t>);</w:t>
      </w:r>
      <w:r w:rsidRPr="0030248D">
        <w:rPr>
          <w:szCs w:val="28"/>
        </w:rPr>
        <w:t xml:space="preserve"> </w:t>
      </w:r>
    </w:p>
    <w:p w:rsidR="00A712E1" w:rsidRPr="0030248D" w:rsidRDefault="00A712E1" w:rsidP="00A712E1">
      <w:pPr>
        <w:autoSpaceDE w:val="0"/>
        <w:autoSpaceDN w:val="0"/>
        <w:adjustRightInd w:val="0"/>
        <w:spacing w:after="0" w:line="240" w:lineRule="auto"/>
        <w:ind w:firstLine="709"/>
        <w:jc w:val="both"/>
        <w:rPr>
          <w:rFonts w:eastAsia="Calibri"/>
          <w:szCs w:val="28"/>
        </w:rPr>
      </w:pPr>
      <w:r>
        <w:rPr>
          <w:rFonts w:eastAsia="Calibri"/>
          <w:szCs w:val="28"/>
        </w:rPr>
        <w:t>-</w:t>
      </w:r>
      <w:r w:rsidRPr="0030248D">
        <w:rPr>
          <w:rFonts w:eastAsia="Calibri"/>
          <w:szCs w:val="28"/>
        </w:rPr>
        <w:t xml:space="preserve">экономически необоснованные расходы в размере </w:t>
      </w:r>
      <w:r w:rsidRPr="00B825DD">
        <w:rPr>
          <w:rFonts w:eastAsia="Calibri"/>
          <w:szCs w:val="28"/>
        </w:rPr>
        <w:t>50</w:t>
      </w:r>
      <w:r>
        <w:rPr>
          <w:rFonts w:eastAsia="Calibri"/>
          <w:szCs w:val="28"/>
        </w:rPr>
        <w:t>,</w:t>
      </w:r>
      <w:r w:rsidRPr="00B825DD">
        <w:rPr>
          <w:rFonts w:eastAsia="Calibri"/>
          <w:szCs w:val="28"/>
        </w:rPr>
        <w:t>6</w:t>
      </w:r>
      <w:r w:rsidRPr="0030248D">
        <w:rPr>
          <w:rFonts w:eastAsia="Calibri"/>
          <w:szCs w:val="28"/>
        </w:rPr>
        <w:t xml:space="preserve"> млн. руб., выявленные департаментом по результатам анализа производственно-хозяйственн</w:t>
      </w:r>
      <w:r>
        <w:rPr>
          <w:rFonts w:eastAsia="Calibri"/>
          <w:szCs w:val="28"/>
        </w:rPr>
        <w:t>ой деятельности АО «РЭС» за 2023</w:t>
      </w:r>
      <w:r w:rsidRPr="0030248D">
        <w:rPr>
          <w:rFonts w:eastAsia="Calibri"/>
          <w:szCs w:val="28"/>
        </w:rPr>
        <w:t xml:space="preserve"> год.</w:t>
      </w:r>
    </w:p>
    <w:p w:rsidR="00A712E1" w:rsidRPr="0030248D" w:rsidRDefault="00A712E1" w:rsidP="00A712E1">
      <w:pPr>
        <w:tabs>
          <w:tab w:val="left" w:pos="0"/>
        </w:tabs>
        <w:spacing w:after="0" w:line="240" w:lineRule="auto"/>
        <w:ind w:firstLine="709"/>
        <w:jc w:val="both"/>
        <w:rPr>
          <w:szCs w:val="28"/>
        </w:rPr>
      </w:pPr>
      <w:r w:rsidRPr="0030248D">
        <w:rPr>
          <w:szCs w:val="28"/>
        </w:rPr>
        <w:t>Департаментом также произведена ко</w:t>
      </w:r>
      <w:r>
        <w:rPr>
          <w:szCs w:val="28"/>
        </w:rPr>
        <w:t>рректировка НВВ АО «РЭС» на 2025</w:t>
      </w:r>
      <w:r w:rsidRPr="0030248D">
        <w:rPr>
          <w:szCs w:val="28"/>
        </w:rPr>
        <w:t xml:space="preserve"> год с </w:t>
      </w:r>
      <w:r w:rsidRPr="0030248D">
        <w:rPr>
          <w:bCs/>
          <w:szCs w:val="28"/>
        </w:rPr>
        <w:t>учетом анализа исполнения АО «РЭС» показателей надежности и качества</w:t>
      </w:r>
      <w:r>
        <w:rPr>
          <w:rFonts w:eastAsia="Times New Roman"/>
          <w:szCs w:val="28"/>
        </w:rPr>
        <w:t xml:space="preserve"> реализуемых услуг за 2023</w:t>
      </w:r>
      <w:r w:rsidRPr="0030248D">
        <w:rPr>
          <w:rFonts w:eastAsia="Times New Roman"/>
          <w:szCs w:val="28"/>
        </w:rPr>
        <w:t xml:space="preserve"> год (коэффициент, корректирующий необходимую валовую выручку сетевой организации (КНК</w:t>
      </w:r>
      <w:r w:rsidRPr="0030248D">
        <w:rPr>
          <w:rFonts w:eastAsia="Times New Roman"/>
          <w:szCs w:val="28"/>
          <w:lang w:val="en-US"/>
        </w:rPr>
        <w:t>i</w:t>
      </w:r>
      <w:r w:rsidRPr="0030248D">
        <w:rPr>
          <w:rFonts w:eastAsia="Times New Roman"/>
          <w:szCs w:val="28"/>
        </w:rPr>
        <w:t xml:space="preserve">), </w:t>
      </w:r>
      <w:r>
        <w:rPr>
          <w:rFonts w:ascii="Times New Roman CYR" w:eastAsia="Times New Roman" w:hAnsi="Times New Roman CYR" w:cs="Times New Roman CYR"/>
          <w:szCs w:val="28"/>
        </w:rPr>
        <w:t>за 2023</w:t>
      </w:r>
      <w:r w:rsidRPr="0030248D">
        <w:rPr>
          <w:rFonts w:ascii="Times New Roman CYR" w:eastAsia="Times New Roman" w:hAnsi="Times New Roman CYR" w:cs="Times New Roman CYR"/>
          <w:szCs w:val="28"/>
        </w:rPr>
        <w:t xml:space="preserve"> год (КНК</w:t>
      </w:r>
      <w:r w:rsidRPr="0030248D">
        <w:rPr>
          <w:rFonts w:ascii="Times New Roman CYR" w:eastAsia="Times New Roman" w:hAnsi="Times New Roman CYR" w:cs="Times New Roman CYR"/>
          <w:szCs w:val="28"/>
          <w:lang w:val="en-US"/>
        </w:rPr>
        <w:t>i</w:t>
      </w:r>
      <w:r w:rsidRPr="0030248D">
        <w:rPr>
          <w:rFonts w:ascii="Times New Roman CYR" w:eastAsia="Times New Roman" w:hAnsi="Times New Roman CYR" w:cs="Times New Roman CYR"/>
          <w:szCs w:val="28"/>
        </w:rPr>
        <w:t xml:space="preserve">), равен 0,60%). </w:t>
      </w:r>
      <w:r w:rsidRPr="0030248D">
        <w:rPr>
          <w:rFonts w:eastAsia="Times New Roman"/>
          <w:szCs w:val="28"/>
        </w:rPr>
        <w:t xml:space="preserve">Сумма корректировки </w:t>
      </w:r>
      <w:r>
        <w:rPr>
          <w:rFonts w:ascii="Times New Roman CYR" w:eastAsia="Times New Roman" w:hAnsi="Times New Roman CYR" w:cs="Times New Roman CYR"/>
          <w:szCs w:val="28"/>
        </w:rPr>
        <w:t>НВВ АО «РЭС» на 2025</w:t>
      </w:r>
      <w:r w:rsidRPr="0030248D">
        <w:rPr>
          <w:rFonts w:ascii="Times New Roman CYR" w:eastAsia="Times New Roman" w:hAnsi="Times New Roman CYR" w:cs="Times New Roman CYR"/>
          <w:szCs w:val="28"/>
        </w:rPr>
        <w:t xml:space="preserve"> год </w:t>
      </w:r>
      <w:r w:rsidRPr="0030248D">
        <w:rPr>
          <w:rFonts w:eastAsia="Times New Roman"/>
          <w:szCs w:val="28"/>
        </w:rPr>
        <w:t xml:space="preserve">составила </w:t>
      </w:r>
      <w:r w:rsidRPr="009A3C7E">
        <w:rPr>
          <w:rFonts w:eastAsia="Times New Roman"/>
          <w:szCs w:val="28"/>
        </w:rPr>
        <w:t>73</w:t>
      </w:r>
      <w:r>
        <w:rPr>
          <w:rFonts w:eastAsia="Times New Roman"/>
          <w:szCs w:val="28"/>
        </w:rPr>
        <w:t>,</w:t>
      </w:r>
      <w:r w:rsidRPr="009A3C7E">
        <w:rPr>
          <w:rFonts w:eastAsia="Times New Roman"/>
          <w:szCs w:val="28"/>
        </w:rPr>
        <w:t>2</w:t>
      </w:r>
      <w:r>
        <w:rPr>
          <w:rFonts w:eastAsia="Times New Roman"/>
          <w:szCs w:val="28"/>
        </w:rPr>
        <w:t xml:space="preserve"> </w:t>
      </w:r>
      <w:r w:rsidRPr="0030248D">
        <w:rPr>
          <w:rFonts w:eastAsia="Times New Roman"/>
          <w:szCs w:val="28"/>
        </w:rPr>
        <w:t xml:space="preserve">млн. руб. </w:t>
      </w:r>
    </w:p>
    <w:p w:rsidR="00A712E1" w:rsidRDefault="00A712E1" w:rsidP="00A712E1">
      <w:pPr>
        <w:autoSpaceDE w:val="0"/>
        <w:autoSpaceDN w:val="0"/>
        <w:adjustRightInd w:val="0"/>
        <w:spacing w:after="0" w:line="240" w:lineRule="auto"/>
        <w:ind w:firstLine="709"/>
        <w:jc w:val="both"/>
        <w:rPr>
          <w:szCs w:val="28"/>
        </w:rPr>
      </w:pPr>
      <w:r>
        <w:rPr>
          <w:szCs w:val="28"/>
        </w:rPr>
        <w:t>Сокращение</w:t>
      </w:r>
      <w:r w:rsidRPr="0030248D">
        <w:rPr>
          <w:szCs w:val="28"/>
        </w:rPr>
        <w:t xml:space="preserve"> расходов по оплате услуг смежных сетевых организаций в части содержания объектов электросетевого хозяйства составило </w:t>
      </w:r>
      <w:r w:rsidRPr="00A62F79">
        <w:rPr>
          <w:szCs w:val="28"/>
        </w:rPr>
        <w:t>375</w:t>
      </w:r>
      <w:r>
        <w:rPr>
          <w:szCs w:val="28"/>
        </w:rPr>
        <w:t xml:space="preserve"> </w:t>
      </w:r>
      <w:r w:rsidRPr="0030248D">
        <w:rPr>
          <w:szCs w:val="28"/>
        </w:rPr>
        <w:t>млн. руб.</w:t>
      </w:r>
      <w:r w:rsidRPr="00A62F79">
        <w:t xml:space="preserve"> </w:t>
      </w:r>
      <w:r>
        <w:rPr>
          <w:szCs w:val="28"/>
        </w:rPr>
        <w:t>(</w:t>
      </w:r>
      <w:r w:rsidRPr="00A62F79">
        <w:rPr>
          <w:szCs w:val="28"/>
        </w:rPr>
        <w:t>21,4%</w:t>
      </w:r>
      <w:r w:rsidRPr="0030248D">
        <w:rPr>
          <w:szCs w:val="28"/>
        </w:rPr>
        <w:t xml:space="preserve">), что, главным образом, связано </w:t>
      </w:r>
      <w:r>
        <w:rPr>
          <w:szCs w:val="28"/>
        </w:rPr>
        <w:t>с исключением из состава НВВ указанных организаций расходов</w:t>
      </w:r>
      <w:r w:rsidRPr="004C6734">
        <w:rPr>
          <w:szCs w:val="28"/>
        </w:rPr>
        <w:t xml:space="preserve"> на услуги ФСК</w:t>
      </w:r>
      <w:r>
        <w:rPr>
          <w:szCs w:val="28"/>
        </w:rPr>
        <w:t>.</w:t>
      </w:r>
      <w:r w:rsidRPr="004C6734">
        <w:rPr>
          <w:szCs w:val="28"/>
        </w:rPr>
        <w:t xml:space="preserve"> </w:t>
      </w:r>
    </w:p>
    <w:p w:rsidR="00A712E1" w:rsidRDefault="00A712E1" w:rsidP="00A712E1">
      <w:pPr>
        <w:spacing w:after="0" w:line="240" w:lineRule="auto"/>
        <w:ind w:firstLine="709"/>
        <w:contextualSpacing/>
        <w:jc w:val="both"/>
        <w:rPr>
          <w:szCs w:val="28"/>
        </w:rPr>
      </w:pPr>
      <w:r w:rsidRPr="0030248D">
        <w:rPr>
          <w:szCs w:val="28"/>
        </w:rPr>
        <w:t>Увеличение расходов на оплату технологического расхода электрическо</w:t>
      </w:r>
      <w:r>
        <w:rPr>
          <w:szCs w:val="28"/>
        </w:rPr>
        <w:t>й энергии на ее передачу на 2025</w:t>
      </w:r>
      <w:r w:rsidRPr="0030248D">
        <w:rPr>
          <w:szCs w:val="28"/>
        </w:rPr>
        <w:t xml:space="preserve"> год составило </w:t>
      </w:r>
      <w:r>
        <w:rPr>
          <w:szCs w:val="28"/>
        </w:rPr>
        <w:t>967,1 млн. руб. (115</w:t>
      </w:r>
      <w:r w:rsidRPr="0030248D">
        <w:rPr>
          <w:szCs w:val="28"/>
        </w:rPr>
        <w:t>,</w:t>
      </w:r>
      <w:r>
        <w:rPr>
          <w:szCs w:val="28"/>
        </w:rPr>
        <w:t>5</w:t>
      </w:r>
      <w:r w:rsidRPr="0030248D">
        <w:rPr>
          <w:szCs w:val="28"/>
        </w:rPr>
        <w:t xml:space="preserve"> % к плану 202</w:t>
      </w:r>
      <w:r>
        <w:rPr>
          <w:szCs w:val="28"/>
        </w:rPr>
        <w:t>4</w:t>
      </w:r>
      <w:r w:rsidRPr="0030248D">
        <w:rPr>
          <w:szCs w:val="28"/>
        </w:rPr>
        <w:t xml:space="preserve"> года) и обусловлено </w:t>
      </w:r>
      <w:r>
        <w:rPr>
          <w:szCs w:val="28"/>
        </w:rPr>
        <w:t>следующими факторами:</w:t>
      </w:r>
    </w:p>
    <w:p w:rsidR="00A712E1" w:rsidRDefault="00A712E1" w:rsidP="00A712E1">
      <w:pPr>
        <w:spacing w:after="0" w:line="240" w:lineRule="auto"/>
        <w:ind w:firstLine="709"/>
        <w:contextualSpacing/>
        <w:jc w:val="both"/>
        <w:rPr>
          <w:rFonts w:eastAsia="Times New Roman"/>
          <w:szCs w:val="28"/>
        </w:rPr>
      </w:pPr>
      <w:r>
        <w:rPr>
          <w:szCs w:val="28"/>
        </w:rPr>
        <w:t>-</w:t>
      </w:r>
      <w:r w:rsidRPr="0030248D">
        <w:rPr>
          <w:szCs w:val="28"/>
        </w:rPr>
        <w:t>ростом</w:t>
      </w:r>
      <w:r w:rsidRPr="0030248D">
        <w:rPr>
          <w:rFonts w:eastAsia="Times New Roman"/>
          <w:szCs w:val="28"/>
        </w:rPr>
        <w:t xml:space="preserve"> </w:t>
      </w:r>
      <w:r w:rsidRPr="0030248D">
        <w:rPr>
          <w:rFonts w:ascii="Times New Roman CYR" w:eastAsia="Times New Roman" w:hAnsi="Times New Roman CYR" w:cs="Times New Roman CYR"/>
          <w:szCs w:val="28"/>
        </w:rPr>
        <w:t>тарифа покупки потерь</w:t>
      </w:r>
      <w:r w:rsidRPr="0030248D">
        <w:rPr>
          <w:rFonts w:eastAsia="Times New Roman"/>
          <w:szCs w:val="28"/>
        </w:rPr>
        <w:t xml:space="preserve"> </w:t>
      </w:r>
      <w:r>
        <w:rPr>
          <w:rFonts w:ascii="Times New Roman CYR" w:eastAsia="Times New Roman" w:hAnsi="Times New Roman CYR" w:cs="Times New Roman CYR"/>
          <w:szCs w:val="28"/>
        </w:rPr>
        <w:t>на 2025</w:t>
      </w:r>
      <w:r w:rsidRPr="0030248D">
        <w:rPr>
          <w:rFonts w:ascii="Times New Roman CYR" w:eastAsia="Times New Roman" w:hAnsi="Times New Roman CYR" w:cs="Times New Roman CYR"/>
          <w:szCs w:val="28"/>
        </w:rPr>
        <w:t xml:space="preserve"> год </w:t>
      </w:r>
      <w:r w:rsidRPr="0030248D">
        <w:rPr>
          <w:rFonts w:eastAsia="Times New Roman"/>
          <w:szCs w:val="28"/>
        </w:rPr>
        <w:t xml:space="preserve">на </w:t>
      </w:r>
      <w:r>
        <w:rPr>
          <w:rFonts w:eastAsia="Times New Roman"/>
          <w:szCs w:val="28"/>
        </w:rPr>
        <w:t>13</w:t>
      </w:r>
      <w:r w:rsidRPr="0030248D">
        <w:rPr>
          <w:rFonts w:eastAsia="Times New Roman"/>
          <w:szCs w:val="28"/>
        </w:rPr>
        <w:t>,</w:t>
      </w:r>
      <w:r>
        <w:rPr>
          <w:rFonts w:eastAsia="Times New Roman"/>
          <w:szCs w:val="28"/>
        </w:rPr>
        <w:t>5%;</w:t>
      </w:r>
    </w:p>
    <w:p w:rsidR="00A712E1" w:rsidRDefault="00A712E1" w:rsidP="00A712E1">
      <w:pPr>
        <w:spacing w:after="0" w:line="240" w:lineRule="auto"/>
        <w:ind w:firstLine="709"/>
        <w:contextualSpacing/>
        <w:jc w:val="both"/>
        <w:rPr>
          <w:rFonts w:eastAsia="Times New Roman"/>
          <w:szCs w:val="28"/>
        </w:rPr>
      </w:pPr>
      <w:r>
        <w:rPr>
          <w:rFonts w:eastAsia="Times New Roman"/>
          <w:szCs w:val="28"/>
        </w:rPr>
        <w:t xml:space="preserve">-наличием </w:t>
      </w:r>
      <w:r w:rsidRPr="00BE21E5">
        <w:rPr>
          <w:rFonts w:eastAsia="Times New Roman"/>
          <w:szCs w:val="28"/>
        </w:rPr>
        <w:t>экономии расходов на оплату потерь электрической энергии, подлежащей учету в составе расходов на оплату потерь электрической энергии, в размере 120</w:t>
      </w:r>
      <w:r>
        <w:rPr>
          <w:rFonts w:eastAsia="Times New Roman"/>
          <w:szCs w:val="28"/>
        </w:rPr>
        <w:t>,6</w:t>
      </w:r>
      <w:r w:rsidRPr="00BE21E5">
        <w:rPr>
          <w:rFonts w:eastAsia="Times New Roman"/>
          <w:szCs w:val="28"/>
        </w:rPr>
        <w:t xml:space="preserve"> </w:t>
      </w:r>
      <w:r>
        <w:rPr>
          <w:rFonts w:eastAsia="Times New Roman"/>
          <w:szCs w:val="28"/>
        </w:rPr>
        <w:t>млн</w:t>
      </w:r>
      <w:r w:rsidRPr="00BE21E5">
        <w:rPr>
          <w:rFonts w:eastAsia="Times New Roman"/>
          <w:szCs w:val="28"/>
        </w:rPr>
        <w:t>. руб., рассчитанном в соответствии с формулой 11 Методических указаний № 98-э</w:t>
      </w:r>
      <w:r>
        <w:rPr>
          <w:rFonts w:eastAsia="Times New Roman"/>
          <w:szCs w:val="28"/>
        </w:rPr>
        <w:t>.</w:t>
      </w:r>
    </w:p>
    <w:p w:rsidR="00A712E1" w:rsidRDefault="00A712E1" w:rsidP="00A712E1">
      <w:pPr>
        <w:spacing w:after="0" w:line="240" w:lineRule="auto"/>
        <w:ind w:firstLine="709"/>
        <w:contextualSpacing/>
        <w:jc w:val="both"/>
        <w:rPr>
          <w:rFonts w:eastAsia="Calibri"/>
          <w:szCs w:val="28"/>
        </w:rPr>
      </w:pPr>
      <w:r w:rsidRPr="0030248D">
        <w:rPr>
          <w:rFonts w:eastAsia="Calibri"/>
          <w:szCs w:val="28"/>
        </w:rPr>
        <w:t>Ниже приведена структура НВВ АО «РЭС»</w:t>
      </w:r>
      <w:r>
        <w:rPr>
          <w:rFonts w:eastAsia="Calibri"/>
          <w:szCs w:val="28"/>
        </w:rPr>
        <w:t xml:space="preserve"> и ТСО</w:t>
      </w:r>
      <w:r w:rsidRPr="0030248D">
        <w:rPr>
          <w:rFonts w:eastAsia="Calibri"/>
          <w:szCs w:val="28"/>
        </w:rPr>
        <w:t xml:space="preserve">, учитываемая при установлении единых (котловых) тарифов </w:t>
      </w:r>
      <w:r w:rsidRPr="0030248D">
        <w:rPr>
          <w:szCs w:val="28"/>
        </w:rPr>
        <w:t xml:space="preserve">на услуги по передаче </w:t>
      </w:r>
      <w:r w:rsidRPr="0030248D">
        <w:rPr>
          <w:szCs w:val="28"/>
        </w:rPr>
        <w:lastRenderedPageBreak/>
        <w:t>электрической энергии в Новосибирской области</w:t>
      </w:r>
      <w:r w:rsidRPr="0030248D">
        <w:rPr>
          <w:rFonts w:eastAsia="Calibri"/>
          <w:szCs w:val="28"/>
        </w:rPr>
        <w:t xml:space="preserve"> по</w:t>
      </w:r>
      <w:r>
        <w:rPr>
          <w:rFonts w:eastAsia="Calibri"/>
          <w:szCs w:val="28"/>
        </w:rPr>
        <w:t xml:space="preserve"> основным статьям на 202</w:t>
      </w:r>
      <w:r w:rsidR="00423C09">
        <w:rPr>
          <w:rFonts w:eastAsia="Calibri"/>
          <w:szCs w:val="28"/>
        </w:rPr>
        <w:t>3</w:t>
      </w:r>
      <w:r>
        <w:rPr>
          <w:rFonts w:eastAsia="Calibri"/>
          <w:szCs w:val="28"/>
        </w:rPr>
        <w:t xml:space="preserve"> - 2025</w:t>
      </w:r>
      <w:r w:rsidRPr="0030248D">
        <w:rPr>
          <w:rFonts w:eastAsia="Calibri"/>
          <w:szCs w:val="28"/>
        </w:rPr>
        <w:t xml:space="preserve"> годы.</w:t>
      </w:r>
    </w:p>
    <w:p w:rsidR="00A712E1" w:rsidRDefault="00A712E1" w:rsidP="00423C09">
      <w:pPr>
        <w:rPr>
          <w:szCs w:val="28"/>
        </w:rPr>
      </w:pPr>
      <w:r w:rsidRPr="00FE1097">
        <w:rPr>
          <w:noProof/>
        </w:rPr>
        <w:drawing>
          <wp:inline distT="0" distB="0" distL="0" distR="0" wp14:anchorId="05E66492" wp14:editId="72ACF626">
            <wp:extent cx="5375082" cy="3745064"/>
            <wp:effectExtent l="0" t="0" r="0" b="8255"/>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r>
        <w:rPr>
          <w:szCs w:val="28"/>
        </w:rPr>
        <w:tab/>
      </w:r>
      <w:r w:rsidRPr="00FE1097">
        <w:rPr>
          <w:noProof/>
        </w:rPr>
        <w:drawing>
          <wp:inline distT="0" distB="0" distL="0" distR="0" wp14:anchorId="706C0A16" wp14:editId="7BCBD89D">
            <wp:extent cx="5764696" cy="4317558"/>
            <wp:effectExtent l="0" t="0" r="7620" b="698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A712E1" w:rsidRDefault="00A712E1" w:rsidP="00A712E1">
      <w:pPr>
        <w:spacing w:after="0" w:line="240" w:lineRule="auto"/>
        <w:ind w:firstLine="851"/>
        <w:jc w:val="both"/>
        <w:outlineLvl w:val="0"/>
        <w:rPr>
          <w:szCs w:val="28"/>
        </w:rPr>
      </w:pPr>
    </w:p>
    <w:p w:rsidR="00A712E1" w:rsidRDefault="00A712E1" w:rsidP="00A712E1">
      <w:pPr>
        <w:spacing w:after="0" w:line="240" w:lineRule="auto"/>
        <w:jc w:val="both"/>
        <w:outlineLvl w:val="0"/>
        <w:rPr>
          <w:szCs w:val="28"/>
        </w:rPr>
      </w:pPr>
      <w:r>
        <w:rPr>
          <w:noProof/>
        </w:rPr>
        <w:lastRenderedPageBreak/>
        <w:drawing>
          <wp:inline distT="0" distB="0" distL="0" distR="0" wp14:anchorId="5641EB28" wp14:editId="39E73B91">
            <wp:extent cx="5940425" cy="3806801"/>
            <wp:effectExtent l="0" t="0" r="3175" b="381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A712E1" w:rsidRPr="00FE1097" w:rsidRDefault="00A712E1" w:rsidP="00A712E1">
      <w:pPr>
        <w:spacing w:after="0" w:line="240" w:lineRule="auto"/>
        <w:ind w:firstLine="851"/>
        <w:jc w:val="both"/>
        <w:outlineLvl w:val="0"/>
        <w:rPr>
          <w:szCs w:val="28"/>
        </w:rPr>
      </w:pPr>
    </w:p>
    <w:p w:rsidR="00A712E1" w:rsidRPr="00FE1097" w:rsidRDefault="00A712E1" w:rsidP="00A712E1">
      <w:pPr>
        <w:spacing w:after="0" w:line="240" w:lineRule="auto"/>
        <w:ind w:firstLine="851"/>
        <w:jc w:val="both"/>
        <w:outlineLvl w:val="0"/>
        <w:rPr>
          <w:szCs w:val="28"/>
        </w:rPr>
      </w:pPr>
    </w:p>
    <w:p w:rsidR="00A712E1" w:rsidRPr="00872ECC" w:rsidRDefault="00A712E1" w:rsidP="00A712E1">
      <w:pPr>
        <w:spacing w:after="0" w:line="240" w:lineRule="auto"/>
        <w:ind w:firstLine="851"/>
        <w:jc w:val="both"/>
        <w:outlineLvl w:val="0"/>
        <w:rPr>
          <w:szCs w:val="28"/>
        </w:rPr>
      </w:pPr>
      <w:r w:rsidRPr="00872ECC">
        <w:rPr>
          <w:szCs w:val="28"/>
        </w:rPr>
        <w:t>Ниже приведен график по динамике НВВ сетевых организаций без учета оплаты потерь, учтенной при утверждении единых (котловых) тарифов на услуги по передаче электрической энергии в Новосибирской области за период 2016-2025 г.г.</w:t>
      </w:r>
    </w:p>
    <w:p w:rsidR="00A712E1" w:rsidRPr="00B07180" w:rsidRDefault="00A712E1" w:rsidP="00A712E1">
      <w:pPr>
        <w:spacing w:after="0" w:line="240" w:lineRule="auto"/>
        <w:jc w:val="both"/>
        <w:outlineLvl w:val="0"/>
        <w:rPr>
          <w:szCs w:val="28"/>
        </w:rPr>
      </w:pPr>
    </w:p>
    <w:p w:rsidR="00A712E1" w:rsidRPr="00ED1411" w:rsidRDefault="00A712E1" w:rsidP="00A712E1">
      <w:pPr>
        <w:spacing w:after="0" w:line="240" w:lineRule="auto"/>
        <w:outlineLvl w:val="0"/>
        <w:rPr>
          <w:szCs w:val="28"/>
          <w:lang w:val="en-US"/>
        </w:rPr>
      </w:pPr>
      <w:r>
        <w:rPr>
          <w:noProof/>
        </w:rPr>
        <w:drawing>
          <wp:inline distT="0" distB="0" distL="0" distR="0" wp14:anchorId="76E501F0" wp14:editId="4A885357">
            <wp:extent cx="5128592" cy="3116911"/>
            <wp:effectExtent l="0" t="0" r="0" b="7620"/>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A56EC1" w:rsidRDefault="00A56EC1" w:rsidP="00A712E1">
      <w:pPr>
        <w:spacing w:after="0" w:line="240" w:lineRule="auto"/>
        <w:ind w:firstLine="709"/>
        <w:jc w:val="both"/>
        <w:rPr>
          <w:rFonts w:eastAsia="Times New Roman"/>
          <w:szCs w:val="28"/>
        </w:rPr>
      </w:pPr>
    </w:p>
    <w:p w:rsidR="00A712E1" w:rsidRPr="002B663E" w:rsidRDefault="00A712E1" w:rsidP="00A712E1">
      <w:pPr>
        <w:spacing w:after="0" w:line="240" w:lineRule="auto"/>
        <w:ind w:firstLine="709"/>
        <w:jc w:val="both"/>
        <w:rPr>
          <w:rFonts w:eastAsia="Times New Roman"/>
          <w:szCs w:val="28"/>
        </w:rPr>
      </w:pPr>
      <w:r w:rsidRPr="00ED1411">
        <w:rPr>
          <w:rFonts w:eastAsia="Times New Roman"/>
          <w:szCs w:val="28"/>
        </w:rPr>
        <w:t xml:space="preserve">Снижение котлового объема НВВ в 2020-2021 годах рассматриваемого периода обусловлено невозможностью учета экономически обоснованного размера НВВ АО «РЭС» в виду сдерживания роста предельных уровней </w:t>
      </w:r>
      <w:r w:rsidRPr="00ED1411">
        <w:rPr>
          <w:rFonts w:eastAsia="Times New Roman"/>
          <w:szCs w:val="28"/>
        </w:rPr>
        <w:lastRenderedPageBreak/>
        <w:t>тарифов и наличием величины сглаживания роста тарифов, которая в 2020</w:t>
      </w:r>
      <w:r>
        <w:rPr>
          <w:rFonts w:eastAsia="Times New Roman"/>
          <w:szCs w:val="28"/>
        </w:rPr>
        <w:t xml:space="preserve"> </w:t>
      </w:r>
      <w:r w:rsidRPr="00ED1411">
        <w:rPr>
          <w:rFonts w:eastAsia="Times New Roman"/>
          <w:szCs w:val="28"/>
        </w:rPr>
        <w:t>г</w:t>
      </w:r>
      <w:r>
        <w:rPr>
          <w:rFonts w:eastAsia="Times New Roman"/>
          <w:szCs w:val="28"/>
        </w:rPr>
        <w:t>.</w:t>
      </w:r>
      <w:r w:rsidRPr="00ED1411">
        <w:rPr>
          <w:rFonts w:eastAsia="Times New Roman"/>
          <w:szCs w:val="28"/>
        </w:rPr>
        <w:t xml:space="preserve"> составила 574,1 млн. руб.,  в 2021 г. – 1 086,8 млн. руб.</w:t>
      </w:r>
    </w:p>
    <w:p w:rsidR="00A712E1" w:rsidRPr="00FE1097" w:rsidRDefault="00A712E1" w:rsidP="00A712E1">
      <w:pPr>
        <w:spacing w:after="0" w:line="240" w:lineRule="auto"/>
        <w:ind w:firstLine="709"/>
        <w:jc w:val="both"/>
        <w:rPr>
          <w:rFonts w:eastAsia="Times New Roman"/>
          <w:szCs w:val="28"/>
        </w:rPr>
      </w:pPr>
    </w:p>
    <w:p w:rsidR="00017B45" w:rsidRDefault="00A712E1" w:rsidP="00A712E1">
      <w:pPr>
        <w:spacing w:after="0" w:line="240" w:lineRule="auto"/>
        <w:ind w:firstLine="709"/>
        <w:jc w:val="both"/>
        <w:rPr>
          <w:rFonts w:eastAsia="Times New Roman"/>
          <w:szCs w:val="28"/>
        </w:rPr>
      </w:pPr>
      <w:r w:rsidRPr="000D3B84">
        <w:rPr>
          <w:rFonts w:eastAsia="Times New Roman"/>
          <w:szCs w:val="28"/>
        </w:rPr>
        <w:t>Деп</w:t>
      </w:r>
      <w:r w:rsidRPr="008525F9">
        <w:rPr>
          <w:rFonts w:eastAsia="Times New Roman"/>
          <w:szCs w:val="28"/>
        </w:rPr>
        <w:t>артаментом проведен сравнительный анализ размера НВВ на содержание объектов электросетевого хозяйства, учтенного при формировании единых (котловых) тарифов на 202</w:t>
      </w:r>
      <w:r>
        <w:rPr>
          <w:rFonts w:eastAsia="Times New Roman"/>
          <w:szCs w:val="28"/>
        </w:rPr>
        <w:t>5</w:t>
      </w:r>
      <w:r w:rsidRPr="008525F9">
        <w:rPr>
          <w:rFonts w:eastAsia="Times New Roman"/>
          <w:szCs w:val="28"/>
        </w:rPr>
        <w:t xml:space="preserve"> год, по крупным субъектам РФ, в сравнении с учтенным объемом полезного отпуска всех потребителей, оплачивающих услуги по единым (котловым) тарифам.</w:t>
      </w:r>
    </w:p>
    <w:p w:rsidR="00017B45" w:rsidRDefault="00017B45" w:rsidP="00A712E1">
      <w:pPr>
        <w:spacing w:after="0" w:line="240" w:lineRule="auto"/>
        <w:ind w:firstLine="709"/>
        <w:jc w:val="both"/>
        <w:rPr>
          <w:rFonts w:eastAsia="Times New Roman"/>
          <w:szCs w:val="28"/>
        </w:rPr>
      </w:pPr>
    </w:p>
    <w:p w:rsidR="00A712E1" w:rsidRPr="008525F9" w:rsidRDefault="00A712E1" w:rsidP="00A712E1">
      <w:pPr>
        <w:spacing w:after="0" w:line="240" w:lineRule="auto"/>
        <w:ind w:firstLine="709"/>
        <w:jc w:val="both"/>
        <w:rPr>
          <w:rFonts w:eastAsia="Times New Roman"/>
          <w:szCs w:val="28"/>
        </w:rPr>
      </w:pPr>
      <w:r w:rsidRPr="008525F9">
        <w:rPr>
          <w:rFonts w:eastAsia="Times New Roman"/>
          <w:szCs w:val="28"/>
        </w:rPr>
        <w:t xml:space="preserve">  </w:t>
      </w:r>
    </w:p>
    <w:p w:rsidR="00A712E1" w:rsidRPr="00FE1097" w:rsidRDefault="00A712E1" w:rsidP="00A712E1">
      <w:pPr>
        <w:spacing w:after="0" w:line="240" w:lineRule="auto"/>
        <w:rPr>
          <w:rFonts w:eastAsia="Times New Roman"/>
          <w:color w:val="FF0000"/>
          <w:szCs w:val="28"/>
        </w:rPr>
      </w:pPr>
      <w:r w:rsidRPr="00A56EC1">
        <w:rPr>
          <w:noProof/>
        </w:rPr>
        <w:drawing>
          <wp:inline distT="0" distB="0" distL="0" distR="0" wp14:anchorId="6AF213E2" wp14:editId="63F1B8CA">
            <wp:extent cx="5193323" cy="4009293"/>
            <wp:effectExtent l="0" t="0" r="7620" b="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017B45" w:rsidRDefault="00017B45" w:rsidP="00A712E1">
      <w:pPr>
        <w:spacing w:after="0" w:line="240" w:lineRule="auto"/>
        <w:ind w:firstLine="709"/>
        <w:jc w:val="both"/>
        <w:rPr>
          <w:rFonts w:eastAsia="Times New Roman"/>
          <w:szCs w:val="28"/>
        </w:rPr>
      </w:pPr>
    </w:p>
    <w:p w:rsidR="00A712E1" w:rsidRPr="008525F9" w:rsidRDefault="00A712E1" w:rsidP="00A712E1">
      <w:pPr>
        <w:spacing w:after="0" w:line="240" w:lineRule="auto"/>
        <w:ind w:firstLine="709"/>
        <w:jc w:val="both"/>
        <w:rPr>
          <w:rFonts w:eastAsia="Times New Roman"/>
          <w:szCs w:val="28"/>
        </w:rPr>
      </w:pPr>
      <w:r w:rsidRPr="008525F9">
        <w:rPr>
          <w:rFonts w:eastAsia="Times New Roman"/>
          <w:szCs w:val="28"/>
        </w:rPr>
        <w:t xml:space="preserve">Из данного графика видно, что минимальный размер котловой НВВ среди анализируемых субъектов присущ регионам Сибирского федерального округа: Омская область – </w:t>
      </w:r>
      <w:r>
        <w:rPr>
          <w:rFonts w:eastAsia="Times New Roman"/>
          <w:szCs w:val="28"/>
        </w:rPr>
        <w:t xml:space="preserve">11 711 </w:t>
      </w:r>
      <w:r w:rsidRPr="008525F9">
        <w:rPr>
          <w:rFonts w:eastAsia="Times New Roman"/>
          <w:szCs w:val="28"/>
        </w:rPr>
        <w:t>млн.руб., Новосибирская область – 1</w:t>
      </w:r>
      <w:r>
        <w:rPr>
          <w:rFonts w:eastAsia="Times New Roman"/>
          <w:szCs w:val="28"/>
        </w:rPr>
        <w:t>7</w:t>
      </w:r>
      <w:r w:rsidRPr="008525F9">
        <w:rPr>
          <w:rFonts w:eastAsia="Times New Roman"/>
          <w:szCs w:val="28"/>
        </w:rPr>
        <w:t> 9</w:t>
      </w:r>
      <w:r>
        <w:rPr>
          <w:rFonts w:eastAsia="Times New Roman"/>
          <w:szCs w:val="28"/>
        </w:rPr>
        <w:t>97</w:t>
      </w:r>
      <w:r w:rsidRPr="008525F9">
        <w:rPr>
          <w:rFonts w:eastAsia="Times New Roman"/>
          <w:szCs w:val="28"/>
        </w:rPr>
        <w:t xml:space="preserve"> млн.руб. Максимальный размер НВВ сложился по городу федерального значения Москва. Соотношение величины котловой НВВ к объему котлового полезного отпуска по Новосибирской области с 2023 года находится на уровне выше 1</w:t>
      </w:r>
      <w:r>
        <w:rPr>
          <w:rFonts w:eastAsia="Times New Roman"/>
          <w:szCs w:val="28"/>
        </w:rPr>
        <w:t>, но является минимальным среди данных субъектов</w:t>
      </w:r>
      <w:r w:rsidRPr="001A1777">
        <w:rPr>
          <w:rFonts w:eastAsia="Times New Roman"/>
          <w:szCs w:val="28"/>
        </w:rPr>
        <w:t xml:space="preserve">. </w:t>
      </w:r>
      <w:r w:rsidRPr="008525F9">
        <w:rPr>
          <w:rFonts w:eastAsia="Times New Roman"/>
          <w:szCs w:val="28"/>
        </w:rPr>
        <w:t>Соотношение, превышающее 2:1, наблюдается в г. Москва, г. Санкт-Петербург и Нижегородской области.</w:t>
      </w:r>
    </w:p>
    <w:p w:rsidR="00A712E1" w:rsidRPr="00A2729F" w:rsidRDefault="00A712E1" w:rsidP="00A712E1">
      <w:pPr>
        <w:spacing w:after="0" w:line="240" w:lineRule="auto"/>
        <w:ind w:firstLine="709"/>
        <w:jc w:val="both"/>
        <w:rPr>
          <w:rFonts w:eastAsia="Times New Roman"/>
          <w:szCs w:val="28"/>
        </w:rPr>
      </w:pPr>
      <w:r w:rsidRPr="00A2729F">
        <w:rPr>
          <w:rFonts w:eastAsia="Times New Roman"/>
          <w:szCs w:val="28"/>
        </w:rPr>
        <w:t>Ниже представлен график, отражающий удельный размер НВВ без учета оплаты потерь на 1 кВт ч котлового объема полезного отпуска по крупным субъектам Российской Федерации на 202</w:t>
      </w:r>
      <w:r>
        <w:rPr>
          <w:rFonts w:eastAsia="Times New Roman"/>
          <w:szCs w:val="28"/>
        </w:rPr>
        <w:t>5</w:t>
      </w:r>
      <w:r w:rsidRPr="00A2729F">
        <w:rPr>
          <w:rFonts w:eastAsia="Times New Roman"/>
          <w:szCs w:val="28"/>
        </w:rPr>
        <w:t xml:space="preserve"> год. </w:t>
      </w:r>
    </w:p>
    <w:p w:rsidR="00A712E1" w:rsidRPr="00FE1097" w:rsidRDefault="00A712E1" w:rsidP="00A712E1">
      <w:pPr>
        <w:spacing w:after="0" w:line="240" w:lineRule="auto"/>
        <w:jc w:val="both"/>
        <w:rPr>
          <w:rFonts w:eastAsia="Times New Roman"/>
          <w:szCs w:val="28"/>
        </w:rPr>
      </w:pPr>
    </w:p>
    <w:p w:rsidR="00A712E1" w:rsidRDefault="00A712E1" w:rsidP="00A712E1">
      <w:pPr>
        <w:rPr>
          <w:rFonts w:eastAsia="Calibri"/>
          <w:b/>
          <w:color w:val="000000"/>
          <w:szCs w:val="28"/>
        </w:rPr>
      </w:pPr>
      <w:r>
        <w:rPr>
          <w:noProof/>
        </w:rPr>
        <w:lastRenderedPageBreak/>
        <w:drawing>
          <wp:inline distT="0" distB="0" distL="0" distR="0" wp14:anchorId="4B4B089B" wp14:editId="1895F961">
            <wp:extent cx="5545016" cy="3053862"/>
            <wp:effectExtent l="0" t="0" r="0" b="0"/>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A712E1" w:rsidRPr="00E425D1" w:rsidRDefault="00A712E1" w:rsidP="00A56EC1">
      <w:pPr>
        <w:pStyle w:val="4"/>
      </w:pPr>
      <w:bookmarkStart w:id="27" w:name="_Toc193810529"/>
      <w:r w:rsidRPr="00E425D1">
        <w:t>2.1.4. Формирование сбытовой  надбавки гарантирующего поставщика.</w:t>
      </w:r>
      <w:bookmarkEnd w:id="27"/>
    </w:p>
    <w:p w:rsidR="00A712E1" w:rsidRPr="008F3DFE" w:rsidRDefault="00A712E1" w:rsidP="00A712E1">
      <w:pPr>
        <w:spacing w:after="0" w:line="240" w:lineRule="auto"/>
        <w:ind w:firstLine="709"/>
        <w:jc w:val="both"/>
        <w:rPr>
          <w:rFonts w:eastAsia="Times New Roman"/>
          <w:szCs w:val="28"/>
        </w:rPr>
      </w:pPr>
      <w:r w:rsidRPr="002F2797">
        <w:rPr>
          <w:rFonts w:eastAsia="Times New Roman"/>
          <w:szCs w:val="28"/>
        </w:rPr>
        <w:t xml:space="preserve">В соответствии с </w:t>
      </w:r>
      <w:r w:rsidRPr="008F3DFE">
        <w:rPr>
          <w:rFonts w:eastAsia="Times New Roman"/>
          <w:szCs w:val="28"/>
        </w:rPr>
        <w:t xml:space="preserve">требованиями Основных положений </w:t>
      </w:r>
      <w:r w:rsidRPr="008F3DFE">
        <w:rPr>
          <w:rFonts w:eastAsia="Calibri"/>
          <w:szCs w:val="28"/>
        </w:rPr>
        <w:t xml:space="preserve">функционирования розничных рынков электрической энергии, утверждённых постановлением Правительства РФ от 04.05.2012 № 442 </w:t>
      </w:r>
      <w:r w:rsidRPr="008F3DFE">
        <w:rPr>
          <w:rFonts w:eastAsia="Times New Roman"/>
          <w:szCs w:val="28"/>
        </w:rPr>
        <w:t>функцию гарантирующего поставщика электрической энергии потребителям на территории Новосибирской области исполняет АО «Новосибирскэнергосбыт». Приказом ФСТ России от 09.02.2007 № 16-э «О включении организаций в Федеральный информационный реестр гарантирующих поставщиков и зон их деятельности» АО «Новосибирскэнергосбыт» в</w:t>
      </w:r>
      <w:r w:rsidRPr="008F3DFE">
        <w:rPr>
          <w:rFonts w:eastAsia="Calibri"/>
          <w:szCs w:val="28"/>
        </w:rPr>
        <w:t>ключен в Федеральный информационный реестр гарантирующих поставщиков и зон их деятельности</w:t>
      </w:r>
      <w:r w:rsidRPr="008F3DFE">
        <w:rPr>
          <w:rFonts w:eastAsia="Times New Roman"/>
          <w:szCs w:val="28"/>
        </w:rPr>
        <w:t xml:space="preserve">. Статус гарантирующего поставщика и границы зоны деятельности АО «Новосибирскэнергосбыт» согласованы приказом департамента по тарифам Новосибирской области от 15.12.2006 № 110-Е «О согласовании границы зоны деятельности гарантирующего поставщика» (в редакции приказов департамента от 29.08.2008 № 17, от 24.02.2010 № 12-Е, от 15.02.2012 № 12-ЭЭ, от 15.01.2015 № 1-Э, от 25.06.2018 № 136-ЭЭ). </w:t>
      </w:r>
    </w:p>
    <w:p w:rsidR="00A712E1" w:rsidRPr="008F3DFE" w:rsidRDefault="00A712E1" w:rsidP="00A56EC1">
      <w:pPr>
        <w:pStyle w:val="4"/>
      </w:pPr>
      <w:bookmarkStart w:id="28" w:name="_Toc193810530"/>
      <w:r w:rsidRPr="008F3DFE">
        <w:t>2.1.4.1 Формирование НВВ АО «Новосибирскэнергосбыт» и установление сбытовых надбавок на 2025 год</w:t>
      </w:r>
      <w:bookmarkEnd w:id="28"/>
    </w:p>
    <w:p w:rsidR="00A712E1" w:rsidRPr="002F2797" w:rsidRDefault="00A712E1" w:rsidP="00A712E1">
      <w:pPr>
        <w:spacing w:after="0" w:line="240" w:lineRule="auto"/>
        <w:ind w:firstLine="709"/>
        <w:jc w:val="both"/>
        <w:rPr>
          <w:rFonts w:eastAsia="Times New Roman"/>
          <w:szCs w:val="28"/>
        </w:rPr>
      </w:pPr>
      <w:r w:rsidRPr="008F3DFE">
        <w:rPr>
          <w:rFonts w:eastAsia="Times New Roman"/>
          <w:szCs w:val="28"/>
        </w:rPr>
        <w:t xml:space="preserve">Расчет сбытовых надбавок на 2025 год произведен согласно требованиям пунктов 65, 65 (1), 65 (2) Основ ценообразования № 1178 и в соответствии с Методическими указаниями </w:t>
      </w:r>
      <w:r w:rsidRPr="008F3DFE">
        <w:rPr>
          <w:rFonts w:eastAsia="Calibri"/>
          <w:szCs w:val="28"/>
        </w:rPr>
        <w:t xml:space="preserve">по расчету сбытовых надбавок гарантирующих поставщиков с использованием метода сравнения аналогов, утвержденными приказом Федеральной антимонопольной службы от 21.11.2017 № 1554/17 (далее – </w:t>
      </w:r>
      <w:r w:rsidRPr="008F3DFE">
        <w:rPr>
          <w:rFonts w:eastAsia="Times New Roman"/>
          <w:szCs w:val="28"/>
        </w:rPr>
        <w:t>Методические указания № 1554/17).</w:t>
      </w: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lastRenderedPageBreak/>
        <w:t>При формировании необходимой валовой выручки</w:t>
      </w:r>
      <w:r>
        <w:rPr>
          <w:rFonts w:eastAsia="Times New Roman"/>
          <w:szCs w:val="28"/>
        </w:rPr>
        <w:t xml:space="preserve"> (НВВ)</w:t>
      </w:r>
      <w:r w:rsidRPr="002F2797">
        <w:rPr>
          <w:rFonts w:eastAsia="Times New Roman"/>
          <w:szCs w:val="28"/>
        </w:rPr>
        <w:t xml:space="preserve"> департаментом применен метод сравнения аналогов в соответствии с п.12 Основ ценообразования</w:t>
      </w:r>
      <w:r>
        <w:rPr>
          <w:rFonts w:eastAsia="Times New Roman"/>
          <w:szCs w:val="28"/>
        </w:rPr>
        <w:t xml:space="preserve"> № 1178</w:t>
      </w:r>
      <w:r w:rsidRPr="002F2797">
        <w:rPr>
          <w:rFonts w:eastAsia="Times New Roman"/>
          <w:szCs w:val="28"/>
        </w:rPr>
        <w:t>.</w:t>
      </w:r>
    </w:p>
    <w:p w:rsidR="00A712E1" w:rsidRPr="002F2797" w:rsidRDefault="00A712E1" w:rsidP="00A712E1">
      <w:pPr>
        <w:tabs>
          <w:tab w:val="left" w:pos="1134"/>
        </w:tabs>
        <w:autoSpaceDE w:val="0"/>
        <w:autoSpaceDN w:val="0"/>
        <w:adjustRightInd w:val="0"/>
        <w:spacing w:after="0" w:line="240" w:lineRule="auto"/>
        <w:ind w:firstLine="709"/>
        <w:jc w:val="both"/>
        <w:rPr>
          <w:rFonts w:eastAsia="Times New Roman"/>
          <w:szCs w:val="28"/>
        </w:rPr>
      </w:pPr>
      <w:r w:rsidRPr="002F2797">
        <w:rPr>
          <w:rFonts w:eastAsia="Times New Roman"/>
          <w:szCs w:val="28"/>
        </w:rPr>
        <w:t>В результате проведенной департаментом экспертизы представленных      АО «Новосибирскэнергосбыт» материалов величина излишне полученного дохода, подлежащего изъятию при формировании НВВ на 202</w:t>
      </w:r>
      <w:r>
        <w:rPr>
          <w:rFonts w:eastAsia="Times New Roman"/>
          <w:szCs w:val="28"/>
        </w:rPr>
        <w:t>5</w:t>
      </w:r>
      <w:r w:rsidRPr="002F2797">
        <w:rPr>
          <w:rFonts w:eastAsia="Times New Roman"/>
          <w:szCs w:val="28"/>
        </w:rPr>
        <w:t xml:space="preserve"> год, составила </w:t>
      </w:r>
      <w:r>
        <w:rPr>
          <w:rFonts w:eastAsia="Times New Roman"/>
          <w:szCs w:val="28"/>
        </w:rPr>
        <w:t>17 502,5</w:t>
      </w:r>
      <w:r w:rsidRPr="001A35C7">
        <w:rPr>
          <w:rFonts w:eastAsia="Times New Roman"/>
          <w:sz w:val="24"/>
        </w:rPr>
        <w:t xml:space="preserve"> </w:t>
      </w:r>
      <w:r w:rsidRPr="002F2797">
        <w:rPr>
          <w:rFonts w:eastAsia="Times New Roman"/>
          <w:szCs w:val="28"/>
        </w:rPr>
        <w:t>тыс. руб., в том числе (излишне полученный доход (-)/недополученный (+)):</w:t>
      </w:r>
    </w:p>
    <w:p w:rsidR="00A712E1" w:rsidRPr="002F2797" w:rsidRDefault="00A712E1" w:rsidP="00A712E1">
      <w:pPr>
        <w:tabs>
          <w:tab w:val="left" w:pos="1134"/>
        </w:tabs>
        <w:autoSpaceDE w:val="0"/>
        <w:autoSpaceDN w:val="0"/>
        <w:adjustRightInd w:val="0"/>
        <w:spacing w:after="0" w:line="240" w:lineRule="auto"/>
        <w:ind w:firstLine="709"/>
        <w:jc w:val="both"/>
        <w:rPr>
          <w:rFonts w:eastAsia="Times New Roman"/>
          <w:szCs w:val="28"/>
        </w:rPr>
      </w:pPr>
      <w:r w:rsidRPr="002F2797">
        <w:rPr>
          <w:rFonts w:eastAsia="Times New Roman"/>
          <w:szCs w:val="28"/>
        </w:rPr>
        <w:t>(-</w:t>
      </w:r>
      <w:r>
        <w:rPr>
          <w:rFonts w:eastAsia="Times New Roman"/>
          <w:szCs w:val="28"/>
        </w:rPr>
        <w:t>201 682,4</w:t>
      </w:r>
      <w:r w:rsidRPr="002F2797">
        <w:rPr>
          <w:rFonts w:eastAsia="Times New Roman"/>
          <w:szCs w:val="28"/>
        </w:rPr>
        <w:t>)</w:t>
      </w:r>
      <w:r w:rsidRPr="002F2797">
        <w:rPr>
          <w:rFonts w:eastAsia="Times New Roman"/>
          <w:sz w:val="24"/>
        </w:rPr>
        <w:t xml:space="preserve"> </w:t>
      </w:r>
      <w:r w:rsidRPr="002F2797">
        <w:rPr>
          <w:rFonts w:eastAsia="Times New Roman"/>
          <w:szCs w:val="28"/>
        </w:rPr>
        <w:t>тыс. руб. в результате отклонения величины фактического полезного отпуска от величины, учтенной при установлении сбытовых надбавок на 202</w:t>
      </w:r>
      <w:r>
        <w:rPr>
          <w:rFonts w:eastAsia="Times New Roman"/>
          <w:szCs w:val="28"/>
        </w:rPr>
        <w:t>3</w:t>
      </w:r>
      <w:r w:rsidRPr="002F2797">
        <w:rPr>
          <w:rFonts w:eastAsia="Times New Roman"/>
          <w:szCs w:val="28"/>
        </w:rPr>
        <w:t xml:space="preserve"> год;</w:t>
      </w:r>
    </w:p>
    <w:p w:rsidR="00A712E1" w:rsidRPr="002F2797" w:rsidRDefault="00A712E1" w:rsidP="00A712E1">
      <w:pPr>
        <w:tabs>
          <w:tab w:val="left" w:pos="1134"/>
        </w:tabs>
        <w:autoSpaceDE w:val="0"/>
        <w:autoSpaceDN w:val="0"/>
        <w:adjustRightInd w:val="0"/>
        <w:spacing w:after="0" w:line="240" w:lineRule="auto"/>
        <w:ind w:firstLine="709"/>
        <w:jc w:val="both"/>
        <w:rPr>
          <w:rFonts w:eastAsia="Times New Roman"/>
          <w:szCs w:val="28"/>
        </w:rPr>
      </w:pPr>
      <w:r>
        <w:rPr>
          <w:rFonts w:eastAsia="Times New Roman"/>
          <w:szCs w:val="28"/>
        </w:rPr>
        <w:t>(-4 460,2</w:t>
      </w:r>
      <w:r w:rsidRPr="002F2797">
        <w:rPr>
          <w:rFonts w:eastAsia="Times New Roman"/>
          <w:szCs w:val="28"/>
        </w:rPr>
        <w:t>) тыс. руб. в результате отклонения величины фактических неподконтрольных расходов (амортизация и налоги (за исключением налога на прибыль), признанных экономически обоснованными) за 202</w:t>
      </w:r>
      <w:r>
        <w:rPr>
          <w:rFonts w:eastAsia="Times New Roman"/>
          <w:szCs w:val="28"/>
        </w:rPr>
        <w:t xml:space="preserve">3 </w:t>
      </w:r>
      <w:r w:rsidRPr="002F2797">
        <w:rPr>
          <w:rFonts w:eastAsia="Times New Roman"/>
          <w:szCs w:val="28"/>
        </w:rPr>
        <w:t>год от величины неподконтрольных расходов, учтенных при установлении сбытовых надбавок на 202</w:t>
      </w:r>
      <w:r>
        <w:rPr>
          <w:rFonts w:eastAsia="Times New Roman"/>
          <w:szCs w:val="28"/>
        </w:rPr>
        <w:t>3</w:t>
      </w:r>
      <w:r w:rsidRPr="002F2797">
        <w:rPr>
          <w:rFonts w:eastAsia="Times New Roman"/>
          <w:szCs w:val="28"/>
        </w:rPr>
        <w:t xml:space="preserve"> г.;</w:t>
      </w:r>
    </w:p>
    <w:p w:rsidR="00A712E1" w:rsidRDefault="00A712E1" w:rsidP="00A712E1">
      <w:pPr>
        <w:tabs>
          <w:tab w:val="left" w:pos="1134"/>
        </w:tabs>
        <w:autoSpaceDE w:val="0"/>
        <w:autoSpaceDN w:val="0"/>
        <w:adjustRightInd w:val="0"/>
        <w:spacing w:after="0" w:line="240" w:lineRule="auto"/>
        <w:ind w:firstLine="709"/>
        <w:jc w:val="both"/>
        <w:rPr>
          <w:rFonts w:eastAsia="Times New Roman"/>
          <w:szCs w:val="28"/>
        </w:rPr>
      </w:pPr>
      <w:r w:rsidRPr="002F2797">
        <w:rPr>
          <w:rFonts w:eastAsia="Times New Roman"/>
          <w:szCs w:val="28"/>
        </w:rPr>
        <w:t>(+</w:t>
      </w:r>
      <w:r>
        <w:rPr>
          <w:rFonts w:eastAsia="Times New Roman"/>
          <w:szCs w:val="28"/>
        </w:rPr>
        <w:t>59 529,3</w:t>
      </w:r>
      <w:r w:rsidRPr="002F2797">
        <w:rPr>
          <w:rFonts w:eastAsia="Times New Roman"/>
          <w:szCs w:val="28"/>
        </w:rPr>
        <w:t>) тыс. руб. в результате отклонения фактического количества точек поставок и фактического ИПЦ от величин, учтенных при установлении сбытовых надбавок на 202</w:t>
      </w:r>
      <w:r>
        <w:rPr>
          <w:rFonts w:eastAsia="Times New Roman"/>
          <w:szCs w:val="28"/>
        </w:rPr>
        <w:t>3</w:t>
      </w:r>
      <w:r w:rsidRPr="002F2797">
        <w:rPr>
          <w:rFonts w:eastAsia="Times New Roman"/>
          <w:szCs w:val="28"/>
        </w:rPr>
        <w:t xml:space="preserve"> год </w:t>
      </w:r>
      <w:r>
        <w:rPr>
          <w:rFonts w:eastAsia="Times New Roman"/>
          <w:szCs w:val="28"/>
        </w:rPr>
        <w:t>(при расчете эталонной выручки);</w:t>
      </w:r>
    </w:p>
    <w:p w:rsidR="00A712E1" w:rsidRPr="002F2797" w:rsidRDefault="00A712E1" w:rsidP="00A712E1">
      <w:pPr>
        <w:tabs>
          <w:tab w:val="left" w:pos="1134"/>
        </w:tabs>
        <w:autoSpaceDE w:val="0"/>
        <w:autoSpaceDN w:val="0"/>
        <w:adjustRightInd w:val="0"/>
        <w:spacing w:after="0" w:line="240" w:lineRule="auto"/>
        <w:ind w:firstLine="709"/>
        <w:jc w:val="both"/>
        <w:rPr>
          <w:rFonts w:eastAsia="Times New Roman"/>
          <w:szCs w:val="28"/>
        </w:rPr>
      </w:pPr>
      <w:r w:rsidRPr="001623B5">
        <w:rPr>
          <w:rFonts w:eastAsia="Times New Roman"/>
          <w:szCs w:val="28"/>
        </w:rPr>
        <w:t>(+</w:t>
      </w:r>
      <w:r>
        <w:rPr>
          <w:rFonts w:eastAsia="Times New Roman"/>
          <w:szCs w:val="28"/>
        </w:rPr>
        <w:t>129 110,8</w:t>
      </w:r>
      <w:r w:rsidRPr="001623B5">
        <w:rPr>
          <w:rFonts w:eastAsia="Times New Roman"/>
          <w:szCs w:val="28"/>
        </w:rPr>
        <w:t>) тыс. руб.</w:t>
      </w:r>
      <w:r>
        <w:rPr>
          <w:rFonts w:eastAsia="Times New Roman"/>
          <w:szCs w:val="28"/>
        </w:rPr>
        <w:t xml:space="preserve"> </w:t>
      </w:r>
      <w:r w:rsidRPr="001623B5">
        <w:rPr>
          <w:rFonts w:eastAsia="Times New Roman"/>
          <w:szCs w:val="28"/>
        </w:rPr>
        <w:t xml:space="preserve">связанные с установлением регулируемых тарифов на электрическую энергию для населения, учитываемые при установлении сбытовых надбавок ГП для сетевых организаций на </w:t>
      </w:r>
      <w:r>
        <w:rPr>
          <w:rFonts w:eastAsia="Times New Roman"/>
          <w:szCs w:val="28"/>
        </w:rPr>
        <w:t>2023 год.</w:t>
      </w:r>
    </w:p>
    <w:p w:rsidR="00A712E1" w:rsidRPr="002F2797" w:rsidRDefault="00A712E1" w:rsidP="00A712E1">
      <w:pPr>
        <w:shd w:val="clear" w:color="auto" w:fill="FFFFFF"/>
        <w:spacing w:after="0" w:line="240" w:lineRule="auto"/>
        <w:ind w:firstLine="709"/>
        <w:jc w:val="both"/>
        <w:rPr>
          <w:rFonts w:eastAsia="Times New Roman"/>
          <w:color w:val="000000"/>
          <w:szCs w:val="28"/>
        </w:rPr>
      </w:pPr>
      <w:r w:rsidRPr="002F2797">
        <w:rPr>
          <w:rFonts w:eastAsia="Times New Roman"/>
          <w:color w:val="000000"/>
          <w:szCs w:val="28"/>
        </w:rPr>
        <w:t xml:space="preserve">Указанные </w:t>
      </w:r>
      <w:r>
        <w:rPr>
          <w:rFonts w:eastAsia="Times New Roman"/>
          <w:color w:val="000000"/>
          <w:szCs w:val="28"/>
        </w:rPr>
        <w:t xml:space="preserve">доходы </w:t>
      </w:r>
      <w:r w:rsidRPr="002F2797">
        <w:rPr>
          <w:rFonts w:eastAsia="Times New Roman"/>
          <w:color w:val="000000"/>
          <w:szCs w:val="28"/>
        </w:rPr>
        <w:t xml:space="preserve">в соответствии с </w:t>
      </w:r>
      <w:r w:rsidRPr="002F2797">
        <w:rPr>
          <w:rFonts w:eastAsia="Times New Roman"/>
          <w:szCs w:val="28"/>
        </w:rPr>
        <w:t>Методическими указаниями №</w:t>
      </w:r>
      <w:r>
        <w:rPr>
          <w:rFonts w:eastAsia="Times New Roman"/>
          <w:szCs w:val="28"/>
        </w:rPr>
        <w:t> </w:t>
      </w:r>
      <w:r w:rsidRPr="002F2797">
        <w:rPr>
          <w:rFonts w:eastAsia="Times New Roman"/>
          <w:szCs w:val="28"/>
        </w:rPr>
        <w:t xml:space="preserve">1554/17 </w:t>
      </w:r>
      <w:r w:rsidRPr="002F2797">
        <w:rPr>
          <w:rFonts w:eastAsia="Times New Roman"/>
          <w:color w:val="000000"/>
          <w:szCs w:val="28"/>
        </w:rPr>
        <w:t>исключены из НВВ, сформированной на 202</w:t>
      </w:r>
      <w:r>
        <w:rPr>
          <w:rFonts w:eastAsia="Times New Roman"/>
          <w:color w:val="000000"/>
          <w:szCs w:val="28"/>
        </w:rPr>
        <w:t>5</w:t>
      </w:r>
      <w:r w:rsidRPr="002F2797">
        <w:rPr>
          <w:rFonts w:eastAsia="Times New Roman"/>
          <w:color w:val="000000"/>
          <w:szCs w:val="28"/>
        </w:rPr>
        <w:t xml:space="preserve"> г. (-∆НВВ).</w:t>
      </w: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t xml:space="preserve">Величина </w:t>
      </w:r>
      <w:r>
        <w:rPr>
          <w:rFonts w:eastAsia="Times New Roman"/>
          <w:szCs w:val="28"/>
        </w:rPr>
        <w:t>НВВ</w:t>
      </w:r>
      <w:r w:rsidRPr="002F2797">
        <w:rPr>
          <w:rFonts w:eastAsia="Times New Roman"/>
          <w:szCs w:val="28"/>
        </w:rPr>
        <w:t xml:space="preserve"> гарантирующего поставщика на 202</w:t>
      </w:r>
      <w:r>
        <w:rPr>
          <w:rFonts w:eastAsia="Times New Roman"/>
          <w:szCs w:val="28"/>
        </w:rPr>
        <w:t>5</w:t>
      </w:r>
      <w:r w:rsidRPr="002F2797">
        <w:rPr>
          <w:rFonts w:eastAsia="Times New Roman"/>
          <w:szCs w:val="28"/>
        </w:rPr>
        <w:t xml:space="preserve"> год, сформированная методом сравнения аналогов, составила </w:t>
      </w:r>
      <w:r>
        <w:rPr>
          <w:rFonts w:eastAsia="Times New Roman"/>
          <w:szCs w:val="28"/>
        </w:rPr>
        <w:t>5 966,7</w:t>
      </w:r>
      <w:r w:rsidRPr="002F2797">
        <w:rPr>
          <w:rFonts w:eastAsia="Times New Roman"/>
          <w:szCs w:val="28"/>
        </w:rPr>
        <w:t xml:space="preserve"> млн. руб.  </w:t>
      </w:r>
    </w:p>
    <w:p w:rsidR="00A712E1" w:rsidRPr="006F369A" w:rsidRDefault="00A712E1" w:rsidP="00A712E1">
      <w:pPr>
        <w:spacing w:after="0" w:line="240" w:lineRule="auto"/>
        <w:ind w:firstLine="709"/>
        <w:jc w:val="both"/>
        <w:rPr>
          <w:rFonts w:eastAsia="Times New Roman"/>
          <w:szCs w:val="28"/>
        </w:rPr>
      </w:pPr>
      <w:r w:rsidRPr="002F2797">
        <w:rPr>
          <w:rFonts w:eastAsia="Times New Roman"/>
          <w:szCs w:val="28"/>
        </w:rPr>
        <w:t xml:space="preserve">Сбытовые надбавки для каждой из групп (подгрупп) потребителей с 1 июля 2018 года устанавливаются в рублях за киловатт-час без учета налога на добавленную стоимость. При расчетах потребителей (покупателей) с гарантирующим поставщиком налог на добавленную стоимость учитывается дополнительно. </w:t>
      </w:r>
      <w:r w:rsidRPr="006F369A">
        <w:rPr>
          <w:rFonts w:eastAsia="Times New Roman"/>
          <w:color w:val="000000"/>
          <w:szCs w:val="28"/>
        </w:rPr>
        <w:t>Сбытовые надбавки для гарантирующего поставщика                                   АО «Новосибирскэнергосбыт» установлены на 202</w:t>
      </w:r>
      <w:r>
        <w:rPr>
          <w:rFonts w:eastAsia="Times New Roman"/>
          <w:color w:val="000000"/>
          <w:szCs w:val="28"/>
        </w:rPr>
        <w:t>5</w:t>
      </w:r>
      <w:r w:rsidRPr="006F369A">
        <w:rPr>
          <w:rFonts w:eastAsia="Times New Roman"/>
          <w:color w:val="000000"/>
          <w:szCs w:val="28"/>
        </w:rPr>
        <w:t xml:space="preserve"> год с календарной разбивкой приказом департамента по тарифам Новосибирской области от </w:t>
      </w:r>
      <w:r>
        <w:rPr>
          <w:rFonts w:eastAsia="Times New Roman"/>
          <w:color w:val="000000"/>
          <w:szCs w:val="28"/>
        </w:rPr>
        <w:t>23.10.2024</w:t>
      </w:r>
      <w:r w:rsidRPr="006F369A">
        <w:rPr>
          <w:rFonts w:eastAsia="Times New Roman"/>
          <w:color w:val="000000"/>
          <w:szCs w:val="28"/>
        </w:rPr>
        <w:t xml:space="preserve"> №</w:t>
      </w:r>
      <w:r w:rsidRPr="006F369A">
        <w:rPr>
          <w:rFonts w:eastAsia="Times New Roman"/>
          <w:sz w:val="24"/>
        </w:rPr>
        <w:t> </w:t>
      </w:r>
      <w:r>
        <w:rPr>
          <w:rFonts w:eastAsia="Times New Roman"/>
          <w:szCs w:val="28"/>
        </w:rPr>
        <w:t>257</w:t>
      </w:r>
      <w:r w:rsidRPr="006F369A">
        <w:rPr>
          <w:rFonts w:eastAsia="Times New Roman"/>
          <w:color w:val="000000"/>
          <w:szCs w:val="28"/>
        </w:rPr>
        <w:t>-ЭЭ/НПА.</w:t>
      </w:r>
    </w:p>
    <w:p w:rsidR="00A712E1" w:rsidRPr="002F2797" w:rsidRDefault="00A712E1" w:rsidP="00A712E1">
      <w:pPr>
        <w:autoSpaceDE w:val="0"/>
        <w:autoSpaceDN w:val="0"/>
        <w:adjustRightInd w:val="0"/>
        <w:spacing w:after="0" w:line="240" w:lineRule="auto"/>
        <w:ind w:firstLine="709"/>
        <w:jc w:val="both"/>
        <w:rPr>
          <w:rFonts w:eastAsia="Times New Roman"/>
          <w:color w:val="000000"/>
          <w:szCs w:val="28"/>
        </w:rPr>
      </w:pPr>
      <w:r w:rsidRPr="002F2797">
        <w:rPr>
          <w:rFonts w:eastAsia="Times New Roman"/>
          <w:color w:val="000000"/>
          <w:szCs w:val="28"/>
        </w:rPr>
        <w:t>Размеры и рост установленных департаментом сбытовых надбавок              АО «Новосибирскэнергосбыт» за период 202</w:t>
      </w:r>
      <w:r>
        <w:rPr>
          <w:rFonts w:eastAsia="Times New Roman"/>
          <w:color w:val="000000"/>
          <w:szCs w:val="28"/>
        </w:rPr>
        <w:t>4</w:t>
      </w:r>
      <w:r w:rsidRPr="002F2797">
        <w:rPr>
          <w:rFonts w:eastAsia="Times New Roman"/>
          <w:color w:val="000000"/>
          <w:szCs w:val="28"/>
        </w:rPr>
        <w:t>-202</w:t>
      </w:r>
      <w:r>
        <w:rPr>
          <w:rFonts w:eastAsia="Times New Roman"/>
          <w:color w:val="000000"/>
          <w:szCs w:val="28"/>
        </w:rPr>
        <w:t>5</w:t>
      </w:r>
      <w:r w:rsidRPr="002F2797">
        <w:rPr>
          <w:rFonts w:eastAsia="Times New Roman"/>
          <w:color w:val="000000"/>
          <w:szCs w:val="28"/>
        </w:rPr>
        <w:t xml:space="preserve"> г.г. приведены в таблице ниже.  </w:t>
      </w: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56EC1" w:rsidRDefault="00A56EC1" w:rsidP="00A712E1">
      <w:pPr>
        <w:spacing w:after="0" w:line="240" w:lineRule="auto"/>
        <w:rPr>
          <w:rFonts w:eastAsia="Times New Roman"/>
          <w:b/>
          <w:sz w:val="24"/>
        </w:rPr>
      </w:pPr>
    </w:p>
    <w:p w:rsidR="00A712E1" w:rsidRPr="00A56EC1" w:rsidRDefault="00A712E1" w:rsidP="00A712E1">
      <w:pPr>
        <w:spacing w:after="0" w:line="240" w:lineRule="auto"/>
        <w:rPr>
          <w:rFonts w:eastAsia="Times New Roman"/>
          <w:b/>
          <w:sz w:val="24"/>
        </w:rPr>
      </w:pPr>
      <w:r w:rsidRPr="00A56EC1">
        <w:rPr>
          <w:rFonts w:eastAsia="Times New Roman"/>
          <w:b/>
          <w:sz w:val="24"/>
        </w:rPr>
        <w:lastRenderedPageBreak/>
        <w:t>Сбытовые надбавки</w:t>
      </w:r>
    </w:p>
    <w:p w:rsidR="00A712E1" w:rsidRPr="00A56EC1" w:rsidRDefault="00A712E1" w:rsidP="00A712E1">
      <w:pPr>
        <w:spacing w:after="0" w:line="240" w:lineRule="auto"/>
        <w:rPr>
          <w:rFonts w:eastAsia="Times New Roman"/>
          <w:b/>
          <w:sz w:val="24"/>
        </w:rPr>
      </w:pPr>
      <w:r w:rsidRPr="00A56EC1">
        <w:rPr>
          <w:rFonts w:eastAsia="Times New Roman"/>
          <w:b/>
          <w:sz w:val="24"/>
        </w:rPr>
        <w:t xml:space="preserve">гарантирующего поставщика электрической энергии </w:t>
      </w:r>
    </w:p>
    <w:p w:rsidR="00A712E1" w:rsidRPr="00A56EC1" w:rsidRDefault="00A712E1" w:rsidP="00A712E1">
      <w:pPr>
        <w:spacing w:after="0" w:line="240" w:lineRule="auto"/>
        <w:rPr>
          <w:rFonts w:eastAsia="Times New Roman"/>
          <w:b/>
          <w:sz w:val="24"/>
        </w:rPr>
      </w:pPr>
      <w:r w:rsidRPr="00A56EC1">
        <w:rPr>
          <w:rFonts w:eastAsia="Times New Roman"/>
          <w:b/>
          <w:sz w:val="24"/>
        </w:rPr>
        <w:t>АО «Новосибирскэнергосбыт» за период 2024-2025 г.г.</w:t>
      </w:r>
    </w:p>
    <w:p w:rsidR="00A712E1" w:rsidRPr="00A56EC1" w:rsidRDefault="00A712E1" w:rsidP="00A712E1">
      <w:pPr>
        <w:spacing w:after="0" w:line="240" w:lineRule="auto"/>
        <w:rPr>
          <w:rFonts w:eastAsia="Times New Roman"/>
          <w:b/>
          <w:sz w:val="24"/>
        </w:rPr>
      </w:pPr>
    </w:p>
    <w:tbl>
      <w:tblPr>
        <w:tblW w:w="90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7"/>
        <w:gridCol w:w="1159"/>
        <w:gridCol w:w="1325"/>
        <w:gridCol w:w="1543"/>
        <w:gridCol w:w="1418"/>
        <w:gridCol w:w="1546"/>
        <w:gridCol w:w="1565"/>
      </w:tblGrid>
      <w:tr w:rsidR="00A56EC1" w:rsidRPr="00A56EC1" w:rsidTr="00017B45">
        <w:trPr>
          <w:trHeight w:val="220"/>
        </w:trPr>
        <w:tc>
          <w:tcPr>
            <w:tcW w:w="517" w:type="dxa"/>
            <w:vMerge w:val="restart"/>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 п/п</w:t>
            </w:r>
          </w:p>
        </w:tc>
        <w:tc>
          <w:tcPr>
            <w:tcW w:w="1159" w:type="dxa"/>
            <w:vMerge w:val="restart"/>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 xml:space="preserve">Период </w:t>
            </w:r>
          </w:p>
        </w:tc>
        <w:tc>
          <w:tcPr>
            <w:tcW w:w="7397" w:type="dxa"/>
            <w:gridSpan w:val="5"/>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Сбытовая надбавка</w:t>
            </w:r>
          </w:p>
        </w:tc>
      </w:tr>
      <w:tr w:rsidR="00A56EC1" w:rsidRPr="00A56EC1" w:rsidTr="00017B45">
        <w:trPr>
          <w:trHeight w:val="410"/>
        </w:trPr>
        <w:tc>
          <w:tcPr>
            <w:tcW w:w="517" w:type="dxa"/>
            <w:vMerge/>
            <w:vAlign w:val="center"/>
          </w:tcPr>
          <w:p w:rsidR="00A56EC1" w:rsidRPr="00A56EC1" w:rsidRDefault="00A56EC1" w:rsidP="00A712E1">
            <w:pPr>
              <w:spacing w:after="0" w:line="240" w:lineRule="auto"/>
              <w:rPr>
                <w:rFonts w:eastAsia="Times New Roman"/>
                <w:color w:val="000000"/>
                <w:sz w:val="20"/>
                <w:szCs w:val="20"/>
              </w:rPr>
            </w:pPr>
          </w:p>
        </w:tc>
        <w:tc>
          <w:tcPr>
            <w:tcW w:w="1159" w:type="dxa"/>
            <w:vMerge/>
            <w:vAlign w:val="center"/>
          </w:tcPr>
          <w:p w:rsidR="00A56EC1" w:rsidRPr="00A56EC1" w:rsidRDefault="00A56EC1" w:rsidP="00A712E1">
            <w:pPr>
              <w:spacing w:after="0" w:line="240" w:lineRule="auto"/>
              <w:rPr>
                <w:rFonts w:eastAsia="Times New Roman"/>
                <w:color w:val="000000"/>
                <w:sz w:val="20"/>
                <w:szCs w:val="20"/>
              </w:rPr>
            </w:pPr>
          </w:p>
        </w:tc>
        <w:tc>
          <w:tcPr>
            <w:tcW w:w="1325" w:type="dxa"/>
            <w:vMerge w:val="restart"/>
            <w:vAlign w:val="center"/>
          </w:tcPr>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Тарифная группа</w:t>
            </w:r>
          </w:p>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«население</w:t>
            </w:r>
          </w:p>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и приравнен-</w:t>
            </w:r>
          </w:p>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ные</w:t>
            </w:r>
          </w:p>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к нему категории потребите-</w:t>
            </w:r>
          </w:p>
          <w:p w:rsidR="00A56EC1" w:rsidRPr="00A56EC1" w:rsidRDefault="00A56EC1" w:rsidP="00A712E1">
            <w:pPr>
              <w:tabs>
                <w:tab w:val="left" w:pos="-108"/>
              </w:tabs>
              <w:spacing w:after="0" w:line="240" w:lineRule="auto"/>
              <w:ind w:left="34" w:right="34"/>
              <w:rPr>
                <w:rFonts w:eastAsia="Times New Roman"/>
                <w:color w:val="000000"/>
                <w:sz w:val="20"/>
                <w:szCs w:val="20"/>
              </w:rPr>
            </w:pPr>
            <w:r w:rsidRPr="00A56EC1">
              <w:rPr>
                <w:rFonts w:eastAsia="Times New Roman"/>
                <w:color w:val="000000"/>
                <w:sz w:val="20"/>
                <w:szCs w:val="20"/>
              </w:rPr>
              <w:t>лей»</w:t>
            </w:r>
          </w:p>
        </w:tc>
        <w:tc>
          <w:tcPr>
            <w:tcW w:w="1543" w:type="dxa"/>
            <w:vMerge w:val="restart"/>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Тарифная группа   «сетевые организации, покупающие электрическую энергию для компенсации потерь электрической энергии»</w:t>
            </w:r>
          </w:p>
        </w:tc>
        <w:tc>
          <w:tcPr>
            <w:tcW w:w="4529" w:type="dxa"/>
            <w:gridSpan w:val="3"/>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Тарифная группа «Прочие потребители»</w:t>
            </w:r>
          </w:p>
        </w:tc>
      </w:tr>
      <w:tr w:rsidR="00A56EC1" w:rsidRPr="00A56EC1" w:rsidTr="00017B45">
        <w:trPr>
          <w:trHeight w:val="491"/>
        </w:trPr>
        <w:tc>
          <w:tcPr>
            <w:tcW w:w="517" w:type="dxa"/>
            <w:vMerge/>
            <w:vAlign w:val="center"/>
          </w:tcPr>
          <w:p w:rsidR="00A56EC1" w:rsidRPr="00A56EC1" w:rsidRDefault="00A56EC1" w:rsidP="00A712E1">
            <w:pPr>
              <w:spacing w:after="0" w:line="240" w:lineRule="auto"/>
              <w:rPr>
                <w:rFonts w:eastAsia="Times New Roman"/>
                <w:color w:val="000000"/>
                <w:sz w:val="20"/>
                <w:szCs w:val="20"/>
              </w:rPr>
            </w:pPr>
          </w:p>
        </w:tc>
        <w:tc>
          <w:tcPr>
            <w:tcW w:w="1159" w:type="dxa"/>
            <w:vMerge/>
            <w:vAlign w:val="center"/>
          </w:tcPr>
          <w:p w:rsidR="00A56EC1" w:rsidRPr="00A56EC1" w:rsidRDefault="00A56EC1" w:rsidP="00A712E1">
            <w:pPr>
              <w:spacing w:after="0" w:line="240" w:lineRule="auto"/>
              <w:rPr>
                <w:rFonts w:eastAsia="Times New Roman"/>
                <w:color w:val="000000"/>
                <w:sz w:val="20"/>
                <w:szCs w:val="20"/>
              </w:rPr>
            </w:pPr>
          </w:p>
        </w:tc>
        <w:tc>
          <w:tcPr>
            <w:tcW w:w="1325" w:type="dxa"/>
            <w:vMerge/>
            <w:vAlign w:val="center"/>
          </w:tcPr>
          <w:p w:rsidR="00A56EC1" w:rsidRPr="00A56EC1" w:rsidRDefault="00A56EC1" w:rsidP="00A712E1">
            <w:pPr>
              <w:spacing w:after="0" w:line="240" w:lineRule="auto"/>
              <w:rPr>
                <w:rFonts w:eastAsia="Times New Roman"/>
                <w:color w:val="000000"/>
                <w:sz w:val="20"/>
                <w:szCs w:val="20"/>
              </w:rPr>
            </w:pPr>
          </w:p>
        </w:tc>
        <w:tc>
          <w:tcPr>
            <w:tcW w:w="1543" w:type="dxa"/>
            <w:vMerge/>
            <w:vAlign w:val="center"/>
          </w:tcPr>
          <w:p w:rsidR="00A56EC1" w:rsidRPr="00A56EC1" w:rsidRDefault="00A56EC1" w:rsidP="00A712E1">
            <w:pPr>
              <w:spacing w:after="0" w:line="240" w:lineRule="auto"/>
              <w:rPr>
                <w:rFonts w:eastAsia="Times New Roman"/>
                <w:color w:val="000000"/>
                <w:sz w:val="20"/>
                <w:szCs w:val="20"/>
              </w:rPr>
            </w:pPr>
          </w:p>
        </w:tc>
        <w:tc>
          <w:tcPr>
            <w:tcW w:w="4529" w:type="dxa"/>
            <w:gridSpan w:val="3"/>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Подгруппы в зависимости от величины максимальной мощности принадлежащим потребителям энергопринимающих устройств</w:t>
            </w:r>
          </w:p>
        </w:tc>
      </w:tr>
      <w:tr w:rsidR="00A56EC1" w:rsidRPr="00A56EC1" w:rsidTr="00017B45">
        <w:trPr>
          <w:trHeight w:val="518"/>
        </w:trPr>
        <w:tc>
          <w:tcPr>
            <w:tcW w:w="517" w:type="dxa"/>
            <w:vMerge/>
            <w:vAlign w:val="center"/>
          </w:tcPr>
          <w:p w:rsidR="00A56EC1" w:rsidRPr="00A56EC1" w:rsidRDefault="00A56EC1" w:rsidP="00A712E1">
            <w:pPr>
              <w:spacing w:after="0" w:line="240" w:lineRule="auto"/>
              <w:rPr>
                <w:rFonts w:eastAsia="Times New Roman"/>
                <w:color w:val="000000"/>
                <w:sz w:val="20"/>
                <w:szCs w:val="20"/>
              </w:rPr>
            </w:pPr>
          </w:p>
        </w:tc>
        <w:tc>
          <w:tcPr>
            <w:tcW w:w="1159" w:type="dxa"/>
            <w:vMerge/>
            <w:vAlign w:val="center"/>
          </w:tcPr>
          <w:p w:rsidR="00A56EC1" w:rsidRPr="00A56EC1" w:rsidRDefault="00A56EC1" w:rsidP="00A712E1">
            <w:pPr>
              <w:spacing w:after="0" w:line="240" w:lineRule="auto"/>
              <w:rPr>
                <w:rFonts w:eastAsia="Times New Roman"/>
                <w:color w:val="000000"/>
                <w:sz w:val="20"/>
                <w:szCs w:val="20"/>
              </w:rPr>
            </w:pPr>
          </w:p>
        </w:tc>
        <w:tc>
          <w:tcPr>
            <w:tcW w:w="1325" w:type="dxa"/>
            <w:vMerge/>
            <w:vAlign w:val="center"/>
          </w:tcPr>
          <w:p w:rsidR="00A56EC1" w:rsidRPr="00A56EC1" w:rsidRDefault="00A56EC1" w:rsidP="00A712E1">
            <w:pPr>
              <w:spacing w:after="0" w:line="240" w:lineRule="auto"/>
              <w:rPr>
                <w:rFonts w:eastAsia="Times New Roman"/>
                <w:color w:val="000000"/>
                <w:sz w:val="20"/>
                <w:szCs w:val="20"/>
              </w:rPr>
            </w:pPr>
          </w:p>
        </w:tc>
        <w:tc>
          <w:tcPr>
            <w:tcW w:w="1543" w:type="dxa"/>
            <w:vMerge/>
            <w:vAlign w:val="center"/>
          </w:tcPr>
          <w:p w:rsidR="00A56EC1" w:rsidRPr="00A56EC1" w:rsidRDefault="00A56EC1" w:rsidP="00A712E1">
            <w:pPr>
              <w:spacing w:after="0" w:line="240" w:lineRule="auto"/>
              <w:rPr>
                <w:rFonts w:eastAsia="Times New Roman"/>
                <w:color w:val="000000"/>
                <w:sz w:val="20"/>
                <w:szCs w:val="20"/>
              </w:rPr>
            </w:pPr>
          </w:p>
        </w:tc>
        <w:tc>
          <w:tcPr>
            <w:tcW w:w="1418"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подгруппа менее 670 кВт</w:t>
            </w:r>
          </w:p>
        </w:tc>
        <w:tc>
          <w:tcPr>
            <w:tcW w:w="1546"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подгруппа от 670 кВт до 10 МВт</w:t>
            </w:r>
          </w:p>
        </w:tc>
        <w:tc>
          <w:tcPr>
            <w:tcW w:w="1565"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подгруппа не менее  10 МВт</w:t>
            </w:r>
          </w:p>
        </w:tc>
      </w:tr>
      <w:tr w:rsidR="00A56EC1" w:rsidRPr="00A56EC1" w:rsidTr="00017B45">
        <w:trPr>
          <w:trHeight w:val="181"/>
        </w:trPr>
        <w:tc>
          <w:tcPr>
            <w:tcW w:w="517" w:type="dxa"/>
            <w:vAlign w:val="center"/>
          </w:tcPr>
          <w:p w:rsidR="00A56EC1" w:rsidRPr="00A56EC1" w:rsidRDefault="00A56EC1" w:rsidP="00A712E1">
            <w:pPr>
              <w:spacing w:after="0" w:line="240" w:lineRule="auto"/>
              <w:rPr>
                <w:rFonts w:eastAsia="Times New Roman"/>
                <w:color w:val="000000"/>
                <w:sz w:val="20"/>
                <w:szCs w:val="20"/>
              </w:rPr>
            </w:pPr>
          </w:p>
        </w:tc>
        <w:tc>
          <w:tcPr>
            <w:tcW w:w="1159" w:type="dxa"/>
            <w:vAlign w:val="center"/>
          </w:tcPr>
          <w:p w:rsidR="00A56EC1" w:rsidRPr="00A56EC1" w:rsidRDefault="00A56EC1" w:rsidP="00A712E1">
            <w:pPr>
              <w:spacing w:after="0" w:line="240" w:lineRule="auto"/>
              <w:rPr>
                <w:rFonts w:eastAsia="Times New Roman"/>
                <w:color w:val="000000"/>
                <w:sz w:val="20"/>
                <w:szCs w:val="20"/>
              </w:rPr>
            </w:pPr>
          </w:p>
        </w:tc>
        <w:tc>
          <w:tcPr>
            <w:tcW w:w="1325"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руб./кВт·ч</w:t>
            </w:r>
          </w:p>
        </w:tc>
        <w:tc>
          <w:tcPr>
            <w:tcW w:w="1543"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руб./кВт·ч</w:t>
            </w:r>
          </w:p>
        </w:tc>
        <w:tc>
          <w:tcPr>
            <w:tcW w:w="1418"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 xml:space="preserve">руб./кВт·ч </w:t>
            </w:r>
          </w:p>
        </w:tc>
        <w:tc>
          <w:tcPr>
            <w:tcW w:w="1546"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 xml:space="preserve">руб./кВт·ч </w:t>
            </w:r>
          </w:p>
        </w:tc>
        <w:tc>
          <w:tcPr>
            <w:tcW w:w="1565"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 xml:space="preserve">руб./кВт·ч </w:t>
            </w:r>
          </w:p>
        </w:tc>
      </w:tr>
      <w:tr w:rsidR="00A56EC1" w:rsidRPr="00A56EC1" w:rsidTr="00017B45">
        <w:trPr>
          <w:trHeight w:val="227"/>
        </w:trPr>
        <w:tc>
          <w:tcPr>
            <w:tcW w:w="517"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1</w:t>
            </w:r>
          </w:p>
        </w:tc>
        <w:tc>
          <w:tcPr>
            <w:tcW w:w="1159" w:type="dxa"/>
            <w:vAlign w:val="center"/>
          </w:tcPr>
          <w:p w:rsidR="00A56EC1" w:rsidRPr="00A56EC1" w:rsidRDefault="00A56EC1" w:rsidP="00A712E1">
            <w:pPr>
              <w:spacing w:after="0" w:line="240" w:lineRule="auto"/>
              <w:rPr>
                <w:rFonts w:eastAsia="Times New Roman"/>
                <w:sz w:val="20"/>
                <w:szCs w:val="20"/>
              </w:rPr>
            </w:pPr>
            <w:r w:rsidRPr="00A56EC1">
              <w:rPr>
                <w:rFonts w:eastAsia="Times New Roman"/>
                <w:sz w:val="20"/>
                <w:szCs w:val="20"/>
              </w:rPr>
              <w:t>2</w:t>
            </w:r>
          </w:p>
        </w:tc>
        <w:tc>
          <w:tcPr>
            <w:tcW w:w="1325"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3</w:t>
            </w:r>
          </w:p>
        </w:tc>
        <w:tc>
          <w:tcPr>
            <w:tcW w:w="1543"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4</w:t>
            </w:r>
          </w:p>
        </w:tc>
        <w:tc>
          <w:tcPr>
            <w:tcW w:w="1418"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5</w:t>
            </w:r>
          </w:p>
        </w:tc>
        <w:tc>
          <w:tcPr>
            <w:tcW w:w="1546"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7</w:t>
            </w:r>
          </w:p>
        </w:tc>
        <w:tc>
          <w:tcPr>
            <w:tcW w:w="1565"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8</w:t>
            </w:r>
          </w:p>
        </w:tc>
      </w:tr>
      <w:tr w:rsidR="00A56EC1" w:rsidRPr="00A56EC1" w:rsidTr="00017B45">
        <w:trPr>
          <w:trHeight w:val="227"/>
        </w:trPr>
        <w:tc>
          <w:tcPr>
            <w:tcW w:w="517"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1</w:t>
            </w:r>
          </w:p>
        </w:tc>
        <w:tc>
          <w:tcPr>
            <w:tcW w:w="1159" w:type="dxa"/>
            <w:vAlign w:val="center"/>
          </w:tcPr>
          <w:p w:rsidR="00A56EC1" w:rsidRPr="00A56EC1" w:rsidRDefault="00A56EC1" w:rsidP="00A712E1">
            <w:pPr>
              <w:spacing w:after="0" w:line="240" w:lineRule="auto"/>
              <w:rPr>
                <w:rFonts w:eastAsia="Times New Roman"/>
                <w:b/>
                <w:sz w:val="20"/>
                <w:szCs w:val="20"/>
              </w:rPr>
            </w:pPr>
            <w:r w:rsidRPr="00A56EC1">
              <w:rPr>
                <w:rFonts w:eastAsia="Times New Roman"/>
                <w:b/>
                <w:sz w:val="20"/>
                <w:szCs w:val="20"/>
              </w:rPr>
              <w:t xml:space="preserve">с 1 января 2024 года </w:t>
            </w:r>
          </w:p>
          <w:p w:rsidR="00A56EC1" w:rsidRPr="00A56EC1" w:rsidRDefault="00A56EC1" w:rsidP="00A712E1">
            <w:pPr>
              <w:spacing w:after="0" w:line="240" w:lineRule="auto"/>
              <w:rPr>
                <w:rFonts w:eastAsia="Times New Roman"/>
                <w:sz w:val="20"/>
                <w:szCs w:val="20"/>
              </w:rPr>
            </w:pPr>
            <w:r w:rsidRPr="00A56EC1">
              <w:rPr>
                <w:rFonts w:eastAsia="Times New Roman"/>
                <w:b/>
                <w:sz w:val="20"/>
                <w:szCs w:val="20"/>
              </w:rPr>
              <w:t>по 30 июня 2024 года</w:t>
            </w:r>
          </w:p>
        </w:tc>
        <w:tc>
          <w:tcPr>
            <w:tcW w:w="132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0,48959</w:t>
            </w:r>
          </w:p>
        </w:tc>
        <w:tc>
          <w:tcPr>
            <w:tcW w:w="1543"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0,14464</w:t>
            </w:r>
          </w:p>
        </w:tc>
        <w:tc>
          <w:tcPr>
            <w:tcW w:w="1418"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0,45543</w:t>
            </w:r>
          </w:p>
        </w:tc>
        <w:tc>
          <w:tcPr>
            <w:tcW w:w="1546"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0,25222</w:t>
            </w:r>
          </w:p>
        </w:tc>
        <w:tc>
          <w:tcPr>
            <w:tcW w:w="156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0,24780</w:t>
            </w:r>
          </w:p>
        </w:tc>
      </w:tr>
      <w:tr w:rsidR="00A56EC1" w:rsidRPr="00A56EC1" w:rsidTr="00017B45">
        <w:trPr>
          <w:trHeight w:val="227"/>
        </w:trPr>
        <w:tc>
          <w:tcPr>
            <w:tcW w:w="1676" w:type="dxa"/>
            <w:gridSpan w:val="2"/>
            <w:vAlign w:val="center"/>
          </w:tcPr>
          <w:p w:rsidR="00A56EC1" w:rsidRPr="00A56EC1" w:rsidRDefault="00A56EC1" w:rsidP="00A712E1">
            <w:pPr>
              <w:spacing w:after="0" w:line="240" w:lineRule="auto"/>
              <w:rPr>
                <w:rFonts w:eastAsia="Times New Roman"/>
                <w:b/>
                <w:sz w:val="20"/>
                <w:szCs w:val="20"/>
              </w:rPr>
            </w:pPr>
            <w:r w:rsidRPr="00A56EC1">
              <w:rPr>
                <w:rFonts w:eastAsia="Times New Roman"/>
                <w:i/>
                <w:sz w:val="20"/>
                <w:szCs w:val="20"/>
              </w:rPr>
              <w:t>Рост тарифа к предыдущему периоду в %</w:t>
            </w:r>
          </w:p>
        </w:tc>
        <w:tc>
          <w:tcPr>
            <w:tcW w:w="132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43"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418"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46"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6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r>
      <w:tr w:rsidR="00A56EC1" w:rsidRPr="00A56EC1" w:rsidTr="00017B45">
        <w:trPr>
          <w:trHeight w:val="227"/>
        </w:trPr>
        <w:tc>
          <w:tcPr>
            <w:tcW w:w="517" w:type="dxa"/>
            <w:vAlign w:val="center"/>
          </w:tcPr>
          <w:p w:rsidR="00A56EC1" w:rsidRPr="00A56EC1" w:rsidRDefault="00A56EC1" w:rsidP="00A712E1">
            <w:pPr>
              <w:spacing w:after="0" w:line="240" w:lineRule="auto"/>
              <w:rPr>
                <w:rFonts w:eastAsia="Times New Roman"/>
                <w:sz w:val="20"/>
                <w:szCs w:val="20"/>
              </w:rPr>
            </w:pPr>
            <w:r w:rsidRPr="00A56EC1">
              <w:rPr>
                <w:rFonts w:eastAsia="Times New Roman"/>
                <w:sz w:val="20"/>
                <w:szCs w:val="20"/>
              </w:rPr>
              <w:t>2</w:t>
            </w:r>
          </w:p>
        </w:tc>
        <w:tc>
          <w:tcPr>
            <w:tcW w:w="1159" w:type="dxa"/>
            <w:vAlign w:val="center"/>
          </w:tcPr>
          <w:p w:rsidR="00A56EC1" w:rsidRPr="00A56EC1" w:rsidRDefault="00A56EC1" w:rsidP="00A712E1">
            <w:pPr>
              <w:spacing w:after="0" w:line="240" w:lineRule="auto"/>
              <w:rPr>
                <w:rFonts w:eastAsia="Times New Roman"/>
                <w:b/>
                <w:sz w:val="20"/>
                <w:szCs w:val="20"/>
              </w:rPr>
            </w:pPr>
            <w:r w:rsidRPr="00A56EC1">
              <w:rPr>
                <w:rFonts w:eastAsia="Times New Roman"/>
                <w:b/>
                <w:sz w:val="20"/>
                <w:szCs w:val="20"/>
              </w:rPr>
              <w:t xml:space="preserve">с 1 июля 2024 года </w:t>
            </w:r>
          </w:p>
          <w:p w:rsidR="00A56EC1" w:rsidRPr="00A56EC1" w:rsidRDefault="00A56EC1" w:rsidP="00A712E1">
            <w:pPr>
              <w:spacing w:after="0" w:line="240" w:lineRule="auto"/>
              <w:rPr>
                <w:rFonts w:eastAsia="Times New Roman"/>
                <w:sz w:val="20"/>
                <w:szCs w:val="20"/>
              </w:rPr>
            </w:pPr>
            <w:r w:rsidRPr="00A56EC1">
              <w:rPr>
                <w:rFonts w:eastAsia="Times New Roman"/>
                <w:b/>
                <w:sz w:val="20"/>
                <w:szCs w:val="20"/>
              </w:rPr>
              <w:t>по 31 декабря 2024 года</w:t>
            </w:r>
          </w:p>
        </w:tc>
        <w:tc>
          <w:tcPr>
            <w:tcW w:w="132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0,56162</w:t>
            </w:r>
          </w:p>
        </w:tc>
        <w:tc>
          <w:tcPr>
            <w:tcW w:w="1543"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0,28361</w:t>
            </w:r>
          </w:p>
        </w:tc>
        <w:tc>
          <w:tcPr>
            <w:tcW w:w="1418"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0,53699</w:t>
            </w:r>
          </w:p>
        </w:tc>
        <w:tc>
          <w:tcPr>
            <w:tcW w:w="1546"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0,18472</w:t>
            </w:r>
          </w:p>
        </w:tc>
        <w:tc>
          <w:tcPr>
            <w:tcW w:w="156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0,18472</w:t>
            </w:r>
          </w:p>
        </w:tc>
      </w:tr>
      <w:tr w:rsidR="00A56EC1" w:rsidRPr="00A56EC1" w:rsidTr="00017B45">
        <w:trPr>
          <w:trHeight w:val="227"/>
        </w:trPr>
        <w:tc>
          <w:tcPr>
            <w:tcW w:w="1676" w:type="dxa"/>
            <w:gridSpan w:val="2"/>
            <w:vAlign w:val="center"/>
          </w:tcPr>
          <w:p w:rsidR="00A56EC1" w:rsidRPr="00A56EC1" w:rsidRDefault="00A56EC1" w:rsidP="00A712E1">
            <w:pPr>
              <w:spacing w:after="0" w:line="240" w:lineRule="auto"/>
              <w:rPr>
                <w:rFonts w:eastAsia="Times New Roman"/>
                <w:sz w:val="20"/>
                <w:szCs w:val="20"/>
              </w:rPr>
            </w:pPr>
            <w:r w:rsidRPr="00A56EC1">
              <w:rPr>
                <w:rFonts w:eastAsia="Times New Roman"/>
                <w:i/>
                <w:sz w:val="20"/>
                <w:szCs w:val="20"/>
              </w:rPr>
              <w:t>Рост тарифа к предыдущему периоду в %</w:t>
            </w:r>
          </w:p>
        </w:tc>
        <w:tc>
          <w:tcPr>
            <w:tcW w:w="132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114,7</w:t>
            </w:r>
          </w:p>
        </w:tc>
        <w:tc>
          <w:tcPr>
            <w:tcW w:w="1543"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196,1</w:t>
            </w:r>
          </w:p>
        </w:tc>
        <w:tc>
          <w:tcPr>
            <w:tcW w:w="1418"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117,9</w:t>
            </w:r>
          </w:p>
        </w:tc>
        <w:tc>
          <w:tcPr>
            <w:tcW w:w="1546"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73,2</w:t>
            </w:r>
          </w:p>
        </w:tc>
        <w:tc>
          <w:tcPr>
            <w:tcW w:w="156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74,5</w:t>
            </w:r>
          </w:p>
        </w:tc>
      </w:tr>
      <w:tr w:rsidR="00A56EC1" w:rsidRPr="00A56EC1" w:rsidTr="00017B45">
        <w:trPr>
          <w:trHeight w:val="573"/>
        </w:trPr>
        <w:tc>
          <w:tcPr>
            <w:tcW w:w="517"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2</w:t>
            </w:r>
          </w:p>
        </w:tc>
        <w:tc>
          <w:tcPr>
            <w:tcW w:w="1159" w:type="dxa"/>
            <w:vAlign w:val="center"/>
          </w:tcPr>
          <w:p w:rsidR="00A56EC1" w:rsidRPr="00A56EC1" w:rsidRDefault="00A56EC1" w:rsidP="00A712E1">
            <w:pPr>
              <w:spacing w:after="0" w:line="240" w:lineRule="auto"/>
              <w:rPr>
                <w:rFonts w:eastAsia="Times New Roman"/>
                <w:b/>
                <w:sz w:val="20"/>
                <w:szCs w:val="20"/>
              </w:rPr>
            </w:pPr>
            <w:r w:rsidRPr="00A56EC1">
              <w:rPr>
                <w:rFonts w:eastAsia="Times New Roman"/>
                <w:b/>
                <w:sz w:val="20"/>
                <w:szCs w:val="20"/>
              </w:rPr>
              <w:t xml:space="preserve">с 1 января 2025 года </w:t>
            </w:r>
          </w:p>
          <w:p w:rsidR="00A56EC1" w:rsidRPr="00A56EC1" w:rsidRDefault="00A56EC1" w:rsidP="00A712E1">
            <w:pPr>
              <w:spacing w:after="0" w:line="240" w:lineRule="auto"/>
              <w:rPr>
                <w:rFonts w:eastAsia="Times New Roman"/>
                <w:sz w:val="20"/>
                <w:szCs w:val="20"/>
              </w:rPr>
            </w:pPr>
            <w:r w:rsidRPr="00A56EC1">
              <w:rPr>
                <w:rFonts w:eastAsia="Times New Roman"/>
                <w:b/>
                <w:sz w:val="20"/>
                <w:szCs w:val="20"/>
              </w:rPr>
              <w:t>по 30 июня 2025 года</w:t>
            </w:r>
          </w:p>
        </w:tc>
        <w:tc>
          <w:tcPr>
            <w:tcW w:w="132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0,53058</w:t>
            </w:r>
          </w:p>
        </w:tc>
        <w:tc>
          <w:tcPr>
            <w:tcW w:w="1543"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0,28297</w:t>
            </w:r>
          </w:p>
        </w:tc>
        <w:tc>
          <w:tcPr>
            <w:tcW w:w="1418"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0,53699</w:t>
            </w:r>
          </w:p>
        </w:tc>
        <w:tc>
          <w:tcPr>
            <w:tcW w:w="1546"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0,18472</w:t>
            </w:r>
          </w:p>
        </w:tc>
        <w:tc>
          <w:tcPr>
            <w:tcW w:w="156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0,18472</w:t>
            </w:r>
          </w:p>
        </w:tc>
      </w:tr>
      <w:tr w:rsidR="00A56EC1" w:rsidRPr="00A56EC1" w:rsidTr="00017B45">
        <w:trPr>
          <w:trHeight w:val="491"/>
        </w:trPr>
        <w:tc>
          <w:tcPr>
            <w:tcW w:w="1676" w:type="dxa"/>
            <w:gridSpan w:val="2"/>
            <w:vAlign w:val="center"/>
          </w:tcPr>
          <w:p w:rsidR="00A56EC1" w:rsidRPr="00A56EC1" w:rsidRDefault="00A56EC1" w:rsidP="00A712E1">
            <w:pPr>
              <w:spacing w:after="0" w:line="240" w:lineRule="auto"/>
              <w:rPr>
                <w:rFonts w:eastAsia="Times New Roman"/>
                <w:i/>
                <w:sz w:val="20"/>
                <w:szCs w:val="20"/>
              </w:rPr>
            </w:pPr>
            <w:r w:rsidRPr="00A56EC1">
              <w:rPr>
                <w:rFonts w:eastAsia="Times New Roman"/>
                <w:i/>
                <w:sz w:val="20"/>
                <w:szCs w:val="20"/>
              </w:rPr>
              <w:t>Рост тарифа к предыдущему периоду в %</w:t>
            </w:r>
          </w:p>
        </w:tc>
        <w:tc>
          <w:tcPr>
            <w:tcW w:w="132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94,5</w:t>
            </w:r>
          </w:p>
        </w:tc>
        <w:tc>
          <w:tcPr>
            <w:tcW w:w="1543"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99,8</w:t>
            </w:r>
          </w:p>
        </w:tc>
        <w:tc>
          <w:tcPr>
            <w:tcW w:w="1418"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46"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6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r>
      <w:tr w:rsidR="00A56EC1" w:rsidRPr="00A56EC1" w:rsidTr="00017B45">
        <w:trPr>
          <w:trHeight w:val="573"/>
        </w:trPr>
        <w:tc>
          <w:tcPr>
            <w:tcW w:w="517" w:type="dxa"/>
            <w:vAlign w:val="center"/>
          </w:tcPr>
          <w:p w:rsidR="00A56EC1" w:rsidRPr="00A56EC1" w:rsidRDefault="00A56EC1" w:rsidP="00A712E1">
            <w:pPr>
              <w:spacing w:after="0" w:line="240" w:lineRule="auto"/>
              <w:rPr>
                <w:rFonts w:eastAsia="Times New Roman"/>
                <w:color w:val="000000"/>
                <w:sz w:val="20"/>
                <w:szCs w:val="20"/>
              </w:rPr>
            </w:pPr>
            <w:r w:rsidRPr="00A56EC1">
              <w:rPr>
                <w:rFonts w:eastAsia="Times New Roman"/>
                <w:color w:val="000000"/>
                <w:sz w:val="20"/>
                <w:szCs w:val="20"/>
              </w:rPr>
              <w:t>3</w:t>
            </w:r>
          </w:p>
        </w:tc>
        <w:tc>
          <w:tcPr>
            <w:tcW w:w="1159" w:type="dxa"/>
            <w:vAlign w:val="center"/>
          </w:tcPr>
          <w:p w:rsidR="00A56EC1" w:rsidRPr="00A56EC1" w:rsidRDefault="00A56EC1" w:rsidP="00A712E1">
            <w:pPr>
              <w:spacing w:after="0" w:line="240" w:lineRule="auto"/>
              <w:rPr>
                <w:rFonts w:eastAsia="Times New Roman"/>
                <w:b/>
                <w:sz w:val="20"/>
                <w:szCs w:val="20"/>
              </w:rPr>
            </w:pPr>
            <w:r w:rsidRPr="00A56EC1">
              <w:rPr>
                <w:rFonts w:eastAsia="Times New Roman"/>
                <w:b/>
                <w:sz w:val="20"/>
                <w:szCs w:val="20"/>
              </w:rPr>
              <w:t xml:space="preserve">с 1 июля 2025 года </w:t>
            </w:r>
          </w:p>
          <w:p w:rsidR="00A56EC1" w:rsidRPr="00A56EC1" w:rsidRDefault="00A56EC1" w:rsidP="00A712E1">
            <w:pPr>
              <w:spacing w:after="0" w:line="240" w:lineRule="auto"/>
              <w:rPr>
                <w:rFonts w:eastAsia="Times New Roman"/>
                <w:sz w:val="20"/>
                <w:szCs w:val="20"/>
              </w:rPr>
            </w:pPr>
            <w:r w:rsidRPr="00A56EC1">
              <w:rPr>
                <w:rFonts w:eastAsia="Times New Roman"/>
                <w:b/>
                <w:sz w:val="20"/>
                <w:szCs w:val="20"/>
              </w:rPr>
              <w:t>по 31 декабря 2025 года</w:t>
            </w:r>
          </w:p>
        </w:tc>
        <w:tc>
          <w:tcPr>
            <w:tcW w:w="132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0,53058</w:t>
            </w:r>
          </w:p>
        </w:tc>
        <w:tc>
          <w:tcPr>
            <w:tcW w:w="1543"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0,28297</w:t>
            </w:r>
          </w:p>
        </w:tc>
        <w:tc>
          <w:tcPr>
            <w:tcW w:w="1418"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0,72014</w:t>
            </w:r>
          </w:p>
        </w:tc>
        <w:tc>
          <w:tcPr>
            <w:tcW w:w="1546"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0,42669</w:t>
            </w:r>
          </w:p>
        </w:tc>
        <w:tc>
          <w:tcPr>
            <w:tcW w:w="1565" w:type="dxa"/>
            <w:vAlign w:val="center"/>
          </w:tcPr>
          <w:p w:rsidR="00A56EC1" w:rsidRPr="00A56EC1" w:rsidRDefault="00A56EC1" w:rsidP="00A712E1">
            <w:pPr>
              <w:spacing w:after="0" w:line="240" w:lineRule="auto"/>
              <w:rPr>
                <w:rFonts w:eastAsia="Times New Roman"/>
                <w:b/>
                <w:color w:val="000000"/>
                <w:sz w:val="20"/>
                <w:szCs w:val="20"/>
              </w:rPr>
            </w:pPr>
            <w:r w:rsidRPr="00A56EC1">
              <w:rPr>
                <w:rFonts w:eastAsia="Times New Roman"/>
                <w:b/>
                <w:color w:val="000000"/>
                <w:sz w:val="20"/>
                <w:szCs w:val="20"/>
              </w:rPr>
              <w:t>0,41413</w:t>
            </w:r>
          </w:p>
        </w:tc>
      </w:tr>
      <w:tr w:rsidR="00A56EC1" w:rsidRPr="00A56EC1" w:rsidTr="00017B45">
        <w:trPr>
          <w:trHeight w:val="125"/>
        </w:trPr>
        <w:tc>
          <w:tcPr>
            <w:tcW w:w="1676" w:type="dxa"/>
            <w:gridSpan w:val="2"/>
            <w:vAlign w:val="center"/>
          </w:tcPr>
          <w:p w:rsidR="00A56EC1" w:rsidRPr="00A56EC1" w:rsidRDefault="00A56EC1" w:rsidP="00A712E1">
            <w:pPr>
              <w:spacing w:after="0" w:line="240" w:lineRule="auto"/>
              <w:rPr>
                <w:rFonts w:eastAsia="Times New Roman"/>
                <w:i/>
                <w:sz w:val="20"/>
                <w:szCs w:val="20"/>
              </w:rPr>
            </w:pPr>
            <w:r w:rsidRPr="00A56EC1">
              <w:rPr>
                <w:rFonts w:eastAsia="Times New Roman"/>
                <w:i/>
                <w:sz w:val="20"/>
                <w:szCs w:val="20"/>
              </w:rPr>
              <w:t>Рост тарифа к предыдущему периоду в %</w:t>
            </w:r>
          </w:p>
        </w:tc>
        <w:tc>
          <w:tcPr>
            <w:tcW w:w="132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543"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100,0</w:t>
            </w:r>
          </w:p>
        </w:tc>
        <w:tc>
          <w:tcPr>
            <w:tcW w:w="1418"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134,1</w:t>
            </w:r>
          </w:p>
        </w:tc>
        <w:tc>
          <w:tcPr>
            <w:tcW w:w="1546"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231,0</w:t>
            </w:r>
          </w:p>
        </w:tc>
        <w:tc>
          <w:tcPr>
            <w:tcW w:w="1565" w:type="dxa"/>
            <w:vAlign w:val="center"/>
          </w:tcPr>
          <w:p w:rsidR="00A56EC1" w:rsidRPr="00A56EC1" w:rsidRDefault="00A56EC1" w:rsidP="00A712E1">
            <w:pPr>
              <w:spacing w:after="0" w:line="240" w:lineRule="auto"/>
              <w:rPr>
                <w:rFonts w:eastAsia="Times New Roman"/>
                <w:i/>
                <w:color w:val="000000"/>
                <w:sz w:val="20"/>
                <w:szCs w:val="20"/>
              </w:rPr>
            </w:pPr>
            <w:r w:rsidRPr="00A56EC1">
              <w:rPr>
                <w:rFonts w:eastAsia="Times New Roman"/>
                <w:i/>
                <w:color w:val="000000"/>
                <w:sz w:val="20"/>
                <w:szCs w:val="20"/>
              </w:rPr>
              <w:t>224,2</w:t>
            </w:r>
          </w:p>
        </w:tc>
      </w:tr>
    </w:tbl>
    <w:p w:rsidR="00A712E1" w:rsidRPr="002F2797" w:rsidRDefault="00A712E1" w:rsidP="00A712E1">
      <w:pPr>
        <w:spacing w:after="0" w:line="240" w:lineRule="auto"/>
        <w:rPr>
          <w:rFonts w:eastAsia="Times New Roman"/>
          <w:sz w:val="20"/>
          <w:szCs w:val="20"/>
        </w:rPr>
      </w:pPr>
    </w:p>
    <w:p w:rsidR="00A712E1" w:rsidRPr="001910AA" w:rsidRDefault="00A712E1" w:rsidP="00A56EC1">
      <w:pPr>
        <w:pStyle w:val="4"/>
      </w:pPr>
      <w:bookmarkStart w:id="29" w:name="_Toc193810531"/>
      <w:r w:rsidRPr="00A56EC1">
        <w:t>2.1.4.2. Анализ уровня сбытовых надбавок и структуры</w:t>
      </w:r>
      <w:r w:rsidRPr="001910AA">
        <w:t xml:space="preserve"> НВВ</w:t>
      </w:r>
      <w:bookmarkEnd w:id="29"/>
      <w:r w:rsidRPr="001910AA">
        <w:t xml:space="preserve"> </w:t>
      </w:r>
    </w:p>
    <w:p w:rsidR="00A712E1" w:rsidRPr="002F2797" w:rsidRDefault="00A712E1" w:rsidP="00A712E1">
      <w:pPr>
        <w:autoSpaceDE w:val="0"/>
        <w:autoSpaceDN w:val="0"/>
        <w:spacing w:after="0" w:line="240" w:lineRule="auto"/>
        <w:ind w:firstLine="567"/>
        <w:jc w:val="both"/>
        <w:rPr>
          <w:rFonts w:eastAsia="Times New Roman"/>
          <w:szCs w:val="28"/>
        </w:rPr>
      </w:pPr>
      <w:r w:rsidRPr="002F2797">
        <w:rPr>
          <w:rFonts w:eastAsia="Times New Roman"/>
          <w:szCs w:val="28"/>
        </w:rPr>
        <w:t>До 2018 года формирование НВВ гарантирующего поставщика осуществлялось методом экономически обоснованных затрат или методом индексации тарифов. В 2018 – 2019 гг. произведен поэтапный переход на формирование НВВ гарантирующего поставщика методом сравнения аналогов (201</w:t>
      </w:r>
      <w:r>
        <w:rPr>
          <w:rFonts w:eastAsia="Times New Roman"/>
          <w:szCs w:val="28"/>
        </w:rPr>
        <w:t>8 – доля эталона 0,16, 2019</w:t>
      </w:r>
      <w:r w:rsidRPr="002F2797">
        <w:rPr>
          <w:rFonts w:eastAsia="Times New Roman"/>
          <w:szCs w:val="28"/>
        </w:rPr>
        <w:t xml:space="preserve"> – доля эталона 0,52). Начиная с 2020 </w:t>
      </w:r>
      <w:r w:rsidRPr="002F2797">
        <w:rPr>
          <w:rFonts w:eastAsia="Times New Roman"/>
          <w:szCs w:val="28"/>
        </w:rPr>
        <w:lastRenderedPageBreak/>
        <w:t>года формирование НВВ гарантирующего поставщика АО</w:t>
      </w:r>
      <w:r>
        <w:rPr>
          <w:rFonts w:eastAsia="Times New Roman"/>
          <w:szCs w:val="28"/>
        </w:rPr>
        <w:t> </w:t>
      </w:r>
      <w:r w:rsidRPr="002F2797">
        <w:rPr>
          <w:rFonts w:eastAsia="Times New Roman"/>
          <w:szCs w:val="28"/>
        </w:rPr>
        <w:t xml:space="preserve">«Новосибирскэнергосбыт» в полном объеме осуществляется методом сравнения аналогов (доля эталона равна 1). </w:t>
      </w:r>
      <w:r>
        <w:rPr>
          <w:rFonts w:eastAsia="Times New Roman"/>
          <w:szCs w:val="28"/>
        </w:rPr>
        <w:t>Р</w:t>
      </w:r>
      <w:r w:rsidRPr="002F2797">
        <w:rPr>
          <w:rFonts w:eastAsia="Times New Roman"/>
          <w:szCs w:val="28"/>
        </w:rPr>
        <w:t>ост НВВ в 202</w:t>
      </w:r>
      <w:r>
        <w:rPr>
          <w:rFonts w:eastAsia="Times New Roman"/>
          <w:szCs w:val="28"/>
        </w:rPr>
        <w:t>5</w:t>
      </w:r>
      <w:r w:rsidRPr="002F2797">
        <w:rPr>
          <w:rFonts w:eastAsia="Times New Roman"/>
          <w:szCs w:val="28"/>
        </w:rPr>
        <w:t xml:space="preserve"> году по отношению к 202</w:t>
      </w:r>
      <w:r>
        <w:rPr>
          <w:rFonts w:eastAsia="Times New Roman"/>
          <w:szCs w:val="28"/>
        </w:rPr>
        <w:t>4</w:t>
      </w:r>
      <w:r w:rsidRPr="002F2797">
        <w:rPr>
          <w:rFonts w:eastAsia="Times New Roman"/>
          <w:szCs w:val="28"/>
        </w:rPr>
        <w:t xml:space="preserve"> году составил </w:t>
      </w:r>
      <w:r>
        <w:rPr>
          <w:rFonts w:eastAsia="Times New Roman"/>
          <w:szCs w:val="28"/>
        </w:rPr>
        <w:t>118,0</w:t>
      </w:r>
      <w:r w:rsidRPr="002F2797">
        <w:rPr>
          <w:rFonts w:eastAsia="Times New Roman"/>
          <w:szCs w:val="28"/>
        </w:rPr>
        <w:t xml:space="preserve">%, а по отношению к 2017 году, когда формирование НВВ осуществлялось методом экономически обоснованных затрат – </w:t>
      </w:r>
      <w:r>
        <w:rPr>
          <w:rFonts w:eastAsia="Times New Roman"/>
          <w:szCs w:val="28"/>
        </w:rPr>
        <w:t>366,7</w:t>
      </w:r>
      <w:r w:rsidRPr="002F2797">
        <w:rPr>
          <w:rFonts w:eastAsia="Times New Roman"/>
          <w:szCs w:val="28"/>
        </w:rPr>
        <w:t>%. Рост сбытовых надбавок (в среднем за год) в 202</w:t>
      </w:r>
      <w:r>
        <w:rPr>
          <w:rFonts w:eastAsia="Times New Roman"/>
          <w:szCs w:val="28"/>
        </w:rPr>
        <w:t>5</w:t>
      </w:r>
      <w:r w:rsidRPr="002F2797">
        <w:rPr>
          <w:rFonts w:eastAsia="Times New Roman"/>
          <w:szCs w:val="28"/>
        </w:rPr>
        <w:t xml:space="preserve"> году по отношению к 2017 году в разрезе групп потребителей составил:</w:t>
      </w:r>
    </w:p>
    <w:p w:rsidR="00A712E1" w:rsidRPr="002F2797" w:rsidRDefault="00A712E1" w:rsidP="00A712E1">
      <w:pPr>
        <w:autoSpaceDE w:val="0"/>
        <w:autoSpaceDN w:val="0"/>
        <w:adjustRightInd w:val="0"/>
        <w:spacing w:after="0" w:line="240" w:lineRule="auto"/>
        <w:ind w:firstLine="567"/>
        <w:jc w:val="both"/>
        <w:rPr>
          <w:rFonts w:eastAsia="Times New Roman"/>
          <w:szCs w:val="28"/>
        </w:rPr>
      </w:pPr>
      <w:r w:rsidRPr="002F2797">
        <w:rPr>
          <w:rFonts w:eastAsia="Times New Roman"/>
          <w:szCs w:val="28"/>
        </w:rPr>
        <w:t xml:space="preserve">- по населению и приравненным к нему категориям потребителей – </w:t>
      </w:r>
      <w:r w:rsidRPr="004B0326">
        <w:rPr>
          <w:rFonts w:eastAsia="Times New Roman"/>
          <w:szCs w:val="28"/>
        </w:rPr>
        <w:t>173,1</w:t>
      </w:r>
      <w:r w:rsidRPr="002F2797">
        <w:rPr>
          <w:rFonts w:eastAsia="Times New Roman"/>
          <w:szCs w:val="28"/>
        </w:rPr>
        <w:t>%;</w:t>
      </w:r>
    </w:p>
    <w:p w:rsidR="00A712E1" w:rsidRPr="002F2797" w:rsidRDefault="00A712E1" w:rsidP="00A712E1">
      <w:pPr>
        <w:autoSpaceDE w:val="0"/>
        <w:autoSpaceDN w:val="0"/>
        <w:adjustRightInd w:val="0"/>
        <w:spacing w:after="0" w:line="240" w:lineRule="auto"/>
        <w:ind w:firstLine="567"/>
        <w:jc w:val="both"/>
        <w:rPr>
          <w:rFonts w:eastAsia="Times New Roman"/>
          <w:szCs w:val="28"/>
        </w:rPr>
      </w:pPr>
      <w:r w:rsidRPr="002F2797">
        <w:rPr>
          <w:rFonts w:eastAsia="Times New Roman"/>
          <w:szCs w:val="28"/>
        </w:rPr>
        <w:t xml:space="preserve">- по сетевым организациям – </w:t>
      </w:r>
      <w:r>
        <w:rPr>
          <w:rFonts w:eastAsia="Times New Roman"/>
          <w:szCs w:val="28"/>
        </w:rPr>
        <w:t>543,4</w:t>
      </w:r>
      <w:r w:rsidRPr="002F2797">
        <w:rPr>
          <w:rFonts w:eastAsia="Times New Roman"/>
          <w:szCs w:val="28"/>
        </w:rPr>
        <w:t>%;</w:t>
      </w:r>
    </w:p>
    <w:p w:rsidR="00A712E1" w:rsidRPr="002F2797" w:rsidRDefault="00A712E1" w:rsidP="00A712E1">
      <w:pPr>
        <w:autoSpaceDE w:val="0"/>
        <w:autoSpaceDN w:val="0"/>
        <w:adjustRightInd w:val="0"/>
        <w:spacing w:after="0" w:line="240" w:lineRule="auto"/>
        <w:ind w:firstLine="567"/>
        <w:jc w:val="both"/>
        <w:rPr>
          <w:rFonts w:eastAsia="Times New Roman"/>
          <w:szCs w:val="28"/>
        </w:rPr>
      </w:pPr>
      <w:r w:rsidRPr="002F2797">
        <w:rPr>
          <w:rFonts w:eastAsia="Times New Roman"/>
          <w:szCs w:val="28"/>
        </w:rPr>
        <w:t xml:space="preserve">- по прочим потребителям – </w:t>
      </w:r>
      <w:r>
        <w:rPr>
          <w:rFonts w:eastAsia="Times New Roman"/>
          <w:szCs w:val="28"/>
        </w:rPr>
        <w:t>627,9</w:t>
      </w:r>
      <w:r w:rsidRPr="002F2797">
        <w:rPr>
          <w:rFonts w:eastAsia="Times New Roman"/>
          <w:szCs w:val="28"/>
        </w:rPr>
        <w:t xml:space="preserve">% (в среднем по всем подгруппам потребителей). </w:t>
      </w:r>
    </w:p>
    <w:p w:rsidR="00A712E1" w:rsidRPr="002F2797" w:rsidRDefault="00A712E1" w:rsidP="00A712E1">
      <w:pPr>
        <w:autoSpaceDE w:val="0"/>
        <w:autoSpaceDN w:val="0"/>
        <w:adjustRightInd w:val="0"/>
        <w:spacing w:after="0" w:line="240" w:lineRule="auto"/>
        <w:ind w:firstLine="567"/>
        <w:jc w:val="both"/>
        <w:rPr>
          <w:rFonts w:eastAsia="Times New Roman"/>
          <w:szCs w:val="28"/>
        </w:rPr>
      </w:pPr>
      <w:r w:rsidRPr="002F2797">
        <w:rPr>
          <w:rFonts w:eastAsia="Times New Roman"/>
          <w:szCs w:val="28"/>
        </w:rPr>
        <w:t>Рост средневзвешенной сбытовой надбавки по всем группам потребителей в 202</w:t>
      </w:r>
      <w:r>
        <w:rPr>
          <w:rFonts w:eastAsia="Times New Roman"/>
          <w:szCs w:val="28"/>
        </w:rPr>
        <w:t>5</w:t>
      </w:r>
      <w:r w:rsidRPr="002F2797">
        <w:rPr>
          <w:rFonts w:eastAsia="Times New Roman"/>
          <w:szCs w:val="28"/>
        </w:rPr>
        <w:t xml:space="preserve"> году по отношению к 2017 году составил </w:t>
      </w:r>
      <w:r w:rsidRPr="008A506F">
        <w:rPr>
          <w:rFonts w:eastAsia="Times New Roman"/>
          <w:szCs w:val="28"/>
        </w:rPr>
        <w:t>3,8</w:t>
      </w:r>
      <w:r w:rsidRPr="002F2797">
        <w:rPr>
          <w:rFonts w:eastAsia="Times New Roman"/>
          <w:szCs w:val="28"/>
        </w:rPr>
        <w:t xml:space="preserve"> раза, а по отношению к 202</w:t>
      </w:r>
      <w:r>
        <w:rPr>
          <w:rFonts w:eastAsia="Times New Roman"/>
          <w:szCs w:val="28"/>
        </w:rPr>
        <w:t>4</w:t>
      </w:r>
      <w:r w:rsidRPr="002F2797">
        <w:rPr>
          <w:rFonts w:eastAsia="Times New Roman"/>
          <w:szCs w:val="28"/>
        </w:rPr>
        <w:t xml:space="preserve"> году – 1,</w:t>
      </w:r>
      <w:r>
        <w:rPr>
          <w:rFonts w:eastAsia="Times New Roman"/>
          <w:szCs w:val="28"/>
        </w:rPr>
        <w:t>2</w:t>
      </w:r>
      <w:r w:rsidRPr="002F2797">
        <w:rPr>
          <w:rFonts w:eastAsia="Times New Roman"/>
          <w:szCs w:val="28"/>
        </w:rPr>
        <w:t xml:space="preserve"> раза.</w:t>
      </w:r>
    </w:p>
    <w:p w:rsidR="00A712E1" w:rsidRPr="002F2797" w:rsidRDefault="00A712E1" w:rsidP="00A712E1">
      <w:pPr>
        <w:autoSpaceDE w:val="0"/>
        <w:autoSpaceDN w:val="0"/>
        <w:adjustRightInd w:val="0"/>
        <w:spacing w:after="0" w:line="240" w:lineRule="auto"/>
        <w:rPr>
          <w:rFonts w:eastAsia="Times New Roman"/>
          <w:szCs w:val="28"/>
        </w:rPr>
      </w:pPr>
      <w:r>
        <w:rPr>
          <w:noProof/>
        </w:rPr>
        <w:drawing>
          <wp:inline distT="0" distB="0" distL="0" distR="0" wp14:anchorId="4C8CB443" wp14:editId="4CEC46C1">
            <wp:extent cx="5175739" cy="2895600"/>
            <wp:effectExtent l="0" t="0" r="635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A712E1" w:rsidRPr="002F2797" w:rsidRDefault="00A712E1" w:rsidP="00A712E1">
      <w:pPr>
        <w:autoSpaceDE w:val="0"/>
        <w:autoSpaceDN w:val="0"/>
        <w:adjustRightInd w:val="0"/>
        <w:spacing w:after="0" w:line="240" w:lineRule="auto"/>
        <w:ind w:firstLine="567"/>
        <w:jc w:val="both"/>
        <w:rPr>
          <w:rFonts w:eastAsia="Times New Roman"/>
          <w:szCs w:val="28"/>
        </w:rPr>
      </w:pPr>
      <w:r w:rsidRPr="002F2797">
        <w:rPr>
          <w:rFonts w:eastAsia="Times New Roman"/>
          <w:szCs w:val="28"/>
        </w:rPr>
        <w:t>Основными факторами роста являются переменные компоненты эталона затрат и расчетная предпринимательская прибыль. Структура эталонной выручки АО «Новосибирскэнергосбыт», сформированной на 202</w:t>
      </w:r>
      <w:r>
        <w:rPr>
          <w:rFonts w:eastAsia="Times New Roman"/>
          <w:szCs w:val="28"/>
        </w:rPr>
        <w:t>5</w:t>
      </w:r>
      <w:r w:rsidRPr="002F2797">
        <w:rPr>
          <w:rFonts w:eastAsia="Times New Roman"/>
          <w:szCs w:val="28"/>
        </w:rPr>
        <w:t xml:space="preserve"> год, по сравнению с аналогичными показателями 2017 года, выглядит следующим образом:</w:t>
      </w:r>
    </w:p>
    <w:p w:rsidR="00A712E1" w:rsidRDefault="00D02EF2" w:rsidP="00D02EF2">
      <w:pPr>
        <w:autoSpaceDE w:val="0"/>
        <w:autoSpaceDN w:val="0"/>
        <w:adjustRightInd w:val="0"/>
        <w:spacing w:after="0" w:line="240" w:lineRule="auto"/>
        <w:jc w:val="right"/>
        <w:rPr>
          <w:noProof/>
        </w:rPr>
      </w:pPr>
      <w:r>
        <w:rPr>
          <w:noProof/>
        </w:rPr>
        <w:drawing>
          <wp:inline distT="0" distB="0" distL="0" distR="0" wp14:anchorId="1F6340D8" wp14:editId="3DBB5312">
            <wp:extent cx="3089030" cy="2151185"/>
            <wp:effectExtent l="0" t="0" r="0" b="1905"/>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r w:rsidRPr="00D02EF2">
        <w:rPr>
          <w:noProof/>
          <w:sz w:val="24"/>
        </w:rPr>
        <w:drawing>
          <wp:inline distT="0" distB="0" distL="0" distR="0" wp14:anchorId="566EA0A5" wp14:editId="6D15C23D">
            <wp:extent cx="2702170" cy="2104292"/>
            <wp:effectExtent l="0" t="0" r="3175"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A712E1" w:rsidRPr="002F2797" w:rsidRDefault="00A712E1" w:rsidP="00A712E1">
      <w:pPr>
        <w:autoSpaceDE w:val="0"/>
        <w:autoSpaceDN w:val="0"/>
        <w:adjustRightInd w:val="0"/>
        <w:spacing w:after="0" w:line="240" w:lineRule="auto"/>
        <w:rPr>
          <w:rFonts w:eastAsia="Times New Roman"/>
          <w:szCs w:val="28"/>
        </w:rPr>
      </w:pPr>
    </w:p>
    <w:p w:rsidR="00A712E1" w:rsidRPr="001910AA" w:rsidRDefault="00A712E1" w:rsidP="00A712E1">
      <w:pPr>
        <w:spacing w:before="120" w:line="240" w:lineRule="auto"/>
        <w:ind w:firstLine="709"/>
        <w:rPr>
          <w:rFonts w:eastAsia="Times New Roman"/>
          <w:b/>
          <w:szCs w:val="28"/>
        </w:rPr>
      </w:pPr>
      <w:r w:rsidRPr="001910AA">
        <w:rPr>
          <w:rFonts w:eastAsia="Times New Roman"/>
          <w:b/>
          <w:szCs w:val="28"/>
        </w:rPr>
        <w:t xml:space="preserve">Сбытовые надбавки по группе «население» </w:t>
      </w: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t>Динамика сбытовых надбавок по группе «население» по                              АО «Новосибирскэнергосбыт» за 201</w:t>
      </w:r>
      <w:r>
        <w:rPr>
          <w:rFonts w:eastAsia="Times New Roman"/>
          <w:szCs w:val="28"/>
        </w:rPr>
        <w:t>5</w:t>
      </w:r>
      <w:r w:rsidRPr="002F2797">
        <w:rPr>
          <w:rFonts w:eastAsia="Times New Roman"/>
          <w:szCs w:val="28"/>
        </w:rPr>
        <w:t xml:space="preserve"> – 202</w:t>
      </w:r>
      <w:r>
        <w:rPr>
          <w:rFonts w:eastAsia="Times New Roman"/>
          <w:szCs w:val="28"/>
        </w:rPr>
        <w:t>5</w:t>
      </w:r>
      <w:r w:rsidRPr="002F2797">
        <w:rPr>
          <w:rFonts w:eastAsia="Times New Roman"/>
          <w:szCs w:val="28"/>
        </w:rPr>
        <w:t xml:space="preserve"> гг. представлена на графике:</w:t>
      </w:r>
    </w:p>
    <w:p w:rsidR="00A712E1" w:rsidRDefault="00A712E1" w:rsidP="00A712E1">
      <w:pPr>
        <w:spacing w:after="0" w:line="240" w:lineRule="auto"/>
        <w:rPr>
          <w:rFonts w:eastAsia="Times New Roman"/>
          <w:szCs w:val="28"/>
        </w:rPr>
      </w:pPr>
      <w:r>
        <w:rPr>
          <w:noProof/>
        </w:rPr>
        <w:drawing>
          <wp:inline distT="0" distB="0" distL="0" distR="0" wp14:anchorId="76C9985D" wp14:editId="2EE731E1">
            <wp:extent cx="5804453" cy="3347499"/>
            <wp:effectExtent l="0" t="0" r="6350" b="5715"/>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A712E1" w:rsidRPr="002F2797" w:rsidRDefault="00A712E1" w:rsidP="00A712E1">
      <w:pPr>
        <w:tabs>
          <w:tab w:val="left" w:pos="952"/>
        </w:tabs>
        <w:spacing w:after="0" w:line="240" w:lineRule="auto"/>
        <w:jc w:val="both"/>
        <w:rPr>
          <w:rFonts w:eastAsia="Times New Roman"/>
          <w:szCs w:val="28"/>
        </w:rPr>
      </w:pPr>
      <w:r w:rsidRPr="002F2797">
        <w:rPr>
          <w:rFonts w:eastAsia="Times New Roman"/>
          <w:szCs w:val="28"/>
        </w:rPr>
        <w:tab/>
      </w:r>
      <w:r w:rsidRPr="0080074A">
        <w:rPr>
          <w:rFonts w:eastAsia="Times New Roman"/>
          <w:szCs w:val="28"/>
        </w:rPr>
        <w:t>Ниже на графиках приведены</w:t>
      </w:r>
      <w:r w:rsidRPr="002F2797">
        <w:rPr>
          <w:rFonts w:eastAsia="Times New Roman"/>
          <w:szCs w:val="28"/>
        </w:rPr>
        <w:t xml:space="preserve"> сравнительные динамики сбытовых надбавок среди крупных городов Российской Федерации с населением более 1 млн. человек в разрезе групп потребителей, в таблицах под графиками указаны размеры сбытовых надбавок. </w:t>
      </w:r>
    </w:p>
    <w:p w:rsidR="00A712E1" w:rsidRDefault="00A712E1" w:rsidP="00A712E1">
      <w:pPr>
        <w:tabs>
          <w:tab w:val="left" w:pos="952"/>
        </w:tabs>
        <w:spacing w:after="0" w:line="240" w:lineRule="auto"/>
        <w:rPr>
          <w:rFonts w:eastAsia="Times New Roman"/>
          <w:b/>
          <w:i/>
          <w:szCs w:val="28"/>
        </w:rPr>
      </w:pPr>
    </w:p>
    <w:p w:rsidR="00A712E1" w:rsidRPr="002F2797" w:rsidRDefault="00A712E1" w:rsidP="00A712E1">
      <w:pPr>
        <w:spacing w:after="0" w:line="240" w:lineRule="auto"/>
        <w:jc w:val="both"/>
        <w:rPr>
          <w:rFonts w:eastAsia="Times New Roman"/>
          <w:szCs w:val="28"/>
        </w:rPr>
      </w:pPr>
      <w:r>
        <w:rPr>
          <w:noProof/>
        </w:rPr>
        <w:drawing>
          <wp:inline distT="0" distB="0" distL="0" distR="0" wp14:anchorId="76715595" wp14:editId="74ED34F4">
            <wp:extent cx="6152515" cy="3473450"/>
            <wp:effectExtent l="0" t="0" r="635" b="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A712E1" w:rsidRDefault="00A712E1" w:rsidP="00A712E1">
      <w:pPr>
        <w:spacing w:after="0" w:line="240" w:lineRule="auto"/>
        <w:ind w:firstLine="709"/>
        <w:jc w:val="both"/>
        <w:rPr>
          <w:rFonts w:eastAsia="Times New Roman"/>
          <w:szCs w:val="28"/>
        </w:rPr>
      </w:pP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lastRenderedPageBreak/>
        <w:t>Следует отметить, что уровень сбытовых надбавок по группе «население» по городу Новосибирск и Новосибирская область находится на уровне выше минимального, но существенно ниже максимального размера сбытовых надбавок среди городов-миллионников:</w:t>
      </w:r>
    </w:p>
    <w:p w:rsidR="00A712E1" w:rsidRPr="002F2797" w:rsidRDefault="00A712E1" w:rsidP="00A712E1">
      <w:pPr>
        <w:spacing w:after="0" w:line="240" w:lineRule="auto"/>
        <w:ind w:firstLine="709"/>
        <w:jc w:val="right"/>
        <w:rPr>
          <w:rFonts w:eastAsia="Times New Roman"/>
          <w:i/>
          <w:szCs w:val="28"/>
        </w:rPr>
      </w:pPr>
      <w:r w:rsidRPr="002F2797">
        <w:rPr>
          <w:rFonts w:eastAsia="Times New Roman"/>
          <w:i/>
          <w:szCs w:val="28"/>
        </w:rPr>
        <w:t>руб./кВтч</w:t>
      </w:r>
    </w:p>
    <w:tbl>
      <w:tblPr>
        <w:tblW w:w="916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4"/>
        <w:gridCol w:w="1439"/>
        <w:gridCol w:w="1047"/>
        <w:gridCol w:w="1307"/>
        <w:gridCol w:w="1308"/>
        <w:gridCol w:w="1307"/>
        <w:gridCol w:w="1308"/>
      </w:tblGrid>
      <w:tr w:rsidR="00A712E1" w:rsidRPr="00D3301F" w:rsidTr="00D3301F">
        <w:trPr>
          <w:trHeight w:val="261"/>
        </w:trPr>
        <w:tc>
          <w:tcPr>
            <w:tcW w:w="1444" w:type="dxa"/>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1439"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2020 г.</w:t>
            </w:r>
          </w:p>
        </w:tc>
        <w:tc>
          <w:tcPr>
            <w:tcW w:w="104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2021 г.</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2022 г.</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2023 г.</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2024 г.</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2025 г.</w:t>
            </w:r>
          </w:p>
        </w:tc>
      </w:tr>
      <w:tr w:rsidR="00A712E1" w:rsidRPr="00D3301F" w:rsidTr="00D3301F">
        <w:trPr>
          <w:trHeight w:val="783"/>
        </w:trPr>
        <w:tc>
          <w:tcPr>
            <w:tcW w:w="1444" w:type="dxa"/>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1439"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0,89131</w:t>
            </w:r>
          </w:p>
        </w:tc>
        <w:tc>
          <w:tcPr>
            <w:tcW w:w="104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0,94301</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1,10558</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1,28823</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1,31071</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1,36143</w:t>
            </w:r>
          </w:p>
        </w:tc>
      </w:tr>
      <w:tr w:rsidR="00A712E1" w:rsidRPr="00D3301F" w:rsidTr="00D3301F">
        <w:trPr>
          <w:trHeight w:val="261"/>
        </w:trPr>
        <w:tc>
          <w:tcPr>
            <w:tcW w:w="1444" w:type="dxa"/>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 </w:t>
            </w:r>
          </w:p>
        </w:tc>
        <w:tc>
          <w:tcPr>
            <w:tcW w:w="1439"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- 0,37704</w:t>
            </w:r>
          </w:p>
        </w:tc>
        <w:tc>
          <w:tcPr>
            <w:tcW w:w="104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- 0,45388</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- 0,42379</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- 0,48959</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- 0,56162</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w:t>
            </w:r>
            <w:r w:rsidRPr="00D3301F">
              <w:rPr>
                <w:rFonts w:eastAsia="Times New Roman"/>
                <w:b/>
                <w:i/>
                <w:color w:val="000000"/>
                <w:sz w:val="20"/>
                <w:szCs w:val="20"/>
              </w:rPr>
              <w:t xml:space="preserve"> - 0,53058</w:t>
            </w:r>
          </w:p>
        </w:tc>
      </w:tr>
      <w:tr w:rsidR="00A712E1" w:rsidRPr="00D3301F" w:rsidTr="00D3301F">
        <w:trPr>
          <w:trHeight w:val="828"/>
        </w:trPr>
        <w:tc>
          <w:tcPr>
            <w:tcW w:w="1444" w:type="dxa"/>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1439"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Санкт-Петербург  - </w:t>
            </w:r>
            <w:r w:rsidRPr="00D3301F">
              <w:rPr>
                <w:rFonts w:eastAsia="Times New Roman"/>
                <w:b/>
                <w:i/>
                <w:color w:val="000000"/>
                <w:sz w:val="20"/>
                <w:szCs w:val="20"/>
              </w:rPr>
              <w:t>0,263</w:t>
            </w:r>
          </w:p>
        </w:tc>
        <w:tc>
          <w:tcPr>
            <w:tcW w:w="104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0,1899</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0,3331</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0,38178</w:t>
            </w:r>
          </w:p>
        </w:tc>
        <w:tc>
          <w:tcPr>
            <w:tcW w:w="1307"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0,45827</w:t>
            </w:r>
          </w:p>
        </w:tc>
        <w:tc>
          <w:tcPr>
            <w:tcW w:w="1308" w:type="dxa"/>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0,40973</w:t>
            </w:r>
          </w:p>
        </w:tc>
      </w:tr>
    </w:tbl>
    <w:p w:rsidR="00A712E1" w:rsidRPr="002F2797" w:rsidRDefault="00A712E1" w:rsidP="00A712E1">
      <w:pPr>
        <w:spacing w:after="0" w:line="240" w:lineRule="auto"/>
        <w:ind w:firstLine="709"/>
        <w:rPr>
          <w:rFonts w:eastAsia="Times New Roman"/>
          <w:b/>
          <w:i/>
          <w:szCs w:val="28"/>
        </w:rPr>
      </w:pPr>
    </w:p>
    <w:p w:rsidR="00A712E1" w:rsidRPr="00D729EE" w:rsidRDefault="00A712E1" w:rsidP="00A712E1">
      <w:pPr>
        <w:spacing w:after="0" w:line="240" w:lineRule="auto"/>
        <w:ind w:firstLine="709"/>
        <w:rPr>
          <w:rFonts w:eastAsia="Times New Roman"/>
          <w:b/>
          <w:sz w:val="24"/>
        </w:rPr>
      </w:pPr>
      <w:r w:rsidRPr="00D729EE">
        <w:rPr>
          <w:rFonts w:eastAsia="Times New Roman"/>
          <w:b/>
          <w:sz w:val="24"/>
        </w:rPr>
        <w:t>Сбытовые надбавки по группе</w:t>
      </w:r>
      <w:r w:rsidRPr="00D729EE">
        <w:rPr>
          <w:rFonts w:eastAsia="Times New Roman"/>
          <w:sz w:val="24"/>
        </w:rPr>
        <w:t xml:space="preserve"> </w:t>
      </w:r>
      <w:r w:rsidRPr="00D729EE">
        <w:rPr>
          <w:rFonts w:eastAsia="Times New Roman"/>
          <w:b/>
          <w:sz w:val="24"/>
        </w:rPr>
        <w:t>«сетевые организации, покупающие электрическую энергию для компенсации потерь электрической энергии»</w:t>
      </w:r>
    </w:p>
    <w:p w:rsidR="00A712E1" w:rsidRPr="002F2797" w:rsidRDefault="00A712E1" w:rsidP="00A712E1">
      <w:pPr>
        <w:spacing w:after="0" w:line="240" w:lineRule="auto"/>
        <w:rPr>
          <w:rFonts w:eastAsia="Times New Roman"/>
          <w:b/>
          <w:szCs w:val="28"/>
        </w:rPr>
      </w:pPr>
      <w:r>
        <w:rPr>
          <w:noProof/>
        </w:rPr>
        <w:drawing>
          <wp:inline distT="0" distB="0" distL="0" distR="0" wp14:anchorId="4B157059" wp14:editId="1083DBFA">
            <wp:extent cx="5380893" cy="3206262"/>
            <wp:effectExtent l="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t>Уровень сбытовых надбавок по группе «сетевые организации» по               АО «Новосибирскэнергосбыт» в сравнении с городами-миллионниками в 2017 – 2018 гг. соответствовал минимальному  значению, а в 2019 – 202</w:t>
      </w:r>
      <w:r>
        <w:rPr>
          <w:rFonts w:eastAsia="Times New Roman"/>
          <w:szCs w:val="28"/>
        </w:rPr>
        <w:t>5</w:t>
      </w:r>
      <w:r w:rsidRPr="002F2797">
        <w:rPr>
          <w:rFonts w:eastAsia="Times New Roman"/>
          <w:szCs w:val="28"/>
        </w:rPr>
        <w:t xml:space="preserve"> гг. незначительно превысил минимальный уровень, но находился значительно ниже максимального уровня.</w:t>
      </w:r>
    </w:p>
    <w:p w:rsidR="00A712E1" w:rsidRPr="002F2797" w:rsidRDefault="00A712E1" w:rsidP="00A712E1">
      <w:pPr>
        <w:spacing w:after="0" w:line="240" w:lineRule="auto"/>
        <w:ind w:firstLine="709"/>
        <w:jc w:val="right"/>
        <w:rPr>
          <w:rFonts w:eastAsia="Times New Roman"/>
          <w:i/>
          <w:szCs w:val="28"/>
        </w:rPr>
      </w:pPr>
      <w:r w:rsidRPr="002F2797">
        <w:rPr>
          <w:rFonts w:eastAsia="Times New Roman"/>
          <w:i/>
          <w:szCs w:val="28"/>
        </w:rPr>
        <w:t>руб./кВтч</w:t>
      </w:r>
    </w:p>
    <w:tbl>
      <w:tblPr>
        <w:tblW w:w="4902" w:type="pct"/>
        <w:tblLayout w:type="fixed"/>
        <w:tblLook w:val="04A0" w:firstRow="1" w:lastRow="0" w:firstColumn="1" w:lastColumn="0" w:noHBand="0" w:noVBand="1"/>
      </w:tblPr>
      <w:tblGrid>
        <w:gridCol w:w="1881"/>
        <w:gridCol w:w="1501"/>
        <w:gridCol w:w="1501"/>
        <w:gridCol w:w="1501"/>
        <w:gridCol w:w="1501"/>
        <w:gridCol w:w="1498"/>
      </w:tblGrid>
      <w:tr w:rsidR="00A712E1" w:rsidRPr="00D3301F" w:rsidTr="00F1041B">
        <w:trPr>
          <w:trHeight w:val="296"/>
        </w:trPr>
        <w:tc>
          <w:tcPr>
            <w:tcW w:w="100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800" w:type="pct"/>
            <w:tcBorders>
              <w:top w:val="single" w:sz="4" w:space="0" w:color="auto"/>
              <w:left w:val="nil"/>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2021 г.</w:t>
            </w:r>
          </w:p>
        </w:tc>
        <w:tc>
          <w:tcPr>
            <w:tcW w:w="800" w:type="pct"/>
            <w:tcBorders>
              <w:top w:val="single" w:sz="4" w:space="0" w:color="auto"/>
              <w:left w:val="nil"/>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2022 г.</w:t>
            </w:r>
          </w:p>
        </w:tc>
        <w:tc>
          <w:tcPr>
            <w:tcW w:w="800" w:type="pct"/>
            <w:tcBorders>
              <w:top w:val="single" w:sz="4" w:space="0" w:color="auto"/>
              <w:left w:val="nil"/>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2023 г.</w:t>
            </w:r>
          </w:p>
        </w:tc>
        <w:tc>
          <w:tcPr>
            <w:tcW w:w="800" w:type="pct"/>
            <w:tcBorders>
              <w:top w:val="single" w:sz="4" w:space="0" w:color="auto"/>
              <w:left w:val="nil"/>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2024 г.</w:t>
            </w:r>
          </w:p>
        </w:tc>
        <w:tc>
          <w:tcPr>
            <w:tcW w:w="799"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2025 г.</w:t>
            </w:r>
          </w:p>
        </w:tc>
      </w:tr>
      <w:tr w:rsidR="00A712E1" w:rsidRPr="00D3301F" w:rsidTr="00F1041B">
        <w:trPr>
          <w:trHeight w:val="645"/>
        </w:trPr>
        <w:tc>
          <w:tcPr>
            <w:tcW w:w="100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максимальная сбытовая надбавка </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2,14095</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5,82259</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1,96599</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b/>
                <w:i/>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4,69197</w:t>
            </w:r>
          </w:p>
        </w:tc>
        <w:tc>
          <w:tcPr>
            <w:tcW w:w="799" w:type="pct"/>
            <w:tcBorders>
              <w:top w:val="nil"/>
              <w:left w:val="nil"/>
              <w:bottom w:val="single" w:sz="4" w:space="0" w:color="auto"/>
              <w:right w:val="single" w:sz="4" w:space="0" w:color="auto"/>
            </w:tcBorders>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4,21112</w:t>
            </w:r>
          </w:p>
        </w:tc>
      </w:tr>
      <w:tr w:rsidR="00A712E1" w:rsidRPr="00D3301F" w:rsidTr="00F1041B">
        <w:trPr>
          <w:trHeight w:val="296"/>
        </w:trPr>
        <w:tc>
          <w:tcPr>
            <w:tcW w:w="100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0,12395</w:t>
            </w:r>
          </w:p>
        </w:tc>
        <w:tc>
          <w:tcPr>
            <w:tcW w:w="800" w:type="pct"/>
            <w:tcBorders>
              <w:top w:val="nil"/>
              <w:left w:val="nil"/>
              <w:bottom w:val="single" w:sz="4" w:space="0" w:color="auto"/>
              <w:right w:val="single" w:sz="4" w:space="0" w:color="auto"/>
            </w:tcBorders>
            <w:shd w:val="clear" w:color="auto" w:fill="auto"/>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0,12846</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0,14464</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 –</w:t>
            </w:r>
            <w:r w:rsidRPr="00D3301F">
              <w:rPr>
                <w:rFonts w:eastAsia="Times New Roman"/>
                <w:b/>
                <w:i/>
                <w:color w:val="000000"/>
                <w:sz w:val="20"/>
                <w:szCs w:val="20"/>
              </w:rPr>
              <w:t>0,28361</w:t>
            </w:r>
          </w:p>
        </w:tc>
        <w:tc>
          <w:tcPr>
            <w:tcW w:w="799"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Новосибирск –</w:t>
            </w:r>
            <w:r w:rsidRPr="00D3301F">
              <w:rPr>
                <w:rFonts w:eastAsia="Times New Roman"/>
                <w:b/>
                <w:i/>
                <w:color w:val="000000"/>
                <w:sz w:val="20"/>
                <w:szCs w:val="20"/>
              </w:rPr>
              <w:t>0,28297</w:t>
            </w:r>
          </w:p>
        </w:tc>
      </w:tr>
      <w:tr w:rsidR="00A712E1" w:rsidRPr="00D3301F" w:rsidTr="00F1041B">
        <w:trPr>
          <w:trHeight w:val="631"/>
        </w:trPr>
        <w:tc>
          <w:tcPr>
            <w:tcW w:w="100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lastRenderedPageBreak/>
              <w:t xml:space="preserve">минимальная сбытовая надбавка  </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Самара –</w:t>
            </w:r>
            <w:r w:rsidRPr="00D3301F">
              <w:rPr>
                <w:rFonts w:eastAsia="Times New Roman"/>
                <w:b/>
                <w:i/>
                <w:color w:val="000000"/>
                <w:sz w:val="20"/>
                <w:szCs w:val="20"/>
              </w:rPr>
              <w:t>0,00938</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0,00955</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0,00043</w:t>
            </w:r>
          </w:p>
        </w:tc>
        <w:tc>
          <w:tcPr>
            <w:tcW w:w="800"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Омск – </w:t>
            </w:r>
          </w:p>
          <w:p w:rsidR="00A712E1" w:rsidRPr="00D3301F" w:rsidRDefault="00A712E1" w:rsidP="00A712E1">
            <w:pPr>
              <w:spacing w:after="0" w:line="240" w:lineRule="auto"/>
              <w:rPr>
                <w:rFonts w:eastAsia="Times New Roman"/>
                <w:b/>
                <w:i/>
                <w:color w:val="000000"/>
                <w:sz w:val="20"/>
                <w:szCs w:val="20"/>
              </w:rPr>
            </w:pPr>
            <w:r w:rsidRPr="00D3301F">
              <w:rPr>
                <w:rFonts w:eastAsia="Times New Roman"/>
                <w:b/>
                <w:i/>
                <w:color w:val="000000"/>
                <w:sz w:val="20"/>
                <w:szCs w:val="20"/>
              </w:rPr>
              <w:t>0,15835</w:t>
            </w:r>
          </w:p>
        </w:tc>
        <w:tc>
          <w:tcPr>
            <w:tcW w:w="799" w:type="pct"/>
            <w:tcBorders>
              <w:top w:val="nil"/>
              <w:left w:val="nil"/>
              <w:bottom w:val="single" w:sz="4" w:space="0" w:color="auto"/>
              <w:right w:val="single" w:sz="4" w:space="0" w:color="auto"/>
            </w:tcBorders>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0,00937</w:t>
            </w:r>
          </w:p>
        </w:tc>
      </w:tr>
    </w:tbl>
    <w:p w:rsidR="00A712E1" w:rsidRDefault="00A712E1" w:rsidP="00A712E1">
      <w:pPr>
        <w:spacing w:before="120" w:line="240" w:lineRule="auto"/>
        <w:ind w:firstLine="709"/>
        <w:rPr>
          <w:rFonts w:eastAsia="Times New Roman"/>
          <w:b/>
          <w:i/>
          <w:szCs w:val="28"/>
        </w:rPr>
      </w:pPr>
    </w:p>
    <w:p w:rsidR="00A712E1" w:rsidRPr="0090186F" w:rsidRDefault="00A712E1" w:rsidP="00A712E1">
      <w:pPr>
        <w:spacing w:before="120" w:line="240" w:lineRule="auto"/>
        <w:ind w:firstLine="709"/>
        <w:rPr>
          <w:rFonts w:eastAsia="Times New Roman"/>
          <w:b/>
          <w:szCs w:val="28"/>
        </w:rPr>
      </w:pPr>
      <w:r w:rsidRPr="0090186F">
        <w:rPr>
          <w:rFonts w:eastAsia="Times New Roman"/>
          <w:b/>
          <w:szCs w:val="28"/>
        </w:rPr>
        <w:t>Сбытовые надбавки по группе</w:t>
      </w:r>
      <w:r w:rsidRPr="0090186F">
        <w:rPr>
          <w:rFonts w:eastAsia="Times New Roman"/>
          <w:szCs w:val="28"/>
        </w:rPr>
        <w:t xml:space="preserve"> </w:t>
      </w:r>
      <w:r w:rsidRPr="0090186F">
        <w:rPr>
          <w:rFonts w:eastAsia="Times New Roman"/>
          <w:b/>
          <w:szCs w:val="28"/>
        </w:rPr>
        <w:t>«прочие потребители»</w:t>
      </w:r>
    </w:p>
    <w:p w:rsidR="00A712E1" w:rsidRPr="002F2797" w:rsidRDefault="00A712E1" w:rsidP="00A712E1">
      <w:pPr>
        <w:spacing w:before="120" w:line="240" w:lineRule="auto"/>
        <w:ind w:firstLine="709"/>
        <w:jc w:val="both"/>
        <w:rPr>
          <w:rFonts w:eastAsia="Times New Roman"/>
          <w:szCs w:val="28"/>
        </w:rPr>
      </w:pPr>
      <w:r w:rsidRPr="002F2797">
        <w:rPr>
          <w:rFonts w:eastAsia="Times New Roman"/>
          <w:szCs w:val="28"/>
        </w:rPr>
        <w:t>До 2018 года установление сбытовых надбавок по группе «прочие потребители» осуществлялось в виде формулы. С 1 июля 2018 года в соответствии с пунктом 65 Основ ценообразования</w:t>
      </w:r>
      <w:r>
        <w:rPr>
          <w:rFonts w:eastAsia="Times New Roman"/>
          <w:szCs w:val="28"/>
        </w:rPr>
        <w:t xml:space="preserve"> № 1178</w:t>
      </w:r>
      <w:r w:rsidRPr="002F2797">
        <w:rPr>
          <w:rFonts w:eastAsia="Times New Roman"/>
          <w:szCs w:val="28"/>
        </w:rPr>
        <w:t>, пунктом 5 Методических указаний №</w:t>
      </w:r>
      <w:r>
        <w:rPr>
          <w:rFonts w:eastAsia="Times New Roman"/>
          <w:szCs w:val="28"/>
        </w:rPr>
        <w:t xml:space="preserve"> </w:t>
      </w:r>
      <w:r w:rsidRPr="002F2797">
        <w:rPr>
          <w:rFonts w:eastAsia="Times New Roman"/>
          <w:szCs w:val="28"/>
        </w:rPr>
        <w:t>1554/17 и пунктом 4 постановления Правительства РФ</w:t>
      </w:r>
      <w:r w:rsidR="00D3301F">
        <w:rPr>
          <w:rFonts w:eastAsia="Times New Roman"/>
          <w:szCs w:val="28"/>
        </w:rPr>
        <w:t xml:space="preserve"> о</w:t>
      </w:r>
      <w:r w:rsidRPr="002F2797">
        <w:rPr>
          <w:rFonts w:eastAsia="Times New Roman"/>
          <w:szCs w:val="28"/>
        </w:rPr>
        <w:t>т 28 августа 2017 года №</w:t>
      </w:r>
      <w:r>
        <w:rPr>
          <w:rFonts w:eastAsia="Times New Roman"/>
          <w:szCs w:val="28"/>
        </w:rPr>
        <w:t xml:space="preserve"> </w:t>
      </w:r>
      <w:r w:rsidRPr="002F2797">
        <w:rPr>
          <w:rFonts w:eastAsia="Times New Roman"/>
          <w:szCs w:val="28"/>
        </w:rPr>
        <w:t>1016 сбытовые надбавки для каждой из групп (подгрупп) потребителей устанавливаются в рублях за киловатт-час без учета налога на добавленную стоимость.</w:t>
      </w:r>
    </w:p>
    <w:p w:rsidR="00A712E1" w:rsidRDefault="00A712E1" w:rsidP="00A712E1">
      <w:pPr>
        <w:spacing w:after="0" w:line="240" w:lineRule="auto"/>
        <w:rPr>
          <w:rFonts w:eastAsia="Times New Roman"/>
          <w:i/>
          <w:szCs w:val="28"/>
        </w:rPr>
      </w:pPr>
      <w:r>
        <w:rPr>
          <w:noProof/>
        </w:rPr>
        <w:drawing>
          <wp:inline distT="0" distB="0" distL="0" distR="0" wp14:anchorId="2D9AD0E6" wp14:editId="274CE18C">
            <wp:extent cx="5231958" cy="3530379"/>
            <wp:effectExtent l="0" t="0" r="6985"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A712E1" w:rsidRPr="00D3301F" w:rsidRDefault="00A712E1" w:rsidP="00A712E1">
      <w:pPr>
        <w:spacing w:after="0" w:line="240" w:lineRule="auto"/>
        <w:jc w:val="right"/>
        <w:rPr>
          <w:rFonts w:eastAsia="Times New Roman"/>
          <w:i/>
          <w:sz w:val="22"/>
          <w:szCs w:val="22"/>
        </w:rPr>
      </w:pPr>
      <w:r w:rsidRPr="002F2797">
        <w:rPr>
          <w:rFonts w:eastAsia="Times New Roman"/>
          <w:i/>
          <w:szCs w:val="28"/>
        </w:rPr>
        <w:tab/>
      </w:r>
      <w:r w:rsidRPr="002F2797">
        <w:rPr>
          <w:rFonts w:eastAsia="Times New Roman"/>
          <w:i/>
          <w:szCs w:val="28"/>
        </w:rPr>
        <w:tab/>
        <w:t xml:space="preserve"> </w:t>
      </w:r>
      <w:r w:rsidRPr="00D3301F">
        <w:rPr>
          <w:rFonts w:eastAsia="Times New Roman"/>
          <w:i/>
          <w:sz w:val="22"/>
          <w:szCs w:val="22"/>
        </w:rPr>
        <w:t>руб./кВтч</w:t>
      </w:r>
    </w:p>
    <w:tbl>
      <w:tblPr>
        <w:tblW w:w="4928" w:type="pct"/>
        <w:tblLook w:val="04A0" w:firstRow="1" w:lastRow="0" w:firstColumn="1" w:lastColumn="0" w:noHBand="0" w:noVBand="1"/>
      </w:tblPr>
      <w:tblGrid>
        <w:gridCol w:w="1999"/>
        <w:gridCol w:w="1860"/>
        <w:gridCol w:w="1858"/>
        <w:gridCol w:w="1858"/>
        <w:gridCol w:w="1858"/>
      </w:tblGrid>
      <w:tr w:rsidR="00A712E1" w:rsidRPr="00D3301F" w:rsidTr="00F1041B">
        <w:trPr>
          <w:trHeight w:val="300"/>
        </w:trPr>
        <w:tc>
          <w:tcPr>
            <w:tcW w:w="105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986" w:type="pct"/>
            <w:tcBorders>
              <w:top w:val="single" w:sz="4" w:space="0" w:color="auto"/>
              <w:left w:val="nil"/>
              <w:bottom w:val="single" w:sz="4" w:space="0" w:color="auto"/>
              <w:right w:val="single" w:sz="4" w:space="0" w:color="auto"/>
            </w:tcBorders>
            <w:shd w:val="clear" w:color="auto" w:fill="auto"/>
            <w:noWrap/>
            <w:vAlign w:val="center"/>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2018 г.</w:t>
            </w:r>
          </w:p>
        </w:tc>
        <w:tc>
          <w:tcPr>
            <w:tcW w:w="985" w:type="pct"/>
            <w:tcBorders>
              <w:top w:val="single" w:sz="4" w:space="0" w:color="auto"/>
              <w:left w:val="nil"/>
              <w:bottom w:val="single" w:sz="4" w:space="0" w:color="auto"/>
              <w:right w:val="single" w:sz="4" w:space="0" w:color="auto"/>
            </w:tcBorders>
            <w:shd w:val="clear" w:color="auto" w:fill="auto"/>
            <w:noWrap/>
            <w:vAlign w:val="center"/>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2019 г.</w:t>
            </w:r>
          </w:p>
        </w:tc>
        <w:tc>
          <w:tcPr>
            <w:tcW w:w="985" w:type="pct"/>
            <w:tcBorders>
              <w:top w:val="single" w:sz="4" w:space="0" w:color="auto"/>
              <w:left w:val="nil"/>
              <w:bottom w:val="single" w:sz="4" w:space="0" w:color="auto"/>
              <w:right w:val="single" w:sz="4" w:space="0" w:color="auto"/>
            </w:tcBorders>
            <w:shd w:val="clear" w:color="auto" w:fill="auto"/>
            <w:noWrap/>
            <w:vAlign w:val="center"/>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2020 г.</w:t>
            </w:r>
          </w:p>
        </w:tc>
        <w:tc>
          <w:tcPr>
            <w:tcW w:w="985" w:type="pct"/>
            <w:tcBorders>
              <w:top w:val="single" w:sz="4" w:space="0" w:color="auto"/>
              <w:left w:val="nil"/>
              <w:bottom w:val="single" w:sz="4" w:space="0" w:color="auto"/>
              <w:right w:val="single" w:sz="4" w:space="0" w:color="auto"/>
            </w:tcBorders>
            <w:shd w:val="clear" w:color="auto" w:fill="auto"/>
            <w:noWrap/>
            <w:vAlign w:val="center"/>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2021 г.</w:t>
            </w:r>
          </w:p>
        </w:tc>
      </w:tr>
      <w:tr w:rsidR="00A712E1" w:rsidRPr="00D3301F" w:rsidTr="00F1041B">
        <w:trPr>
          <w:trHeight w:val="515"/>
        </w:trPr>
        <w:tc>
          <w:tcPr>
            <w:tcW w:w="1059"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986"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Нижний Новгород -</w:t>
            </w:r>
            <w:r w:rsidRPr="00D3301F">
              <w:rPr>
                <w:rFonts w:eastAsia="Times New Roman"/>
                <w:b/>
                <w:i/>
                <w:color w:val="000000"/>
                <w:sz w:val="20"/>
                <w:szCs w:val="20"/>
              </w:rPr>
              <w:t>0,50479</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2,42452</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2,88604</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1,036</w:t>
            </w:r>
          </w:p>
        </w:tc>
      </w:tr>
      <w:tr w:rsidR="00A712E1" w:rsidRPr="00D3301F" w:rsidTr="00F1041B">
        <w:trPr>
          <w:trHeight w:val="561"/>
        </w:trPr>
        <w:tc>
          <w:tcPr>
            <w:tcW w:w="1059"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w:t>
            </w:r>
          </w:p>
        </w:tc>
        <w:tc>
          <w:tcPr>
            <w:tcW w:w="986"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0,13276</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0,28403</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0,53665</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0,38012</w:t>
            </w:r>
          </w:p>
        </w:tc>
      </w:tr>
      <w:tr w:rsidR="00A712E1" w:rsidRPr="00D3301F" w:rsidTr="00F1041B">
        <w:trPr>
          <w:trHeight w:val="403"/>
        </w:trPr>
        <w:tc>
          <w:tcPr>
            <w:tcW w:w="1059"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986"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0,09704</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Казань</w:t>
            </w:r>
          </w:p>
          <w:p w:rsidR="00A712E1" w:rsidRPr="00D3301F" w:rsidRDefault="00A712E1" w:rsidP="00A712E1">
            <w:pPr>
              <w:spacing w:after="0" w:line="240" w:lineRule="auto"/>
              <w:rPr>
                <w:rFonts w:eastAsia="Times New Roman"/>
                <w:b/>
                <w:i/>
                <w:color w:val="000000"/>
                <w:sz w:val="20"/>
                <w:szCs w:val="20"/>
              </w:rPr>
            </w:pPr>
            <w:r w:rsidRPr="00D3301F">
              <w:rPr>
                <w:rFonts w:eastAsia="Times New Roman"/>
                <w:color w:val="000000"/>
                <w:sz w:val="20"/>
                <w:szCs w:val="20"/>
              </w:rPr>
              <w:t xml:space="preserve">– </w:t>
            </w:r>
            <w:r w:rsidRPr="00D3301F">
              <w:rPr>
                <w:rFonts w:eastAsia="Times New Roman"/>
                <w:b/>
                <w:i/>
                <w:color w:val="000000"/>
                <w:sz w:val="20"/>
                <w:szCs w:val="20"/>
              </w:rPr>
              <w:t>0,1704</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0,18003</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0,20945</w:t>
            </w:r>
          </w:p>
        </w:tc>
      </w:tr>
    </w:tbl>
    <w:p w:rsidR="00A712E1" w:rsidRDefault="00A712E1" w:rsidP="00A712E1">
      <w:pPr>
        <w:spacing w:after="0" w:line="240" w:lineRule="auto"/>
        <w:jc w:val="right"/>
        <w:rPr>
          <w:rFonts w:eastAsia="Times New Roman"/>
          <w:i/>
          <w:szCs w:val="28"/>
        </w:rPr>
      </w:pPr>
    </w:p>
    <w:p w:rsidR="00A712E1" w:rsidRPr="00D3301F" w:rsidRDefault="00A712E1" w:rsidP="00A712E1">
      <w:pPr>
        <w:spacing w:after="0" w:line="240" w:lineRule="auto"/>
        <w:jc w:val="right"/>
        <w:rPr>
          <w:rFonts w:eastAsia="Times New Roman"/>
          <w:i/>
          <w:sz w:val="22"/>
          <w:szCs w:val="22"/>
        </w:rPr>
      </w:pPr>
      <w:r w:rsidRPr="00D3301F">
        <w:rPr>
          <w:rFonts w:eastAsia="Times New Roman"/>
          <w:i/>
          <w:sz w:val="22"/>
          <w:szCs w:val="22"/>
        </w:rPr>
        <w:t>продолжение таблицы</w:t>
      </w:r>
    </w:p>
    <w:p w:rsidR="00A712E1" w:rsidRPr="00D3301F" w:rsidRDefault="00A712E1" w:rsidP="00A712E1">
      <w:pPr>
        <w:spacing w:after="0" w:line="240" w:lineRule="auto"/>
        <w:ind w:firstLine="709"/>
        <w:jc w:val="right"/>
        <w:rPr>
          <w:rFonts w:eastAsia="Times New Roman"/>
          <w:sz w:val="22"/>
          <w:szCs w:val="22"/>
        </w:rPr>
      </w:pPr>
      <w:r w:rsidRPr="00D3301F">
        <w:rPr>
          <w:rFonts w:eastAsia="Times New Roman"/>
          <w:i/>
          <w:sz w:val="22"/>
          <w:szCs w:val="22"/>
        </w:rPr>
        <w:t>руб./кВтч</w:t>
      </w:r>
    </w:p>
    <w:tbl>
      <w:tblPr>
        <w:tblW w:w="4935" w:type="pct"/>
        <w:tblLook w:val="04A0" w:firstRow="1" w:lastRow="0" w:firstColumn="1" w:lastColumn="0" w:noHBand="0" w:noVBand="1"/>
      </w:tblPr>
      <w:tblGrid>
        <w:gridCol w:w="2005"/>
        <w:gridCol w:w="1861"/>
        <w:gridCol w:w="1861"/>
        <w:gridCol w:w="1861"/>
        <w:gridCol w:w="1859"/>
      </w:tblGrid>
      <w:tr w:rsidR="00A712E1" w:rsidRPr="00D3301F" w:rsidTr="00F1041B">
        <w:trPr>
          <w:trHeight w:val="288"/>
        </w:trPr>
        <w:tc>
          <w:tcPr>
            <w:tcW w:w="106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985" w:type="pct"/>
            <w:tcBorders>
              <w:top w:val="single" w:sz="4" w:space="0" w:color="auto"/>
              <w:left w:val="nil"/>
              <w:bottom w:val="single" w:sz="4" w:space="0" w:color="auto"/>
              <w:right w:val="single" w:sz="4" w:space="0" w:color="auto"/>
            </w:tcBorders>
            <w:vAlign w:val="center"/>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2022 г.</w:t>
            </w:r>
          </w:p>
        </w:tc>
        <w:tc>
          <w:tcPr>
            <w:tcW w:w="985" w:type="pct"/>
            <w:tcBorders>
              <w:top w:val="single" w:sz="4" w:space="0" w:color="auto"/>
              <w:left w:val="nil"/>
              <w:bottom w:val="single" w:sz="4" w:space="0" w:color="auto"/>
              <w:right w:val="single" w:sz="4" w:space="0" w:color="auto"/>
            </w:tcBorders>
            <w:vAlign w:val="center"/>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2023 г.</w:t>
            </w:r>
          </w:p>
        </w:tc>
        <w:tc>
          <w:tcPr>
            <w:tcW w:w="985" w:type="pct"/>
            <w:tcBorders>
              <w:top w:val="single" w:sz="4" w:space="0" w:color="auto"/>
              <w:left w:val="single" w:sz="4" w:space="0" w:color="auto"/>
              <w:bottom w:val="single" w:sz="4" w:space="0" w:color="auto"/>
              <w:right w:val="single" w:sz="4" w:space="0" w:color="auto"/>
            </w:tcBorders>
            <w:vAlign w:val="center"/>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2024 г.</w:t>
            </w:r>
          </w:p>
        </w:tc>
        <w:tc>
          <w:tcPr>
            <w:tcW w:w="984" w:type="pct"/>
            <w:tcBorders>
              <w:top w:val="single" w:sz="4" w:space="0" w:color="auto"/>
              <w:left w:val="nil"/>
              <w:bottom w:val="single" w:sz="4" w:space="0" w:color="auto"/>
              <w:right w:val="single" w:sz="4" w:space="0" w:color="auto"/>
            </w:tcBorders>
            <w:vAlign w:val="center"/>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2025 г.</w:t>
            </w:r>
          </w:p>
        </w:tc>
      </w:tr>
      <w:tr w:rsidR="00A712E1" w:rsidRPr="00D3301F" w:rsidTr="00F1041B">
        <w:trPr>
          <w:trHeight w:val="491"/>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1,10558</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w:t>
            </w:r>
            <w:r w:rsidRPr="00D3301F">
              <w:rPr>
                <w:rFonts w:eastAsia="Times New Roman"/>
                <w:b/>
                <w:i/>
                <w:color w:val="000000"/>
                <w:sz w:val="20"/>
                <w:szCs w:val="20"/>
              </w:rPr>
              <w:t>– 1,27704</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1,37717</w:t>
            </w:r>
          </w:p>
        </w:tc>
        <w:tc>
          <w:tcPr>
            <w:tcW w:w="984"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Екатеринбург -</w:t>
            </w:r>
            <w:r w:rsidRPr="00D3301F">
              <w:rPr>
                <w:rFonts w:eastAsia="Times New Roman"/>
                <w:b/>
                <w:i/>
                <w:color w:val="000000"/>
                <w:sz w:val="20"/>
                <w:szCs w:val="20"/>
              </w:rPr>
              <w:t>1,46931</w:t>
            </w:r>
          </w:p>
        </w:tc>
      </w:tr>
      <w:tr w:rsidR="00A712E1" w:rsidRPr="00D3301F" w:rsidTr="00F1041B">
        <w:trPr>
          <w:trHeight w:val="539"/>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0,44864</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w:t>
            </w:r>
            <w:r w:rsidRPr="00D3301F">
              <w:rPr>
                <w:rFonts w:eastAsia="Times New Roman"/>
                <w:b/>
                <w:i/>
                <w:color w:val="000000"/>
                <w:sz w:val="20"/>
                <w:szCs w:val="20"/>
              </w:rPr>
              <w:t>– 0,45543</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w:t>
            </w:r>
            <w:r w:rsidRPr="00D3301F">
              <w:rPr>
                <w:rFonts w:eastAsia="Times New Roman"/>
                <w:b/>
                <w:i/>
                <w:color w:val="000000"/>
                <w:sz w:val="20"/>
                <w:szCs w:val="20"/>
              </w:rPr>
              <w:t>– 0,53699</w:t>
            </w:r>
          </w:p>
        </w:tc>
        <w:tc>
          <w:tcPr>
            <w:tcW w:w="984"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w:t>
            </w:r>
            <w:r w:rsidRPr="00D3301F">
              <w:rPr>
                <w:rFonts w:eastAsia="Times New Roman"/>
                <w:b/>
                <w:i/>
                <w:color w:val="000000"/>
                <w:sz w:val="20"/>
                <w:szCs w:val="20"/>
              </w:rPr>
              <w:t>-0,72014</w:t>
            </w:r>
          </w:p>
        </w:tc>
      </w:tr>
      <w:tr w:rsidR="00A712E1" w:rsidRPr="00D3301F" w:rsidTr="00F1041B">
        <w:trPr>
          <w:trHeight w:val="397"/>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0,20545</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w:t>
            </w:r>
            <w:r w:rsidRPr="00D3301F">
              <w:rPr>
                <w:rFonts w:eastAsia="Times New Roman"/>
                <w:b/>
                <w:i/>
                <w:color w:val="000000"/>
                <w:sz w:val="20"/>
                <w:szCs w:val="20"/>
              </w:rPr>
              <w:t>– 0,22197</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0,22351</w:t>
            </w:r>
          </w:p>
        </w:tc>
        <w:tc>
          <w:tcPr>
            <w:tcW w:w="984"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г. Москва –</w:t>
            </w:r>
          </w:p>
          <w:p w:rsidR="00A712E1" w:rsidRPr="00D3301F" w:rsidRDefault="00A712E1" w:rsidP="00A712E1">
            <w:pPr>
              <w:spacing w:after="0" w:line="240" w:lineRule="auto"/>
              <w:rPr>
                <w:rFonts w:eastAsia="Times New Roman"/>
                <w:color w:val="000000"/>
                <w:sz w:val="20"/>
                <w:szCs w:val="20"/>
              </w:rPr>
            </w:pPr>
            <w:r w:rsidRPr="00D3301F">
              <w:rPr>
                <w:rFonts w:eastAsia="Times New Roman"/>
                <w:b/>
                <w:i/>
                <w:color w:val="000000"/>
                <w:sz w:val="20"/>
                <w:szCs w:val="20"/>
              </w:rPr>
              <w:t>0,22753</w:t>
            </w:r>
          </w:p>
        </w:tc>
      </w:tr>
    </w:tbl>
    <w:p w:rsidR="00A712E1" w:rsidRPr="002F2797" w:rsidRDefault="00A712E1" w:rsidP="00A712E1">
      <w:pPr>
        <w:spacing w:after="0" w:line="240" w:lineRule="auto"/>
        <w:ind w:firstLine="709"/>
        <w:jc w:val="both"/>
        <w:rPr>
          <w:rFonts w:eastAsia="Times New Roman"/>
          <w:szCs w:val="28"/>
        </w:rPr>
      </w:pPr>
    </w:p>
    <w:p w:rsidR="00A712E1" w:rsidRPr="002F2797" w:rsidRDefault="00A712E1" w:rsidP="00A712E1">
      <w:pPr>
        <w:spacing w:after="0" w:line="240" w:lineRule="auto"/>
        <w:rPr>
          <w:rFonts w:eastAsia="Times New Roman"/>
          <w:szCs w:val="28"/>
        </w:rPr>
      </w:pPr>
      <w:r>
        <w:rPr>
          <w:noProof/>
        </w:rPr>
        <w:drawing>
          <wp:inline distT="0" distB="0" distL="0" distR="0" wp14:anchorId="4B75711B" wp14:editId="7380E9F4">
            <wp:extent cx="5849815" cy="5046785"/>
            <wp:effectExtent l="0" t="0" r="17780" b="190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D3301F" w:rsidRDefault="00D3301F" w:rsidP="00A712E1">
      <w:pPr>
        <w:spacing w:after="0" w:line="240" w:lineRule="auto"/>
        <w:ind w:firstLine="709"/>
        <w:jc w:val="right"/>
        <w:rPr>
          <w:rFonts w:eastAsia="Times New Roman"/>
          <w:i/>
          <w:sz w:val="22"/>
          <w:szCs w:val="22"/>
        </w:rPr>
      </w:pPr>
    </w:p>
    <w:p w:rsidR="00D3301F" w:rsidRDefault="00D3301F" w:rsidP="00A712E1">
      <w:pPr>
        <w:spacing w:after="0" w:line="240" w:lineRule="auto"/>
        <w:ind w:firstLine="709"/>
        <w:jc w:val="right"/>
        <w:rPr>
          <w:rFonts w:eastAsia="Times New Roman"/>
          <w:i/>
          <w:sz w:val="22"/>
          <w:szCs w:val="22"/>
        </w:rPr>
      </w:pPr>
    </w:p>
    <w:p w:rsidR="00A712E1" w:rsidRPr="00D3301F" w:rsidRDefault="00A712E1" w:rsidP="00A712E1">
      <w:pPr>
        <w:spacing w:after="0" w:line="240" w:lineRule="auto"/>
        <w:ind w:firstLine="709"/>
        <w:jc w:val="right"/>
        <w:rPr>
          <w:rFonts w:eastAsia="Times New Roman"/>
          <w:i/>
          <w:sz w:val="22"/>
          <w:szCs w:val="22"/>
        </w:rPr>
      </w:pPr>
      <w:r w:rsidRPr="00D3301F">
        <w:rPr>
          <w:rFonts w:eastAsia="Times New Roman"/>
          <w:i/>
          <w:sz w:val="22"/>
          <w:szCs w:val="22"/>
        </w:rPr>
        <w:t>руб./кВтч</w:t>
      </w:r>
    </w:p>
    <w:tbl>
      <w:tblPr>
        <w:tblW w:w="4923" w:type="pct"/>
        <w:tblLook w:val="04A0" w:firstRow="1" w:lastRow="0" w:firstColumn="1" w:lastColumn="0" w:noHBand="0" w:noVBand="1"/>
      </w:tblPr>
      <w:tblGrid>
        <w:gridCol w:w="1999"/>
        <w:gridCol w:w="1860"/>
        <w:gridCol w:w="1855"/>
        <w:gridCol w:w="1855"/>
        <w:gridCol w:w="1855"/>
      </w:tblGrid>
      <w:tr w:rsidR="00A712E1" w:rsidRPr="00D3301F" w:rsidTr="00F1041B">
        <w:trPr>
          <w:trHeight w:val="295"/>
        </w:trPr>
        <w:tc>
          <w:tcPr>
            <w:tcW w:w="1061"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Показатели</w:t>
            </w:r>
          </w:p>
        </w:tc>
        <w:tc>
          <w:tcPr>
            <w:tcW w:w="987"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2018 г.</w:t>
            </w:r>
          </w:p>
        </w:tc>
        <w:tc>
          <w:tcPr>
            <w:tcW w:w="984"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2019 г.</w:t>
            </w:r>
          </w:p>
        </w:tc>
        <w:tc>
          <w:tcPr>
            <w:tcW w:w="984"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2020 г.</w:t>
            </w:r>
          </w:p>
        </w:tc>
        <w:tc>
          <w:tcPr>
            <w:tcW w:w="984"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2021 г.</w:t>
            </w:r>
          </w:p>
        </w:tc>
      </w:tr>
      <w:tr w:rsidR="00A712E1" w:rsidRPr="00D3301F" w:rsidTr="00F1041B">
        <w:trPr>
          <w:trHeight w:val="803"/>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987"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Нижний Новгород - </w:t>
            </w:r>
            <w:r w:rsidRPr="00D3301F">
              <w:rPr>
                <w:rFonts w:eastAsia="Times New Roman"/>
                <w:b/>
                <w:i/>
                <w:color w:val="000000"/>
                <w:sz w:val="20"/>
                <w:szCs w:val="20"/>
              </w:rPr>
              <w:t>0,34364</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0,98302</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1,03803</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1,036</w:t>
            </w:r>
          </w:p>
        </w:tc>
      </w:tr>
      <w:tr w:rsidR="00A712E1" w:rsidRPr="00D3301F" w:rsidTr="00F1041B">
        <w:trPr>
          <w:trHeight w:val="549"/>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w:t>
            </w:r>
          </w:p>
        </w:tc>
        <w:tc>
          <w:tcPr>
            <w:tcW w:w="987"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0,05516</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0,11039</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0,19076</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0,13521</w:t>
            </w:r>
          </w:p>
        </w:tc>
      </w:tr>
      <w:tr w:rsidR="00A712E1" w:rsidRPr="00D3301F" w:rsidTr="00F1041B">
        <w:trPr>
          <w:trHeight w:val="373"/>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987"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0,03315</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Казань – </w:t>
            </w:r>
          </w:p>
          <w:p w:rsidR="00A712E1" w:rsidRPr="00D3301F" w:rsidRDefault="00A712E1" w:rsidP="00A712E1">
            <w:pPr>
              <w:spacing w:after="0" w:line="240" w:lineRule="auto"/>
              <w:rPr>
                <w:rFonts w:eastAsia="Times New Roman"/>
                <w:color w:val="000000"/>
                <w:sz w:val="20"/>
                <w:szCs w:val="20"/>
              </w:rPr>
            </w:pPr>
            <w:r w:rsidRPr="00D3301F">
              <w:rPr>
                <w:rFonts w:eastAsia="Times New Roman"/>
                <w:b/>
                <w:i/>
                <w:color w:val="000000"/>
                <w:sz w:val="20"/>
                <w:szCs w:val="20"/>
              </w:rPr>
              <w:t>0,0568</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Казань – </w:t>
            </w:r>
          </w:p>
          <w:p w:rsidR="00A712E1" w:rsidRPr="00D3301F" w:rsidRDefault="00A712E1" w:rsidP="00A712E1">
            <w:pPr>
              <w:spacing w:after="0" w:line="240" w:lineRule="auto"/>
              <w:rPr>
                <w:rFonts w:eastAsia="Times New Roman"/>
                <w:color w:val="000000"/>
                <w:sz w:val="20"/>
                <w:szCs w:val="20"/>
              </w:rPr>
            </w:pPr>
            <w:r w:rsidRPr="00D3301F">
              <w:rPr>
                <w:rFonts w:eastAsia="Times New Roman"/>
                <w:b/>
                <w:i/>
                <w:color w:val="000000"/>
                <w:sz w:val="20"/>
                <w:szCs w:val="20"/>
              </w:rPr>
              <w:t>0,0838</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Казань – </w:t>
            </w:r>
          </w:p>
          <w:p w:rsidR="00A712E1" w:rsidRPr="00D3301F" w:rsidRDefault="00A712E1" w:rsidP="00A712E1">
            <w:pPr>
              <w:spacing w:after="0" w:line="240" w:lineRule="auto"/>
              <w:rPr>
                <w:rFonts w:eastAsia="Times New Roman"/>
                <w:color w:val="000000"/>
                <w:sz w:val="20"/>
                <w:szCs w:val="20"/>
              </w:rPr>
            </w:pPr>
            <w:r w:rsidRPr="00D3301F">
              <w:rPr>
                <w:rFonts w:eastAsia="Times New Roman"/>
                <w:b/>
                <w:i/>
                <w:color w:val="000000"/>
                <w:sz w:val="20"/>
                <w:szCs w:val="20"/>
              </w:rPr>
              <w:t>0,086</w:t>
            </w:r>
          </w:p>
        </w:tc>
      </w:tr>
    </w:tbl>
    <w:p w:rsidR="00A712E1" w:rsidRDefault="00A712E1" w:rsidP="00A712E1">
      <w:pPr>
        <w:spacing w:after="0" w:line="240" w:lineRule="auto"/>
        <w:jc w:val="right"/>
        <w:rPr>
          <w:rFonts w:eastAsia="Times New Roman"/>
          <w:i/>
          <w:szCs w:val="28"/>
        </w:rPr>
      </w:pPr>
    </w:p>
    <w:p w:rsidR="00A712E1" w:rsidRPr="00D3301F" w:rsidRDefault="00A712E1" w:rsidP="00A712E1">
      <w:pPr>
        <w:spacing w:after="0" w:line="240" w:lineRule="auto"/>
        <w:jc w:val="right"/>
        <w:rPr>
          <w:rFonts w:eastAsia="Times New Roman"/>
          <w:i/>
          <w:sz w:val="22"/>
          <w:szCs w:val="22"/>
        </w:rPr>
      </w:pPr>
      <w:r w:rsidRPr="00D3301F">
        <w:rPr>
          <w:rFonts w:eastAsia="Times New Roman"/>
          <w:i/>
          <w:sz w:val="22"/>
          <w:szCs w:val="22"/>
        </w:rPr>
        <w:t>продолжение таблицы</w:t>
      </w:r>
    </w:p>
    <w:p w:rsidR="00A712E1" w:rsidRPr="00D3301F" w:rsidRDefault="00A712E1" w:rsidP="00A712E1">
      <w:pPr>
        <w:spacing w:after="0" w:line="240" w:lineRule="auto"/>
        <w:ind w:firstLine="709"/>
        <w:jc w:val="right"/>
        <w:rPr>
          <w:rFonts w:eastAsia="Times New Roman"/>
          <w:sz w:val="22"/>
          <w:szCs w:val="22"/>
        </w:rPr>
      </w:pPr>
      <w:r w:rsidRPr="00D3301F">
        <w:rPr>
          <w:rFonts w:eastAsia="Times New Roman"/>
          <w:i/>
          <w:sz w:val="22"/>
          <w:szCs w:val="22"/>
        </w:rPr>
        <w:t>руб./кВтч</w:t>
      </w:r>
    </w:p>
    <w:tbl>
      <w:tblPr>
        <w:tblW w:w="4936" w:type="pct"/>
        <w:tblLook w:val="04A0" w:firstRow="1" w:lastRow="0" w:firstColumn="1" w:lastColumn="0" w:noHBand="0" w:noVBand="1"/>
      </w:tblPr>
      <w:tblGrid>
        <w:gridCol w:w="2010"/>
        <w:gridCol w:w="1861"/>
        <w:gridCol w:w="1859"/>
        <w:gridCol w:w="1859"/>
        <w:gridCol w:w="1859"/>
      </w:tblGrid>
      <w:tr w:rsidR="00A712E1" w:rsidRPr="00D3301F" w:rsidTr="00F1041B">
        <w:trPr>
          <w:trHeight w:val="304"/>
        </w:trPr>
        <w:tc>
          <w:tcPr>
            <w:tcW w:w="1063"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Показатели</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2022 г.</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2023 г.</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2024 г.</w:t>
            </w:r>
          </w:p>
        </w:tc>
        <w:tc>
          <w:tcPr>
            <w:tcW w:w="984" w:type="pct"/>
            <w:tcBorders>
              <w:top w:val="single" w:sz="4" w:space="0" w:color="auto"/>
              <w:left w:val="single" w:sz="4" w:space="0" w:color="auto"/>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2025 г.</w:t>
            </w:r>
          </w:p>
        </w:tc>
      </w:tr>
      <w:tr w:rsidR="00A712E1" w:rsidRPr="00D3301F" w:rsidTr="00F1041B">
        <w:trPr>
          <w:trHeight w:val="480"/>
        </w:trPr>
        <w:tc>
          <w:tcPr>
            <w:tcW w:w="1063"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максимальная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Екатеринбург – </w:t>
            </w:r>
            <w:r w:rsidRPr="00D3301F">
              <w:rPr>
                <w:rFonts w:eastAsia="Times New Roman"/>
                <w:b/>
                <w:i/>
                <w:color w:val="000000"/>
                <w:sz w:val="22"/>
                <w:szCs w:val="22"/>
              </w:rPr>
              <w:t>0,7683</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Екатеринбург – </w:t>
            </w:r>
            <w:r w:rsidRPr="00D3301F">
              <w:rPr>
                <w:rFonts w:eastAsia="Times New Roman"/>
                <w:b/>
                <w:i/>
                <w:color w:val="000000"/>
                <w:sz w:val="22"/>
                <w:szCs w:val="22"/>
              </w:rPr>
              <w:t>1,02545</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Екатеринбург – </w:t>
            </w:r>
            <w:r w:rsidRPr="00D3301F">
              <w:rPr>
                <w:rFonts w:eastAsia="Times New Roman"/>
                <w:b/>
                <w:i/>
                <w:color w:val="000000"/>
                <w:sz w:val="22"/>
                <w:szCs w:val="22"/>
              </w:rPr>
              <w:t>1,10084</w:t>
            </w:r>
          </w:p>
        </w:tc>
        <w:tc>
          <w:tcPr>
            <w:tcW w:w="984" w:type="pct"/>
            <w:tcBorders>
              <w:top w:val="single" w:sz="4" w:space="0" w:color="auto"/>
              <w:left w:val="single" w:sz="4" w:space="0" w:color="auto"/>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Самара – </w:t>
            </w:r>
            <w:r w:rsidRPr="00D3301F">
              <w:rPr>
                <w:rFonts w:eastAsia="Times New Roman"/>
                <w:b/>
                <w:i/>
                <w:color w:val="000000"/>
                <w:sz w:val="22"/>
                <w:szCs w:val="22"/>
              </w:rPr>
              <w:t>1,0926</w:t>
            </w:r>
          </w:p>
        </w:tc>
      </w:tr>
      <w:tr w:rsidR="00A712E1" w:rsidRPr="00D3301F" w:rsidTr="00F1041B">
        <w:trPr>
          <w:trHeight w:val="566"/>
        </w:trPr>
        <w:tc>
          <w:tcPr>
            <w:tcW w:w="1063"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Новосибирск - </w:t>
            </w:r>
            <w:r w:rsidRPr="00D3301F">
              <w:rPr>
                <w:rFonts w:eastAsia="Times New Roman"/>
                <w:b/>
                <w:i/>
                <w:color w:val="000000"/>
                <w:sz w:val="22"/>
                <w:szCs w:val="22"/>
              </w:rPr>
              <w:t>0,16468</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Новосибирск – </w:t>
            </w:r>
            <w:r w:rsidRPr="00D3301F">
              <w:rPr>
                <w:rFonts w:eastAsia="Times New Roman"/>
                <w:b/>
                <w:i/>
                <w:color w:val="000000"/>
                <w:sz w:val="22"/>
                <w:szCs w:val="22"/>
              </w:rPr>
              <w:t>0,25222</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Новосибирск – </w:t>
            </w:r>
            <w:r w:rsidRPr="00D3301F">
              <w:rPr>
                <w:rFonts w:eastAsia="Times New Roman"/>
                <w:b/>
                <w:i/>
                <w:color w:val="000000"/>
                <w:sz w:val="22"/>
                <w:szCs w:val="22"/>
              </w:rPr>
              <w:t>0,18472</w:t>
            </w:r>
          </w:p>
        </w:tc>
        <w:tc>
          <w:tcPr>
            <w:tcW w:w="984" w:type="pct"/>
            <w:tcBorders>
              <w:top w:val="single" w:sz="4" w:space="0" w:color="auto"/>
              <w:left w:val="single" w:sz="4" w:space="0" w:color="auto"/>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Новосибирск – </w:t>
            </w:r>
            <w:r w:rsidRPr="00D3301F">
              <w:rPr>
                <w:rFonts w:eastAsia="Times New Roman"/>
                <w:b/>
                <w:i/>
                <w:color w:val="000000"/>
                <w:sz w:val="22"/>
                <w:szCs w:val="22"/>
              </w:rPr>
              <w:t>0,42669</w:t>
            </w:r>
          </w:p>
        </w:tc>
      </w:tr>
      <w:tr w:rsidR="00A712E1" w:rsidRPr="00D3301F" w:rsidTr="00F1041B">
        <w:trPr>
          <w:trHeight w:val="394"/>
        </w:trPr>
        <w:tc>
          <w:tcPr>
            <w:tcW w:w="1063"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минимальная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Казань – </w:t>
            </w:r>
          </w:p>
          <w:p w:rsidR="00A712E1" w:rsidRPr="00D3301F" w:rsidRDefault="00A712E1" w:rsidP="00A712E1">
            <w:pPr>
              <w:spacing w:after="0" w:line="240" w:lineRule="auto"/>
              <w:rPr>
                <w:rFonts w:eastAsia="Times New Roman"/>
                <w:color w:val="000000"/>
                <w:sz w:val="22"/>
                <w:szCs w:val="22"/>
              </w:rPr>
            </w:pPr>
            <w:r w:rsidRPr="00D3301F">
              <w:rPr>
                <w:rFonts w:eastAsia="Times New Roman"/>
                <w:b/>
                <w:i/>
                <w:color w:val="000000"/>
                <w:sz w:val="22"/>
                <w:szCs w:val="22"/>
              </w:rPr>
              <w:t>0,0814</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Казань – </w:t>
            </w:r>
          </w:p>
          <w:p w:rsidR="00A712E1" w:rsidRPr="00D3301F" w:rsidRDefault="00A712E1" w:rsidP="00A712E1">
            <w:pPr>
              <w:spacing w:after="0" w:line="240" w:lineRule="auto"/>
              <w:rPr>
                <w:rFonts w:eastAsia="Times New Roman"/>
                <w:color w:val="000000"/>
                <w:sz w:val="22"/>
                <w:szCs w:val="22"/>
              </w:rPr>
            </w:pPr>
            <w:r w:rsidRPr="00D3301F">
              <w:rPr>
                <w:rFonts w:eastAsia="Times New Roman"/>
                <w:b/>
                <w:i/>
                <w:color w:val="000000"/>
                <w:sz w:val="22"/>
                <w:szCs w:val="22"/>
              </w:rPr>
              <w:t>0,0965</w:t>
            </w:r>
          </w:p>
        </w:tc>
        <w:tc>
          <w:tcPr>
            <w:tcW w:w="984"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Челябинск – </w:t>
            </w:r>
            <w:r w:rsidRPr="00D3301F">
              <w:rPr>
                <w:rFonts w:eastAsia="Times New Roman"/>
                <w:b/>
                <w:i/>
                <w:color w:val="000000"/>
                <w:sz w:val="22"/>
                <w:szCs w:val="22"/>
              </w:rPr>
              <w:t>0,1356</w:t>
            </w:r>
          </w:p>
        </w:tc>
        <w:tc>
          <w:tcPr>
            <w:tcW w:w="984" w:type="pct"/>
            <w:tcBorders>
              <w:top w:val="single" w:sz="4" w:space="0" w:color="auto"/>
              <w:left w:val="single" w:sz="4" w:space="0" w:color="auto"/>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2"/>
                <w:szCs w:val="22"/>
              </w:rPr>
            </w:pPr>
            <w:r w:rsidRPr="00D3301F">
              <w:rPr>
                <w:rFonts w:eastAsia="Times New Roman"/>
                <w:color w:val="000000"/>
                <w:sz w:val="22"/>
                <w:szCs w:val="22"/>
              </w:rPr>
              <w:t xml:space="preserve">г. Казань – </w:t>
            </w:r>
            <w:r w:rsidRPr="00D3301F">
              <w:rPr>
                <w:rFonts w:eastAsia="Times New Roman"/>
                <w:b/>
                <w:i/>
                <w:color w:val="000000"/>
                <w:sz w:val="22"/>
                <w:szCs w:val="22"/>
              </w:rPr>
              <w:t>0,1295</w:t>
            </w:r>
          </w:p>
        </w:tc>
      </w:tr>
    </w:tbl>
    <w:p w:rsidR="00A712E1" w:rsidRDefault="00A712E1" w:rsidP="00A712E1">
      <w:pPr>
        <w:spacing w:after="0" w:line="240" w:lineRule="auto"/>
        <w:ind w:firstLine="709"/>
        <w:jc w:val="both"/>
        <w:rPr>
          <w:rFonts w:eastAsia="Times New Roman"/>
          <w:szCs w:val="28"/>
        </w:rPr>
      </w:pPr>
    </w:p>
    <w:p w:rsidR="00A712E1" w:rsidRPr="002F2797" w:rsidRDefault="00A712E1" w:rsidP="00A712E1">
      <w:pPr>
        <w:spacing w:after="0" w:line="240" w:lineRule="auto"/>
        <w:ind w:firstLine="709"/>
        <w:jc w:val="both"/>
        <w:rPr>
          <w:rFonts w:eastAsia="Times New Roman"/>
          <w:szCs w:val="28"/>
        </w:rPr>
      </w:pPr>
    </w:p>
    <w:p w:rsidR="00A712E1" w:rsidRPr="002F2797" w:rsidRDefault="00A712E1" w:rsidP="00A712E1">
      <w:pPr>
        <w:spacing w:after="0" w:line="240" w:lineRule="auto"/>
        <w:jc w:val="both"/>
        <w:rPr>
          <w:rFonts w:eastAsia="Times New Roman"/>
          <w:szCs w:val="28"/>
        </w:rPr>
      </w:pPr>
      <w:r>
        <w:rPr>
          <w:noProof/>
        </w:rPr>
        <w:drawing>
          <wp:inline distT="0" distB="0" distL="0" distR="0" wp14:anchorId="339C2AFB" wp14:editId="0929A40C">
            <wp:extent cx="6154615" cy="4267200"/>
            <wp:effectExtent l="0" t="0" r="0" b="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D3301F" w:rsidRDefault="00D3301F" w:rsidP="00A712E1">
      <w:pPr>
        <w:spacing w:after="0" w:line="240" w:lineRule="auto"/>
        <w:ind w:firstLine="709"/>
        <w:jc w:val="right"/>
        <w:rPr>
          <w:rFonts w:eastAsia="Times New Roman"/>
          <w:i/>
          <w:sz w:val="22"/>
          <w:szCs w:val="22"/>
        </w:rPr>
      </w:pPr>
    </w:p>
    <w:p w:rsidR="00A712E1" w:rsidRPr="00D3301F" w:rsidRDefault="00A712E1" w:rsidP="00A712E1">
      <w:pPr>
        <w:spacing w:after="0" w:line="240" w:lineRule="auto"/>
        <w:ind w:firstLine="709"/>
        <w:jc w:val="right"/>
        <w:rPr>
          <w:rFonts w:eastAsia="Times New Roman"/>
          <w:i/>
          <w:sz w:val="22"/>
          <w:szCs w:val="22"/>
        </w:rPr>
      </w:pPr>
      <w:r w:rsidRPr="00D3301F">
        <w:rPr>
          <w:rFonts w:eastAsia="Times New Roman"/>
          <w:i/>
          <w:sz w:val="22"/>
          <w:szCs w:val="22"/>
        </w:rPr>
        <w:t>руб./кВтч</w:t>
      </w:r>
    </w:p>
    <w:tbl>
      <w:tblPr>
        <w:tblW w:w="5000" w:type="pct"/>
        <w:tblLook w:val="04A0" w:firstRow="1" w:lastRow="0" w:firstColumn="1" w:lastColumn="0" w:noHBand="0" w:noVBand="1"/>
      </w:tblPr>
      <w:tblGrid>
        <w:gridCol w:w="2034"/>
        <w:gridCol w:w="1885"/>
        <w:gridCol w:w="1885"/>
        <w:gridCol w:w="1885"/>
        <w:gridCol w:w="1882"/>
      </w:tblGrid>
      <w:tr w:rsidR="00A712E1" w:rsidRPr="00D3301F" w:rsidTr="00A712E1">
        <w:trPr>
          <w:trHeight w:val="300"/>
        </w:trPr>
        <w:tc>
          <w:tcPr>
            <w:tcW w:w="106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985"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2018 г.</w:t>
            </w:r>
          </w:p>
        </w:tc>
        <w:tc>
          <w:tcPr>
            <w:tcW w:w="985"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2019 г.</w:t>
            </w:r>
          </w:p>
        </w:tc>
        <w:tc>
          <w:tcPr>
            <w:tcW w:w="985"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2020 г.</w:t>
            </w:r>
          </w:p>
        </w:tc>
        <w:tc>
          <w:tcPr>
            <w:tcW w:w="984" w:type="pct"/>
            <w:tcBorders>
              <w:top w:val="single" w:sz="4" w:space="0" w:color="auto"/>
              <w:left w:val="nil"/>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2021 г.</w:t>
            </w:r>
          </w:p>
        </w:tc>
      </w:tr>
      <w:tr w:rsidR="00A712E1" w:rsidRPr="00D3301F" w:rsidTr="00A712E1">
        <w:trPr>
          <w:trHeight w:val="677"/>
        </w:trPr>
        <w:tc>
          <w:tcPr>
            <w:tcW w:w="106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Нижний Новгород - </w:t>
            </w:r>
            <w:r w:rsidRPr="00D3301F">
              <w:rPr>
                <w:rFonts w:eastAsia="Times New Roman"/>
                <w:b/>
                <w:i/>
                <w:color w:val="000000"/>
                <w:sz w:val="20"/>
                <w:szCs w:val="20"/>
              </w:rPr>
              <w:t>0,24483</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0,80817</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0,96201</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0,34533</w:t>
            </w:r>
          </w:p>
        </w:tc>
      </w:tr>
      <w:tr w:rsidR="00A712E1" w:rsidRPr="00D3301F" w:rsidTr="00A712E1">
        <w:trPr>
          <w:trHeight w:val="523"/>
        </w:trPr>
        <w:tc>
          <w:tcPr>
            <w:tcW w:w="106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0,04425</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0,09468</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0,17888</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0,12671</w:t>
            </w:r>
          </w:p>
        </w:tc>
      </w:tr>
      <w:tr w:rsidR="00A712E1" w:rsidRPr="00D3301F" w:rsidTr="00A712E1">
        <w:trPr>
          <w:trHeight w:val="413"/>
        </w:trPr>
        <w:tc>
          <w:tcPr>
            <w:tcW w:w="1062"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0,03235</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Казань – </w:t>
            </w:r>
          </w:p>
          <w:p w:rsidR="00A712E1" w:rsidRPr="00D3301F" w:rsidRDefault="00A712E1" w:rsidP="00A712E1">
            <w:pPr>
              <w:spacing w:after="0" w:line="240" w:lineRule="auto"/>
              <w:rPr>
                <w:rFonts w:eastAsia="Times New Roman"/>
                <w:color w:val="000000"/>
                <w:sz w:val="20"/>
                <w:szCs w:val="20"/>
              </w:rPr>
            </w:pPr>
            <w:r w:rsidRPr="00D3301F">
              <w:rPr>
                <w:rFonts w:eastAsia="Times New Roman"/>
                <w:b/>
                <w:i/>
                <w:color w:val="000000"/>
                <w:sz w:val="20"/>
                <w:szCs w:val="20"/>
              </w:rPr>
              <w:t>0,0568</w:t>
            </w:r>
          </w:p>
        </w:tc>
        <w:tc>
          <w:tcPr>
            <w:tcW w:w="985"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0,06001</w:t>
            </w:r>
          </w:p>
        </w:tc>
        <w:tc>
          <w:tcPr>
            <w:tcW w:w="984" w:type="pct"/>
            <w:tcBorders>
              <w:top w:val="nil"/>
              <w:left w:val="nil"/>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0,06982</w:t>
            </w:r>
          </w:p>
        </w:tc>
      </w:tr>
    </w:tbl>
    <w:p w:rsidR="00A712E1" w:rsidRDefault="00A712E1" w:rsidP="00A712E1">
      <w:pPr>
        <w:spacing w:after="0" w:line="240" w:lineRule="auto"/>
        <w:jc w:val="right"/>
        <w:rPr>
          <w:rFonts w:eastAsia="Times New Roman"/>
          <w:i/>
          <w:szCs w:val="28"/>
        </w:rPr>
      </w:pPr>
    </w:p>
    <w:p w:rsidR="00A712E1" w:rsidRPr="00D3301F" w:rsidRDefault="00A712E1" w:rsidP="00A712E1">
      <w:pPr>
        <w:spacing w:after="0" w:line="240" w:lineRule="auto"/>
        <w:jc w:val="right"/>
        <w:rPr>
          <w:rFonts w:eastAsia="Times New Roman"/>
          <w:i/>
          <w:sz w:val="24"/>
        </w:rPr>
      </w:pPr>
      <w:r w:rsidRPr="00D3301F">
        <w:rPr>
          <w:rFonts w:eastAsia="Times New Roman"/>
          <w:i/>
          <w:sz w:val="24"/>
        </w:rPr>
        <w:t>продолжение таблицы</w:t>
      </w:r>
    </w:p>
    <w:p w:rsidR="00A712E1" w:rsidRPr="00D3301F" w:rsidRDefault="00A712E1" w:rsidP="00A712E1">
      <w:pPr>
        <w:spacing w:after="0" w:line="240" w:lineRule="auto"/>
        <w:ind w:firstLine="709"/>
        <w:jc w:val="right"/>
        <w:rPr>
          <w:rFonts w:eastAsia="Times New Roman"/>
          <w:sz w:val="24"/>
        </w:rPr>
      </w:pPr>
      <w:r w:rsidRPr="00D3301F">
        <w:rPr>
          <w:rFonts w:eastAsia="Times New Roman"/>
          <w:i/>
          <w:sz w:val="24"/>
        </w:rPr>
        <w:t>руб./кВтч</w:t>
      </w:r>
    </w:p>
    <w:tbl>
      <w:tblPr>
        <w:tblW w:w="5013" w:type="pct"/>
        <w:tblLook w:val="04A0" w:firstRow="1" w:lastRow="0" w:firstColumn="1" w:lastColumn="0" w:noHBand="0" w:noVBand="1"/>
      </w:tblPr>
      <w:tblGrid>
        <w:gridCol w:w="2037"/>
        <w:gridCol w:w="1891"/>
        <w:gridCol w:w="1890"/>
        <w:gridCol w:w="1890"/>
        <w:gridCol w:w="1888"/>
      </w:tblGrid>
      <w:tr w:rsidR="00A712E1" w:rsidRPr="00D3301F" w:rsidTr="00A712E1">
        <w:trPr>
          <w:trHeight w:val="300"/>
        </w:trPr>
        <w:tc>
          <w:tcPr>
            <w:tcW w:w="106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Показатели</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2022 г.</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2023 г.</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2024 г.</w:t>
            </w:r>
          </w:p>
        </w:tc>
        <w:tc>
          <w:tcPr>
            <w:tcW w:w="985" w:type="pct"/>
            <w:tcBorders>
              <w:top w:val="single" w:sz="4" w:space="0" w:color="auto"/>
              <w:left w:val="nil"/>
              <w:bottom w:val="single" w:sz="4" w:space="0" w:color="auto"/>
              <w:right w:val="single" w:sz="4" w:space="0" w:color="auto"/>
            </w:tcBorders>
            <w:shd w:val="clear" w:color="auto" w:fill="auto"/>
            <w:noWrap/>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2025 г.</w:t>
            </w:r>
          </w:p>
        </w:tc>
      </w:tr>
      <w:tr w:rsidR="00A712E1" w:rsidRPr="00D3301F" w:rsidTr="00A712E1">
        <w:trPr>
          <w:trHeight w:val="525"/>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максимальная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0,7683</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Самара - </w:t>
            </w:r>
            <w:r w:rsidRPr="00D3301F">
              <w:rPr>
                <w:rFonts w:eastAsia="Times New Roman"/>
                <w:b/>
                <w:i/>
                <w:color w:val="000000"/>
                <w:sz w:val="20"/>
                <w:szCs w:val="20"/>
              </w:rPr>
              <w:t>0,85475</w:t>
            </w:r>
          </w:p>
        </w:tc>
        <w:tc>
          <w:tcPr>
            <w:tcW w:w="985"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1,10084</w:t>
            </w:r>
          </w:p>
        </w:tc>
        <w:tc>
          <w:tcPr>
            <w:tcW w:w="985"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Екатеринбург – </w:t>
            </w:r>
            <w:r w:rsidRPr="00D3301F">
              <w:rPr>
                <w:rFonts w:eastAsia="Times New Roman"/>
                <w:b/>
                <w:i/>
                <w:color w:val="000000"/>
                <w:sz w:val="20"/>
                <w:szCs w:val="20"/>
              </w:rPr>
              <w:t>0,81181</w:t>
            </w:r>
          </w:p>
        </w:tc>
      </w:tr>
      <w:tr w:rsidR="00A712E1" w:rsidRPr="00D3301F" w:rsidTr="00A712E1">
        <w:trPr>
          <w:trHeight w:val="547"/>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0,14955</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0,24780</w:t>
            </w:r>
          </w:p>
        </w:tc>
        <w:tc>
          <w:tcPr>
            <w:tcW w:w="985"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0,18472</w:t>
            </w:r>
          </w:p>
        </w:tc>
        <w:tc>
          <w:tcPr>
            <w:tcW w:w="985"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Новосибирск – </w:t>
            </w:r>
            <w:r w:rsidRPr="00D3301F">
              <w:rPr>
                <w:rFonts w:eastAsia="Times New Roman"/>
                <w:b/>
                <w:i/>
                <w:color w:val="000000"/>
                <w:sz w:val="20"/>
                <w:szCs w:val="20"/>
              </w:rPr>
              <w:t>0,41413</w:t>
            </w:r>
          </w:p>
        </w:tc>
      </w:tr>
      <w:tr w:rsidR="00A712E1" w:rsidRPr="00D3301F" w:rsidTr="00A712E1">
        <w:trPr>
          <w:trHeight w:val="413"/>
        </w:trPr>
        <w:tc>
          <w:tcPr>
            <w:tcW w:w="1061" w:type="pct"/>
            <w:tcBorders>
              <w:top w:val="nil"/>
              <w:left w:val="single" w:sz="4" w:space="0" w:color="auto"/>
              <w:bottom w:val="single" w:sz="4" w:space="0" w:color="auto"/>
              <w:right w:val="single" w:sz="4" w:space="0" w:color="auto"/>
            </w:tcBorders>
            <w:shd w:val="clear" w:color="auto" w:fill="auto"/>
            <w:vAlign w:val="bottom"/>
            <w:hideMark/>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минимальная сбытовая надбавка</w:t>
            </w:r>
          </w:p>
        </w:tc>
        <w:tc>
          <w:tcPr>
            <w:tcW w:w="985" w:type="pct"/>
            <w:tcBorders>
              <w:top w:val="single" w:sz="4" w:space="0" w:color="auto"/>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0,06848</w:t>
            </w:r>
          </w:p>
        </w:tc>
        <w:tc>
          <w:tcPr>
            <w:tcW w:w="985" w:type="pct"/>
            <w:tcBorders>
              <w:top w:val="single" w:sz="4" w:space="0" w:color="auto"/>
              <w:left w:val="single" w:sz="4" w:space="0" w:color="auto"/>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0,07399</w:t>
            </w:r>
          </w:p>
        </w:tc>
        <w:tc>
          <w:tcPr>
            <w:tcW w:w="985" w:type="pct"/>
            <w:tcBorders>
              <w:top w:val="nil"/>
              <w:left w:val="nil"/>
              <w:bottom w:val="single" w:sz="4" w:space="0" w:color="auto"/>
              <w:right w:val="single" w:sz="4" w:space="0" w:color="auto"/>
            </w:tcBorders>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r w:rsidRPr="00D3301F">
              <w:rPr>
                <w:rFonts w:eastAsia="Times New Roman"/>
                <w:b/>
                <w:i/>
                <w:color w:val="000000"/>
                <w:sz w:val="20"/>
                <w:szCs w:val="20"/>
              </w:rPr>
              <w:t>0,07451</w:t>
            </w:r>
          </w:p>
        </w:tc>
        <w:tc>
          <w:tcPr>
            <w:tcW w:w="985" w:type="pct"/>
            <w:tcBorders>
              <w:top w:val="nil"/>
              <w:left w:val="nil"/>
              <w:bottom w:val="single" w:sz="4" w:space="0" w:color="auto"/>
              <w:right w:val="single" w:sz="4" w:space="0" w:color="auto"/>
            </w:tcBorders>
            <w:shd w:val="clear" w:color="auto" w:fill="auto"/>
            <w:vAlign w:val="bottom"/>
          </w:tcPr>
          <w:p w:rsidR="00A712E1" w:rsidRPr="00D3301F" w:rsidRDefault="00A712E1" w:rsidP="00A712E1">
            <w:pPr>
              <w:spacing w:after="0" w:line="240" w:lineRule="auto"/>
              <w:rPr>
                <w:rFonts w:eastAsia="Times New Roman"/>
                <w:color w:val="000000"/>
                <w:sz w:val="20"/>
                <w:szCs w:val="20"/>
              </w:rPr>
            </w:pPr>
            <w:r w:rsidRPr="00D3301F">
              <w:rPr>
                <w:rFonts w:eastAsia="Times New Roman"/>
                <w:color w:val="000000"/>
                <w:sz w:val="20"/>
                <w:szCs w:val="20"/>
              </w:rPr>
              <w:t xml:space="preserve">г. Москва – </w:t>
            </w:r>
          </w:p>
          <w:p w:rsidR="00A712E1" w:rsidRPr="00D3301F" w:rsidRDefault="00A712E1" w:rsidP="00A712E1">
            <w:pPr>
              <w:spacing w:after="0" w:line="240" w:lineRule="auto"/>
              <w:rPr>
                <w:rFonts w:eastAsia="Times New Roman"/>
                <w:b/>
                <w:i/>
                <w:color w:val="000000"/>
                <w:sz w:val="20"/>
                <w:szCs w:val="20"/>
              </w:rPr>
            </w:pPr>
            <w:r w:rsidRPr="00D3301F">
              <w:rPr>
                <w:rFonts w:eastAsia="Times New Roman"/>
                <w:b/>
                <w:i/>
                <w:color w:val="000000"/>
                <w:sz w:val="20"/>
                <w:szCs w:val="20"/>
              </w:rPr>
              <w:t>0,07585</w:t>
            </w:r>
          </w:p>
        </w:tc>
      </w:tr>
    </w:tbl>
    <w:p w:rsidR="00A712E1" w:rsidRDefault="00A712E1" w:rsidP="00A712E1">
      <w:pPr>
        <w:spacing w:after="0" w:line="240" w:lineRule="auto"/>
        <w:ind w:firstLine="709"/>
        <w:jc w:val="both"/>
        <w:rPr>
          <w:rFonts w:eastAsia="Times New Roman"/>
          <w:szCs w:val="28"/>
        </w:rPr>
      </w:pPr>
    </w:p>
    <w:p w:rsidR="00A712E1" w:rsidRPr="002F2797" w:rsidRDefault="00A712E1" w:rsidP="00A712E1">
      <w:pPr>
        <w:spacing w:after="0" w:line="240" w:lineRule="auto"/>
        <w:ind w:firstLine="709"/>
        <w:jc w:val="both"/>
        <w:rPr>
          <w:rFonts w:eastAsia="Times New Roman"/>
          <w:szCs w:val="28"/>
        </w:rPr>
      </w:pPr>
      <w:r w:rsidRPr="002F2797">
        <w:rPr>
          <w:rFonts w:eastAsia="Times New Roman"/>
          <w:szCs w:val="28"/>
        </w:rPr>
        <w:t xml:space="preserve">Как видно на выше представленных графиках уровень сбытовых надбавок по прочим потребителям в 2018 г., 2019 и 2021 гг. </w:t>
      </w:r>
      <w:r w:rsidR="00D3301F">
        <w:rPr>
          <w:rFonts w:eastAsia="Times New Roman"/>
          <w:szCs w:val="28"/>
        </w:rPr>
        <w:t>у</w:t>
      </w:r>
      <w:r w:rsidRPr="002F2797">
        <w:rPr>
          <w:rFonts w:eastAsia="Times New Roman"/>
          <w:szCs w:val="28"/>
        </w:rPr>
        <w:t xml:space="preserve">                                               АО «Новосибирскэнергосбыт» соответствовал минимальному значению в сравнении с городами-миллионниками. В 2020 году (при переходе на формирование выручки методом аналогов в 100% объеме) наблюдается </w:t>
      </w:r>
      <w:r w:rsidRPr="002F2797">
        <w:rPr>
          <w:rFonts w:eastAsia="Times New Roman"/>
          <w:szCs w:val="28"/>
        </w:rPr>
        <w:lastRenderedPageBreak/>
        <w:t xml:space="preserve">незначительный рост сбытовых надбавок относительно минимального уровня. </w:t>
      </w:r>
    </w:p>
    <w:p w:rsidR="00A712E1" w:rsidRPr="007E63AC" w:rsidRDefault="00A712E1" w:rsidP="00A712E1">
      <w:pPr>
        <w:spacing w:after="0" w:line="240" w:lineRule="auto"/>
        <w:rPr>
          <w:rFonts w:eastAsia="Times New Roman"/>
          <w:szCs w:val="28"/>
          <w:lang w:val="en-US"/>
        </w:rPr>
      </w:pPr>
      <w:r>
        <w:rPr>
          <w:noProof/>
        </w:rPr>
        <w:drawing>
          <wp:inline distT="0" distB="0" distL="0" distR="0" wp14:anchorId="1D871111" wp14:editId="61A66F33">
            <wp:extent cx="6076951" cy="4295775"/>
            <wp:effectExtent l="0" t="0" r="0" b="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A712E1" w:rsidRPr="00FB73AD" w:rsidRDefault="00A712E1" w:rsidP="00A712E1">
      <w:pPr>
        <w:spacing w:after="0" w:line="240" w:lineRule="auto"/>
        <w:ind w:firstLine="709"/>
        <w:jc w:val="both"/>
        <w:rPr>
          <w:rFonts w:eastAsia="Times New Roman"/>
          <w:szCs w:val="28"/>
        </w:rPr>
      </w:pPr>
      <w:r w:rsidRPr="002F2797">
        <w:rPr>
          <w:rFonts w:eastAsia="Times New Roman"/>
          <w:szCs w:val="28"/>
        </w:rPr>
        <w:t xml:space="preserve">После перехода на формирование выручки гарантирующего поставщика методом сравнения аналогов доля сбытовой надбавки в структуре конечной цены для прочих потребителей </w:t>
      </w:r>
      <w:r w:rsidRPr="002F2797">
        <w:rPr>
          <w:rFonts w:eastAsia="Times New Roman"/>
          <w:szCs w:val="28"/>
          <w:lang w:val="en-US"/>
        </w:rPr>
        <w:t>I</w:t>
      </w:r>
      <w:r w:rsidRPr="002F2797">
        <w:rPr>
          <w:rFonts w:eastAsia="Times New Roman"/>
          <w:szCs w:val="28"/>
        </w:rPr>
        <w:t xml:space="preserve"> ценовой категории значительно возросла и в </w:t>
      </w:r>
      <w:r>
        <w:rPr>
          <w:rFonts w:eastAsia="Times New Roman"/>
          <w:szCs w:val="28"/>
        </w:rPr>
        <w:t xml:space="preserve">декабре </w:t>
      </w:r>
      <w:r w:rsidRPr="00123C3A">
        <w:rPr>
          <w:rFonts w:eastAsia="Times New Roman"/>
          <w:szCs w:val="28"/>
        </w:rPr>
        <w:t>2024 года по данным АО «Новосибирскэнергосбыт» составила 5,6 %.</w:t>
      </w:r>
      <w:r w:rsidRPr="00FB73AD">
        <w:rPr>
          <w:rFonts w:eastAsia="Times New Roman"/>
          <w:szCs w:val="28"/>
        </w:rPr>
        <w:t xml:space="preserve"> </w:t>
      </w:r>
    </w:p>
    <w:p w:rsidR="00A712E1" w:rsidRPr="00B36D6C" w:rsidRDefault="00A712E1" w:rsidP="00D3301F">
      <w:pPr>
        <w:pStyle w:val="4"/>
      </w:pPr>
      <w:bookmarkStart w:id="30" w:name="_Toc193810532"/>
      <w:r w:rsidRPr="000B3935">
        <w:t>2.</w:t>
      </w:r>
      <w:r>
        <w:t>1</w:t>
      </w:r>
      <w:r w:rsidRPr="000B3935">
        <w:t>.</w:t>
      </w:r>
      <w:r>
        <w:t>5.</w:t>
      </w:r>
      <w:r w:rsidRPr="000B3935">
        <w:t xml:space="preserve"> Согласование инвестиционных программ территориальных сетевых организаций</w:t>
      </w:r>
      <w:bookmarkEnd w:id="30"/>
    </w:p>
    <w:p w:rsidR="00A712E1" w:rsidRPr="00A21503" w:rsidRDefault="00A712E1" w:rsidP="00A712E1">
      <w:pPr>
        <w:autoSpaceDE w:val="0"/>
        <w:autoSpaceDN w:val="0"/>
        <w:spacing w:after="0" w:line="240" w:lineRule="auto"/>
        <w:ind w:firstLine="708"/>
        <w:jc w:val="both"/>
        <w:rPr>
          <w:rFonts w:eastAsia="Times New Roman"/>
          <w:szCs w:val="28"/>
        </w:rPr>
      </w:pPr>
      <w:r w:rsidRPr="00A21503">
        <w:rPr>
          <w:rFonts w:eastAsia="Times New Roman"/>
          <w:szCs w:val="28"/>
        </w:rPr>
        <w:t xml:space="preserve">В рамках рассмотрения инвестиционных проектов территориальных сетевых организаций, </w:t>
      </w:r>
      <w:r>
        <w:rPr>
          <w:rFonts w:eastAsia="Times New Roman"/>
          <w:szCs w:val="28"/>
        </w:rPr>
        <w:t>утверждаемых</w:t>
      </w:r>
      <w:r w:rsidRPr="00A21503">
        <w:rPr>
          <w:rFonts w:eastAsia="Times New Roman"/>
          <w:szCs w:val="28"/>
        </w:rPr>
        <w:t xml:space="preserve"> Министерство</w:t>
      </w:r>
      <w:r>
        <w:rPr>
          <w:rFonts w:eastAsia="Times New Roman"/>
          <w:szCs w:val="28"/>
        </w:rPr>
        <w:t>м</w:t>
      </w:r>
      <w:r w:rsidRPr="00A21503">
        <w:rPr>
          <w:rFonts w:eastAsia="Times New Roman"/>
          <w:szCs w:val="28"/>
        </w:rPr>
        <w:t xml:space="preserve"> жилищно-коммунального хозяйства и энергетики Новосибирской области, </w:t>
      </w:r>
      <w:r>
        <w:rPr>
          <w:rFonts w:eastAsia="Times New Roman"/>
          <w:szCs w:val="28"/>
        </w:rPr>
        <w:t xml:space="preserve">Минэнерго России </w:t>
      </w:r>
      <w:r w:rsidRPr="00A21503">
        <w:rPr>
          <w:rFonts w:eastAsia="Times New Roman"/>
          <w:szCs w:val="28"/>
        </w:rPr>
        <w:t xml:space="preserve">департаментом произведена оценка финансирования инвестиционных </w:t>
      </w:r>
      <w:r>
        <w:rPr>
          <w:rFonts w:eastAsia="Times New Roman"/>
          <w:szCs w:val="28"/>
        </w:rPr>
        <w:t>мероприятий, затраты по которым</w:t>
      </w:r>
      <w:r w:rsidRPr="00A21503">
        <w:rPr>
          <w:rFonts w:eastAsia="Times New Roman"/>
          <w:szCs w:val="28"/>
        </w:rPr>
        <w:t xml:space="preserve"> учтены при корректировке необходимой валовой выручки регулируемых организаций на 202</w:t>
      </w:r>
      <w:r>
        <w:rPr>
          <w:rFonts w:eastAsia="Times New Roman"/>
          <w:szCs w:val="28"/>
        </w:rPr>
        <w:t>5</w:t>
      </w:r>
      <w:r w:rsidRPr="00A21503">
        <w:rPr>
          <w:rFonts w:eastAsia="Times New Roman"/>
          <w:szCs w:val="28"/>
        </w:rPr>
        <w:t xml:space="preserve"> год. </w:t>
      </w:r>
    </w:p>
    <w:p w:rsidR="00A712E1" w:rsidRPr="00C81D8D" w:rsidRDefault="00A712E1" w:rsidP="00A712E1">
      <w:pPr>
        <w:autoSpaceDE w:val="0"/>
        <w:autoSpaceDN w:val="0"/>
        <w:spacing w:after="0" w:line="240" w:lineRule="auto"/>
        <w:ind w:firstLine="709"/>
        <w:jc w:val="both"/>
        <w:rPr>
          <w:rFonts w:eastAsia="Times New Roman"/>
          <w:szCs w:val="28"/>
        </w:rPr>
      </w:pPr>
      <w:r w:rsidRPr="00103836">
        <w:rPr>
          <w:rFonts w:eastAsia="Times New Roman"/>
          <w:szCs w:val="28"/>
        </w:rPr>
        <w:t xml:space="preserve">Финансирование инвестиционных программ за счет тарифов на услуги по передаче электрической энергии на </w:t>
      </w:r>
      <w:r>
        <w:rPr>
          <w:rFonts w:eastAsia="Times New Roman"/>
          <w:szCs w:val="28"/>
        </w:rPr>
        <w:t>2025</w:t>
      </w:r>
      <w:r w:rsidRPr="00103836">
        <w:rPr>
          <w:rFonts w:eastAsia="Times New Roman"/>
          <w:szCs w:val="28"/>
        </w:rPr>
        <w:t xml:space="preserve"> год согласовано в установленном порядке для </w:t>
      </w:r>
      <w:r>
        <w:rPr>
          <w:rFonts w:eastAsia="Times New Roman"/>
          <w:szCs w:val="28"/>
        </w:rPr>
        <w:t>пяти</w:t>
      </w:r>
      <w:r w:rsidRPr="00103836">
        <w:rPr>
          <w:rFonts w:eastAsia="Times New Roman"/>
          <w:szCs w:val="28"/>
        </w:rPr>
        <w:t xml:space="preserve"> регулируемых организаций Новосибирской области: </w:t>
      </w:r>
      <w:r>
        <w:rPr>
          <w:rFonts w:eastAsia="Times New Roman"/>
          <w:szCs w:val="28"/>
        </w:rPr>
        <w:t xml:space="preserve">               </w:t>
      </w:r>
      <w:r w:rsidRPr="001300FA">
        <w:rPr>
          <w:rFonts w:eastAsia="Times New Roman"/>
          <w:szCs w:val="28"/>
        </w:rPr>
        <w:t>АО «РЭС», филиалу</w:t>
      </w:r>
      <w:r w:rsidRPr="00103836">
        <w:rPr>
          <w:rFonts w:eastAsia="Times New Roman"/>
          <w:szCs w:val="28"/>
        </w:rPr>
        <w:t xml:space="preserve"> «Забайкальский» АО «Оборонэнерго» в границах Новосибирской области, филиала «ОАО «РЖД», ООО «Новосибирская городская сетевая компания», ООО «НРСК-Сибирь».</w:t>
      </w:r>
      <w:r w:rsidRPr="00C81D8D">
        <w:rPr>
          <w:rFonts w:eastAsia="Times New Roman"/>
          <w:szCs w:val="28"/>
        </w:rPr>
        <w:t xml:space="preserve">  </w:t>
      </w:r>
    </w:p>
    <w:p w:rsidR="00A712E1" w:rsidRPr="00136A11" w:rsidRDefault="00A712E1" w:rsidP="00A712E1">
      <w:pPr>
        <w:spacing w:after="0" w:line="240" w:lineRule="auto"/>
        <w:jc w:val="both"/>
        <w:rPr>
          <w:color w:val="FF0000"/>
          <w:szCs w:val="28"/>
        </w:rPr>
      </w:pPr>
      <w:r w:rsidRPr="00C81D8D">
        <w:rPr>
          <w:szCs w:val="28"/>
        </w:rPr>
        <w:tab/>
      </w:r>
      <w:r w:rsidRPr="00A37CF6">
        <w:rPr>
          <w:szCs w:val="28"/>
        </w:rPr>
        <w:t xml:space="preserve">Кроме того, в соответствии с Положением о государственном контроле (надзоре) в области регулируемых государством цен (тарифов), </w:t>
      </w:r>
      <w:r w:rsidRPr="00A37CF6">
        <w:rPr>
          <w:szCs w:val="28"/>
        </w:rPr>
        <w:lastRenderedPageBreak/>
        <w:t xml:space="preserve">утвержденным постановлением Правительства РФ от 27.06.2013 № 543, департаментом проведен анализ исполнения инвестиционных программ территориальных сетевых организаций в 2022-2023 годах (корректировка необходимой валовой выручки на 2024 год, осуществляемая в связи с изменением (неисполнением) инвестиционных программ ТСО в 2022 году, департаментом не производилась на основании требований постановления Правительства РФ № 507 от 29.03.2022 </w:t>
      </w:r>
      <w:r>
        <w:rPr>
          <w:szCs w:val="28"/>
        </w:rPr>
        <w:t>«</w:t>
      </w:r>
      <w:r w:rsidRPr="00A37CF6">
        <w:rPr>
          <w:szCs w:val="28"/>
        </w:rPr>
        <w:t>Об особенностях государственного регулирования цен (тарифов) в электроэнергети</w:t>
      </w:r>
      <w:r>
        <w:rPr>
          <w:szCs w:val="28"/>
        </w:rPr>
        <w:t>ке в 2022 и 2023 годах»</w:t>
      </w:r>
      <w:r w:rsidRPr="00A37CF6">
        <w:rPr>
          <w:szCs w:val="28"/>
        </w:rPr>
        <w:t xml:space="preserve"> и Методических указаний № 98-э). По результатам анализа исполнения инвестиционных программ за указанный период департаментом установлено</w:t>
      </w:r>
      <w:r w:rsidRPr="00A37CF6">
        <w:t xml:space="preserve"> </w:t>
      </w:r>
      <w:r w:rsidRPr="00A37CF6">
        <w:rPr>
          <w:szCs w:val="28"/>
        </w:rPr>
        <w:t>их неисполнение, нецелевое использование по ряду территориальных сетевых организаций.</w:t>
      </w:r>
    </w:p>
    <w:p w:rsidR="00A712E1" w:rsidRDefault="00A712E1" w:rsidP="00A712E1">
      <w:pPr>
        <w:spacing w:after="0" w:line="240" w:lineRule="auto"/>
        <w:ind w:firstLine="709"/>
        <w:jc w:val="both"/>
        <w:rPr>
          <w:szCs w:val="28"/>
        </w:rPr>
      </w:pPr>
      <w:r>
        <w:rPr>
          <w:szCs w:val="28"/>
        </w:rPr>
        <w:t xml:space="preserve">При формировании НВВ ТСО на 2025 год департаментом </w:t>
      </w:r>
      <w:r w:rsidRPr="00B629A8">
        <w:rPr>
          <w:szCs w:val="28"/>
        </w:rPr>
        <w:t>произведена корректировка НВВ</w:t>
      </w:r>
      <w:r>
        <w:rPr>
          <w:color w:val="FF0000"/>
          <w:szCs w:val="28"/>
        </w:rPr>
        <w:t xml:space="preserve"> </w:t>
      </w:r>
      <w:r>
        <w:rPr>
          <w:szCs w:val="28"/>
        </w:rPr>
        <w:t>3</w:t>
      </w:r>
      <w:r w:rsidRPr="00671C38">
        <w:rPr>
          <w:szCs w:val="28"/>
        </w:rPr>
        <w:t xml:space="preserve"> сетевых организаций</w:t>
      </w:r>
      <w:r>
        <w:rPr>
          <w:szCs w:val="28"/>
        </w:rPr>
        <w:t xml:space="preserve">, связанная с </w:t>
      </w:r>
      <w:r w:rsidRPr="00A37CF6">
        <w:rPr>
          <w:szCs w:val="28"/>
        </w:rPr>
        <w:t xml:space="preserve">изменением (неисполнением) </w:t>
      </w:r>
      <w:r>
        <w:rPr>
          <w:szCs w:val="28"/>
        </w:rPr>
        <w:t>инвестиционных программ:</w:t>
      </w:r>
    </w:p>
    <w:p w:rsidR="00A712E1" w:rsidRDefault="00A712E1" w:rsidP="00A712E1">
      <w:pPr>
        <w:spacing w:after="0" w:line="240" w:lineRule="auto"/>
        <w:ind w:firstLine="709"/>
        <w:jc w:val="both"/>
        <w:rPr>
          <w:szCs w:val="28"/>
        </w:rPr>
      </w:pPr>
      <w:r>
        <w:rPr>
          <w:szCs w:val="28"/>
        </w:rPr>
        <w:t xml:space="preserve">-в сторону снижения на </w:t>
      </w:r>
      <w:r w:rsidRPr="00B70C49">
        <w:rPr>
          <w:szCs w:val="28"/>
        </w:rPr>
        <w:t>286,8</w:t>
      </w:r>
      <w:r>
        <w:rPr>
          <w:szCs w:val="28"/>
        </w:rPr>
        <w:t xml:space="preserve"> тыс. руб. </w:t>
      </w:r>
      <w:r w:rsidRPr="00B70C49">
        <w:rPr>
          <w:szCs w:val="28"/>
        </w:rPr>
        <w:t>за счет недоиспользования средств (экономии), предусмотренных в составе НВВ</w:t>
      </w:r>
      <w:r w:rsidRPr="00B70C49">
        <w:t xml:space="preserve"> </w:t>
      </w:r>
      <w:r w:rsidRPr="00B70C49">
        <w:rPr>
          <w:szCs w:val="28"/>
        </w:rPr>
        <w:t>ООО «НРСК-Сибирь»</w:t>
      </w:r>
      <w:r>
        <w:rPr>
          <w:szCs w:val="28"/>
        </w:rPr>
        <w:t>;</w:t>
      </w:r>
    </w:p>
    <w:p w:rsidR="00A712E1" w:rsidRDefault="00A712E1" w:rsidP="00A712E1">
      <w:pPr>
        <w:spacing w:after="0" w:line="240" w:lineRule="auto"/>
        <w:ind w:firstLine="709"/>
        <w:jc w:val="both"/>
        <w:rPr>
          <w:szCs w:val="28"/>
        </w:rPr>
      </w:pPr>
      <w:r>
        <w:rPr>
          <w:szCs w:val="28"/>
        </w:rPr>
        <w:t>-</w:t>
      </w:r>
      <w:r w:rsidRPr="00B70C49">
        <w:rPr>
          <w:szCs w:val="28"/>
        </w:rPr>
        <w:t xml:space="preserve">в сторону </w:t>
      </w:r>
      <w:r>
        <w:rPr>
          <w:szCs w:val="28"/>
        </w:rPr>
        <w:t>увеличен</w:t>
      </w:r>
      <w:r w:rsidRPr="00B70C49">
        <w:rPr>
          <w:szCs w:val="28"/>
        </w:rPr>
        <w:t>ия</w:t>
      </w:r>
      <w:r>
        <w:rPr>
          <w:szCs w:val="28"/>
        </w:rPr>
        <w:t xml:space="preserve"> на </w:t>
      </w:r>
      <w:r w:rsidRPr="00B70C49">
        <w:rPr>
          <w:szCs w:val="28"/>
        </w:rPr>
        <w:t>348,6</w:t>
      </w:r>
      <w:r w:rsidRPr="00B70C49">
        <w:t xml:space="preserve"> </w:t>
      </w:r>
      <w:r w:rsidRPr="00B70C49">
        <w:rPr>
          <w:szCs w:val="28"/>
        </w:rPr>
        <w:t>тыс.</w:t>
      </w:r>
      <w:r>
        <w:rPr>
          <w:szCs w:val="28"/>
        </w:rPr>
        <w:t xml:space="preserve"> </w:t>
      </w:r>
      <w:r w:rsidRPr="00B70C49">
        <w:rPr>
          <w:szCs w:val="28"/>
        </w:rPr>
        <w:t>руб. за счет</w:t>
      </w:r>
      <w:r>
        <w:rPr>
          <w:szCs w:val="28"/>
        </w:rPr>
        <w:t xml:space="preserve"> возмещения фактически понесенных расходов по исполнению инвестиционной программы относительно предусмотренных в составе НВВ филиала</w:t>
      </w:r>
      <w:r w:rsidRPr="00A37CF6">
        <w:rPr>
          <w:szCs w:val="28"/>
        </w:rPr>
        <w:t xml:space="preserve"> «Забайкальский» АО</w:t>
      </w:r>
      <w:r>
        <w:rPr>
          <w:szCs w:val="28"/>
        </w:rPr>
        <w:t> </w:t>
      </w:r>
      <w:r w:rsidRPr="00A37CF6">
        <w:rPr>
          <w:szCs w:val="28"/>
        </w:rPr>
        <w:t>«Оборонэнерго» в границах Новосибирской области</w:t>
      </w:r>
      <w:r>
        <w:rPr>
          <w:szCs w:val="28"/>
        </w:rPr>
        <w:t>;</w:t>
      </w:r>
    </w:p>
    <w:p w:rsidR="00A712E1" w:rsidRPr="003A3F2D" w:rsidRDefault="00A712E1" w:rsidP="00A712E1">
      <w:pPr>
        <w:spacing w:after="0" w:line="240" w:lineRule="auto"/>
        <w:ind w:firstLine="709"/>
        <w:jc w:val="both"/>
        <w:rPr>
          <w:szCs w:val="28"/>
        </w:rPr>
      </w:pPr>
      <w:r w:rsidRPr="00A37CF6">
        <w:rPr>
          <w:szCs w:val="28"/>
        </w:rPr>
        <w:t xml:space="preserve">-в сторону снижения на </w:t>
      </w:r>
      <w:r>
        <w:rPr>
          <w:szCs w:val="28"/>
        </w:rPr>
        <w:t>239 517</w:t>
      </w:r>
      <w:r w:rsidRPr="00A37CF6">
        <w:rPr>
          <w:szCs w:val="28"/>
        </w:rPr>
        <w:t xml:space="preserve"> тыс. руб. </w:t>
      </w:r>
      <w:r>
        <w:rPr>
          <w:szCs w:val="28"/>
        </w:rPr>
        <w:t xml:space="preserve">в связи с </w:t>
      </w:r>
      <w:r w:rsidRPr="003A3F2D">
        <w:rPr>
          <w:szCs w:val="28"/>
        </w:rPr>
        <w:t>нецелев</w:t>
      </w:r>
      <w:r>
        <w:rPr>
          <w:szCs w:val="28"/>
        </w:rPr>
        <w:t>ым</w:t>
      </w:r>
      <w:r w:rsidRPr="003A3F2D">
        <w:rPr>
          <w:szCs w:val="28"/>
        </w:rPr>
        <w:t xml:space="preserve"> </w:t>
      </w:r>
      <w:r>
        <w:rPr>
          <w:szCs w:val="28"/>
        </w:rPr>
        <w:t xml:space="preserve">использованием источника финансирования «амортизация» за 2023 год, предусмотренного в составе НВВ </w:t>
      </w:r>
      <w:r w:rsidRPr="003A3F2D">
        <w:rPr>
          <w:szCs w:val="28"/>
        </w:rPr>
        <w:t>АО «Р</w:t>
      </w:r>
      <w:r>
        <w:rPr>
          <w:szCs w:val="28"/>
        </w:rPr>
        <w:t>ЭС</w:t>
      </w:r>
      <w:r w:rsidRPr="003A3F2D">
        <w:rPr>
          <w:szCs w:val="28"/>
        </w:rPr>
        <w:t>»</w:t>
      </w:r>
      <w:r>
        <w:rPr>
          <w:szCs w:val="28"/>
        </w:rPr>
        <w:t>.</w:t>
      </w:r>
      <w:r w:rsidRPr="003A3F2D">
        <w:rPr>
          <w:szCs w:val="28"/>
        </w:rPr>
        <w:t xml:space="preserve"> </w:t>
      </w:r>
    </w:p>
    <w:p w:rsidR="00A712E1" w:rsidRPr="00B36D6C" w:rsidRDefault="00A712E1" w:rsidP="00D3301F">
      <w:pPr>
        <w:pStyle w:val="4"/>
      </w:pPr>
      <w:bookmarkStart w:id="31" w:name="_Toc193810533"/>
      <w:r w:rsidRPr="00B36D6C">
        <w:t>2.</w:t>
      </w:r>
      <w:r>
        <w:t>1.6.</w:t>
      </w:r>
      <w:r w:rsidRPr="00B36D6C">
        <w:t xml:space="preserve"> Энергосбережение.</w:t>
      </w:r>
      <w:bookmarkEnd w:id="31"/>
    </w:p>
    <w:p w:rsidR="00A712E1" w:rsidRDefault="00A712E1" w:rsidP="00A712E1">
      <w:pPr>
        <w:spacing w:after="0" w:line="240" w:lineRule="auto"/>
        <w:ind w:firstLine="709"/>
        <w:jc w:val="both"/>
        <w:rPr>
          <w:rFonts w:eastAsia="Calibri"/>
          <w:szCs w:val="28"/>
        </w:rPr>
      </w:pPr>
      <w:r>
        <w:rPr>
          <w:rFonts w:eastAsia="Calibri"/>
          <w:szCs w:val="28"/>
        </w:rPr>
        <w:t xml:space="preserve">Во исполнение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в соответствии с постановлением Правительства РФ от 15.05.2010 № 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(далее – Постановление № 340) в 2024 году действовали  требования к программам сбережения и повышения энергетической эффективности территориальных сетевых организаций, </w:t>
      </w:r>
      <w:r>
        <w:rPr>
          <w:rFonts w:eastAsia="Calibri"/>
          <w:bCs/>
          <w:szCs w:val="28"/>
        </w:rPr>
        <w:t xml:space="preserve">утвержденные </w:t>
      </w:r>
      <w:r>
        <w:rPr>
          <w:rFonts w:eastAsia="Calibri"/>
          <w:szCs w:val="28"/>
        </w:rPr>
        <w:t xml:space="preserve">приказами департамента, которые размещены в сети Интернет </w:t>
      </w:r>
      <w:hyperlink r:id="rId59" w:history="1">
        <w:r w:rsidR="00235DD8" w:rsidRPr="0096323A">
          <w:rPr>
            <w:rStyle w:val="a3"/>
            <w:rFonts w:eastAsia="Calibri"/>
            <w:szCs w:val="28"/>
          </w:rPr>
          <w:t>https://tarif.nso.ru/page/143</w:t>
        </w:r>
      </w:hyperlink>
      <w:r w:rsidR="00235DD8">
        <w:rPr>
          <w:rFonts w:eastAsia="Calibri"/>
          <w:szCs w:val="28"/>
        </w:rPr>
        <w:t xml:space="preserve"> на официальном сайте департамента</w:t>
      </w:r>
      <w:r>
        <w:rPr>
          <w:rFonts w:eastAsia="Calibri"/>
          <w:szCs w:val="28"/>
        </w:rPr>
        <w:t>.</w:t>
      </w:r>
    </w:p>
    <w:p w:rsidR="00A712E1" w:rsidRPr="00122289" w:rsidRDefault="00A712E1" w:rsidP="00A712E1">
      <w:pPr>
        <w:spacing w:after="0" w:line="240" w:lineRule="auto"/>
        <w:ind w:firstLine="709"/>
        <w:jc w:val="both"/>
        <w:rPr>
          <w:rFonts w:eastAsia="Calibri"/>
          <w:szCs w:val="28"/>
        </w:rPr>
      </w:pPr>
      <w:r w:rsidRPr="00122289">
        <w:rPr>
          <w:rFonts w:eastAsia="Calibri"/>
          <w:szCs w:val="28"/>
        </w:rPr>
        <w:t xml:space="preserve">В 2024 году утверждены требования к программам </w:t>
      </w:r>
      <w:r w:rsidRPr="00122289">
        <w:rPr>
          <w:rFonts w:eastAsia="Calibri"/>
          <w:bCs/>
          <w:szCs w:val="28"/>
        </w:rPr>
        <w:t xml:space="preserve">в области энергосбережения и повышения энергетической эффективности </w:t>
      </w:r>
      <w:r w:rsidRPr="00122289">
        <w:rPr>
          <w:rFonts w:eastAsia="Calibri"/>
          <w:szCs w:val="28"/>
        </w:rPr>
        <w:t>на период 2025-2029 г</w:t>
      </w:r>
      <w:r>
        <w:rPr>
          <w:rFonts w:eastAsia="Calibri"/>
          <w:szCs w:val="28"/>
        </w:rPr>
        <w:t>г.</w:t>
      </w:r>
      <w:r w:rsidRPr="00122289">
        <w:rPr>
          <w:rFonts w:eastAsia="Calibri"/>
          <w:bCs/>
          <w:szCs w:val="28"/>
        </w:rPr>
        <w:t xml:space="preserve"> </w:t>
      </w:r>
      <w:r w:rsidRPr="00122289">
        <w:rPr>
          <w:rFonts w:eastAsia="Calibri"/>
          <w:szCs w:val="28"/>
        </w:rPr>
        <w:t xml:space="preserve">для </w:t>
      </w:r>
      <w:r>
        <w:rPr>
          <w:rFonts w:eastAsia="Calibri"/>
          <w:szCs w:val="28"/>
        </w:rPr>
        <w:t>АО</w:t>
      </w:r>
      <w:r w:rsidRPr="00122289">
        <w:rPr>
          <w:rFonts w:eastAsia="Calibri"/>
          <w:szCs w:val="28"/>
        </w:rPr>
        <w:t xml:space="preserve"> «Оборонэнерго» в лице филиала «Забайкальский», </w:t>
      </w:r>
      <w:r>
        <w:rPr>
          <w:rFonts w:eastAsia="Calibri"/>
          <w:szCs w:val="28"/>
        </w:rPr>
        <w:t>ОАО </w:t>
      </w:r>
      <w:r w:rsidRPr="00122289">
        <w:rPr>
          <w:rFonts w:eastAsia="Calibri"/>
          <w:szCs w:val="28"/>
        </w:rPr>
        <w:t>«</w:t>
      </w:r>
      <w:r>
        <w:rPr>
          <w:rFonts w:eastAsia="Calibri"/>
          <w:szCs w:val="28"/>
        </w:rPr>
        <w:t>РЖД</w:t>
      </w:r>
      <w:r w:rsidRPr="00122289">
        <w:rPr>
          <w:rFonts w:eastAsia="Calibri"/>
          <w:szCs w:val="28"/>
        </w:rPr>
        <w:t xml:space="preserve">» и </w:t>
      </w:r>
      <w:r>
        <w:rPr>
          <w:rFonts w:eastAsia="Calibri"/>
          <w:szCs w:val="28"/>
        </w:rPr>
        <w:t>ФГУП</w:t>
      </w:r>
      <w:r w:rsidRPr="00122289">
        <w:rPr>
          <w:rFonts w:eastAsia="Calibri"/>
          <w:szCs w:val="28"/>
        </w:rPr>
        <w:t xml:space="preserve"> «Управление энергетики и водоснабжения»</w:t>
      </w:r>
      <w:r>
        <w:rPr>
          <w:rFonts w:eastAsia="Calibri"/>
          <w:szCs w:val="28"/>
        </w:rPr>
        <w:t>.</w:t>
      </w:r>
    </w:p>
    <w:p w:rsidR="00A712E1" w:rsidRPr="00122289" w:rsidRDefault="00A712E1" w:rsidP="00A712E1">
      <w:pPr>
        <w:pStyle w:val="ConsPlusNormal"/>
        <w:ind w:firstLine="709"/>
        <w:jc w:val="both"/>
        <w:rPr>
          <w:rFonts w:ascii="Times New Roman" w:eastAsia="Calibri" w:hAnsi="Times New Roman" w:cs="Times New Roman"/>
          <w:sz w:val="28"/>
          <w:szCs w:val="28"/>
        </w:rPr>
      </w:pPr>
      <w:r w:rsidRPr="00122289">
        <w:rPr>
          <w:rFonts w:ascii="Times New Roman" w:eastAsia="Calibri" w:hAnsi="Times New Roman" w:cs="Times New Roman"/>
          <w:sz w:val="28"/>
          <w:szCs w:val="28"/>
        </w:rPr>
        <w:t xml:space="preserve">Отчеты о фактическом исполнении установленных требований за 2023 год </w:t>
      </w:r>
      <w:r w:rsidR="00235DD8">
        <w:rPr>
          <w:rFonts w:ascii="Times New Roman" w:eastAsia="Calibri" w:hAnsi="Times New Roman" w:cs="Times New Roman"/>
          <w:sz w:val="28"/>
          <w:szCs w:val="28"/>
        </w:rPr>
        <w:t xml:space="preserve">ТСО </w:t>
      </w:r>
      <w:r w:rsidRPr="00122289">
        <w:rPr>
          <w:rFonts w:ascii="Times New Roman" w:eastAsia="Calibri" w:hAnsi="Times New Roman" w:cs="Times New Roman"/>
          <w:sz w:val="28"/>
          <w:szCs w:val="28"/>
        </w:rPr>
        <w:t xml:space="preserve">предоставили в департамент до 01.02.2024 согласно </w:t>
      </w:r>
      <w:r>
        <w:rPr>
          <w:rFonts w:ascii="Times New Roman" w:eastAsia="Calibri" w:hAnsi="Times New Roman" w:cs="Times New Roman"/>
          <w:sz w:val="28"/>
          <w:szCs w:val="28"/>
        </w:rPr>
        <w:t>П</w:t>
      </w:r>
      <w:r w:rsidRPr="00122289">
        <w:rPr>
          <w:rFonts w:ascii="Times New Roman" w:eastAsia="Calibri" w:hAnsi="Times New Roman" w:cs="Times New Roman"/>
          <w:sz w:val="28"/>
          <w:szCs w:val="28"/>
        </w:rPr>
        <w:t>остановлению № 340,</w:t>
      </w:r>
      <w:r w:rsidRPr="00122289">
        <w:rPr>
          <w:rFonts w:ascii="Times New Roman" w:hAnsi="Times New Roman" w:cs="Times New Roman"/>
          <w:color w:val="000000"/>
          <w:sz w:val="28"/>
          <w:szCs w:val="28"/>
        </w:rPr>
        <w:t xml:space="preserve"> приказу департамента от 31.01.2011 № 11 «Об утверждении форм </w:t>
      </w:r>
      <w:r w:rsidRPr="00122289">
        <w:rPr>
          <w:rFonts w:ascii="Times New Roman" w:hAnsi="Times New Roman" w:cs="Times New Roman"/>
          <w:color w:val="000000"/>
          <w:sz w:val="28"/>
          <w:szCs w:val="28"/>
        </w:rPr>
        <w:lastRenderedPageBreak/>
        <w:t xml:space="preserve">ежегодных отчетов организаций, осуществляющих регулируемые виды деятельности, о фактическом исполнении установленных требований к Программам в области </w:t>
      </w:r>
      <w:r w:rsidRPr="00122289">
        <w:rPr>
          <w:rFonts w:ascii="Times New Roman" w:hAnsi="Times New Roman" w:cs="Times New Roman"/>
          <w:sz w:val="28"/>
          <w:szCs w:val="28"/>
        </w:rPr>
        <w:t xml:space="preserve">энергосбережения  и повышения энергетической эффективности», приказу Министерства энергетики РФ от 30.06.2014 № 398. </w:t>
      </w:r>
    </w:p>
    <w:p w:rsidR="00A712E1" w:rsidRPr="00122289" w:rsidRDefault="00A712E1" w:rsidP="00A712E1">
      <w:pPr>
        <w:spacing w:after="0" w:line="240" w:lineRule="auto"/>
        <w:ind w:firstLine="709"/>
        <w:jc w:val="both"/>
        <w:rPr>
          <w:rFonts w:eastAsia="Calibri"/>
          <w:szCs w:val="28"/>
        </w:rPr>
      </w:pPr>
      <w:r w:rsidRPr="00122289">
        <w:rPr>
          <w:rFonts w:eastAsia="Calibri"/>
          <w:szCs w:val="28"/>
        </w:rPr>
        <w:t xml:space="preserve">В рамках действующего законодательства в соответствии с «Административным регламентом исполнения департаментом по тарифам Новосибирской области государственной функции по осуществлению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 к этим программам, устанавливаемых департаментом по тарифам Новосибирской области применительно к регулируемым видам деятельности указанных организаций» (приказ департамента от 10.07.2018 № 165) при осуществлении функции государственного контроля (надзора) подготовлен отчет о проведении систематического наблюдения и анализа итогов 2023 года по 8 организациям. </w:t>
      </w:r>
    </w:p>
    <w:p w:rsidR="00A712E1" w:rsidRDefault="00A712E1" w:rsidP="00A712E1">
      <w:pPr>
        <w:spacing w:after="0" w:line="240" w:lineRule="auto"/>
        <w:ind w:firstLine="709"/>
        <w:jc w:val="both"/>
        <w:rPr>
          <w:szCs w:val="28"/>
        </w:rPr>
      </w:pPr>
      <w:r w:rsidRPr="00122289">
        <w:rPr>
          <w:rFonts w:eastAsia="Calibri"/>
          <w:szCs w:val="28"/>
        </w:rPr>
        <w:t xml:space="preserve">По результатам реализации программ </w:t>
      </w:r>
      <w:r w:rsidR="00235DD8">
        <w:rPr>
          <w:rFonts w:eastAsia="Calibri"/>
          <w:szCs w:val="28"/>
        </w:rPr>
        <w:t xml:space="preserve">департаментом </w:t>
      </w:r>
      <w:r w:rsidRPr="00122289">
        <w:rPr>
          <w:rFonts w:eastAsia="Calibri"/>
          <w:szCs w:val="28"/>
        </w:rPr>
        <w:t>проанализирован основной целевой</w:t>
      </w:r>
      <w:r>
        <w:rPr>
          <w:rFonts w:eastAsia="Calibri"/>
          <w:szCs w:val="28"/>
        </w:rPr>
        <w:t xml:space="preserve"> показатель </w:t>
      </w:r>
      <w:r>
        <w:rPr>
          <w:szCs w:val="28"/>
        </w:rPr>
        <w:t>энергосбережения и повышения энергетической эффективности,</w:t>
      </w:r>
      <w:r>
        <w:rPr>
          <w:rFonts w:eastAsia="Calibri"/>
          <w:szCs w:val="28"/>
        </w:rPr>
        <w:t xml:space="preserve"> а именно: </w:t>
      </w:r>
      <w:r w:rsidR="00235DD8">
        <w:rPr>
          <w:rFonts w:eastAsia="Calibri"/>
          <w:szCs w:val="28"/>
        </w:rPr>
        <w:t>«П</w:t>
      </w:r>
      <w:r>
        <w:rPr>
          <w:szCs w:val="28"/>
        </w:rPr>
        <w:t>оказатель снижения уровня потерь</w:t>
      </w:r>
      <w:r w:rsidRPr="00E72719">
        <w:rPr>
          <w:szCs w:val="28"/>
        </w:rPr>
        <w:t xml:space="preserve"> </w:t>
      </w:r>
      <w:r>
        <w:rPr>
          <w:bCs/>
          <w:szCs w:val="28"/>
        </w:rPr>
        <w:t>электрической энергии при её передаче по электрическим сетям в отчетном году по отношению к уровню потерь в предшествующем году реализации программы, достигнутый по итогам реализации программы</w:t>
      </w:r>
      <w:r w:rsidR="00235DD8">
        <w:rPr>
          <w:bCs/>
          <w:szCs w:val="28"/>
        </w:rPr>
        <w:t>»</w:t>
      </w:r>
      <w:r>
        <w:rPr>
          <w:color w:val="000000"/>
          <w:szCs w:val="28"/>
        </w:rPr>
        <w:t>.</w:t>
      </w:r>
      <w:r>
        <w:rPr>
          <w:szCs w:val="28"/>
        </w:rPr>
        <w:t xml:space="preserve"> Плановое значение данного показателя для </w:t>
      </w:r>
      <w:r w:rsidR="00235DD8">
        <w:rPr>
          <w:szCs w:val="28"/>
        </w:rPr>
        <w:t>ТСО</w:t>
      </w:r>
      <w:r>
        <w:rPr>
          <w:szCs w:val="28"/>
        </w:rPr>
        <w:t xml:space="preserve">  в составе требований</w:t>
      </w:r>
      <w:r>
        <w:rPr>
          <w:b/>
          <w:bCs/>
          <w:szCs w:val="28"/>
        </w:rPr>
        <w:t xml:space="preserve"> </w:t>
      </w:r>
      <w:r>
        <w:rPr>
          <w:bCs/>
          <w:szCs w:val="28"/>
        </w:rPr>
        <w:t>к программам в области энергосбережения и повышения энергетической эффективности</w:t>
      </w:r>
      <w:r>
        <w:rPr>
          <w:szCs w:val="28"/>
        </w:rPr>
        <w:t xml:space="preserve"> утверждено приказами департамента в соответствии с Постановлением № 340.</w:t>
      </w:r>
    </w:p>
    <w:p w:rsidR="00A712E1" w:rsidRDefault="00A712E1" w:rsidP="00A712E1">
      <w:pPr>
        <w:widowControl w:val="0"/>
        <w:spacing w:after="0" w:line="240" w:lineRule="auto"/>
        <w:ind w:firstLine="709"/>
        <w:jc w:val="both"/>
        <w:rPr>
          <w:rFonts w:eastAsia="Calibri"/>
          <w:szCs w:val="28"/>
        </w:rPr>
      </w:pPr>
      <w:r>
        <w:rPr>
          <w:rFonts w:eastAsia="Calibri"/>
          <w:szCs w:val="28"/>
        </w:rPr>
        <w:t>Данные о фактическом уровне потерь за 2022 и 2023 год представлены ниже в таблице.</w:t>
      </w:r>
      <w:r>
        <w:rPr>
          <w:rFonts w:eastAsia="Calibri"/>
          <w:szCs w:val="28"/>
        </w:rPr>
        <w:tab/>
      </w:r>
      <w:r>
        <w:rPr>
          <w:rFonts w:eastAsia="Calibri"/>
          <w:szCs w:val="28"/>
        </w:rPr>
        <w:tab/>
      </w:r>
      <w:r>
        <w:rPr>
          <w:rFonts w:eastAsia="Calibri"/>
          <w:szCs w:val="28"/>
        </w:rPr>
        <w:tab/>
      </w:r>
    </w:p>
    <w:tbl>
      <w:tblPr>
        <w:tblW w:w="48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6"/>
        <w:gridCol w:w="1455"/>
        <w:gridCol w:w="1453"/>
        <w:gridCol w:w="1744"/>
        <w:gridCol w:w="1598"/>
      </w:tblGrid>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b/>
                <w:sz w:val="20"/>
                <w:szCs w:val="20"/>
              </w:rPr>
            </w:pPr>
            <w:r w:rsidRPr="00087D20">
              <w:rPr>
                <w:rFonts w:eastAsia="Calibri"/>
                <w:b/>
                <w:sz w:val="20"/>
                <w:szCs w:val="20"/>
              </w:rPr>
              <w:t>Наименование организации</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b/>
                <w:sz w:val="20"/>
                <w:szCs w:val="20"/>
              </w:rPr>
            </w:pPr>
            <w:r w:rsidRPr="00087D20">
              <w:rPr>
                <w:rFonts w:eastAsia="Calibri"/>
                <w:b/>
                <w:sz w:val="20"/>
                <w:szCs w:val="20"/>
              </w:rPr>
              <w:t>Факт 2022</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b/>
                <w:sz w:val="20"/>
                <w:szCs w:val="20"/>
              </w:rPr>
            </w:pPr>
            <w:r w:rsidRPr="00087D20">
              <w:rPr>
                <w:rFonts w:eastAsia="Calibri"/>
                <w:b/>
                <w:sz w:val="20"/>
                <w:szCs w:val="20"/>
              </w:rPr>
              <w:t>Факт 2023</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b/>
                <w:sz w:val="20"/>
                <w:szCs w:val="20"/>
              </w:rPr>
            </w:pPr>
            <w:r w:rsidRPr="00087D20">
              <w:rPr>
                <w:rFonts w:eastAsia="Calibri"/>
                <w:b/>
                <w:sz w:val="20"/>
                <w:szCs w:val="20"/>
              </w:rPr>
              <w:t>% выполнения целевого показателя</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b/>
                <w:sz w:val="20"/>
                <w:szCs w:val="20"/>
              </w:rPr>
            </w:pPr>
            <w:r w:rsidRPr="00087D20">
              <w:rPr>
                <w:rFonts w:eastAsia="Calibri"/>
                <w:b/>
                <w:sz w:val="20"/>
                <w:szCs w:val="20"/>
              </w:rPr>
              <w:t>Плановое  значение целевого показателя</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122289">
              <w:rPr>
                <w:rFonts w:eastAsia="Calibri"/>
                <w:sz w:val="20"/>
                <w:szCs w:val="20"/>
              </w:rPr>
              <w:t>ФГУП «Управление энергетики и водоснабжения»</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Pr>
                <w:rFonts w:eastAsia="Calibri"/>
                <w:sz w:val="20"/>
                <w:szCs w:val="20"/>
              </w:rPr>
              <w:t>5,456%</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Pr>
                <w:rFonts w:eastAsia="Calibri"/>
                <w:sz w:val="20"/>
                <w:szCs w:val="20"/>
              </w:rPr>
              <w:t>5,80%</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94</w:t>
            </w:r>
            <w:r>
              <w:rPr>
                <w:rFonts w:eastAsia="Calibri"/>
                <w:sz w:val="20"/>
                <w:szCs w:val="20"/>
              </w:rPr>
              <w:t>,0</w:t>
            </w:r>
            <w:r w:rsidRPr="00087D20">
              <w:rPr>
                <w:rFonts w:eastAsia="Calibri"/>
                <w:sz w:val="20"/>
                <w:szCs w:val="20"/>
              </w:rPr>
              <w:t>%</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0,5%</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ОАО «РЖД»</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2,4146%</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2,29%</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105</w:t>
            </w:r>
            <w:r>
              <w:rPr>
                <w:rFonts w:eastAsia="Calibri"/>
                <w:sz w:val="20"/>
                <w:szCs w:val="20"/>
              </w:rPr>
              <w:t>,0</w:t>
            </w:r>
            <w:r w:rsidRPr="00087D20">
              <w:rPr>
                <w:rFonts w:eastAsia="Calibri"/>
                <w:sz w:val="20"/>
                <w:szCs w:val="20"/>
              </w:rPr>
              <w:t>%</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0,5%</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АО «Оборонэнерго»</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7,8408%</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8,8547%</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89</w:t>
            </w:r>
            <w:r>
              <w:rPr>
                <w:rFonts w:eastAsia="Calibri"/>
                <w:sz w:val="20"/>
                <w:szCs w:val="20"/>
              </w:rPr>
              <w:t>,0</w:t>
            </w:r>
            <w:r w:rsidRPr="00087D20">
              <w:rPr>
                <w:rFonts w:eastAsia="Calibri"/>
                <w:sz w:val="20"/>
                <w:szCs w:val="20"/>
              </w:rPr>
              <w:t>%</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0,01%</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ООО «Энерготранзит»</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1,1547%</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1,30%</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88,7%</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0,1%</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АО «РЭС»</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Times New Roman"/>
                <w:color w:val="000000"/>
                <w:sz w:val="20"/>
                <w:szCs w:val="20"/>
              </w:rPr>
              <w:t>10,48%</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Pr>
                <w:rFonts w:eastAsia="Calibri"/>
                <w:sz w:val="20"/>
                <w:szCs w:val="20"/>
              </w:rPr>
              <w:t>9,</w:t>
            </w:r>
            <w:r w:rsidRPr="00087D20">
              <w:rPr>
                <w:rFonts w:eastAsia="Calibri"/>
                <w:sz w:val="20"/>
                <w:szCs w:val="20"/>
              </w:rPr>
              <w:t>58%</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Pr>
                <w:rFonts w:eastAsia="Calibri"/>
                <w:sz w:val="20"/>
                <w:szCs w:val="20"/>
              </w:rPr>
              <w:t>74,</w:t>
            </w:r>
            <w:r w:rsidRPr="00087D20">
              <w:rPr>
                <w:rFonts w:eastAsia="Calibri"/>
                <w:sz w:val="20"/>
                <w:szCs w:val="20"/>
              </w:rPr>
              <w:t>9%</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0,01%</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ООО «Новосибирская городская сетевая компания</w:t>
            </w:r>
            <w:r>
              <w:rPr>
                <w:rFonts w:eastAsia="Calibri"/>
                <w:sz w:val="20"/>
                <w:szCs w:val="20"/>
              </w:rPr>
              <w:t>»</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7,2134%</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6,1602%</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116,5%</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0,5%</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ООО «НРСК-Сибирь»</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5,0209%</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5,26%</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95</w:t>
            </w:r>
            <w:r>
              <w:rPr>
                <w:rFonts w:eastAsia="Calibri"/>
                <w:sz w:val="20"/>
                <w:szCs w:val="20"/>
              </w:rPr>
              <w:t>,0</w:t>
            </w:r>
            <w:r w:rsidRPr="00087D20">
              <w:rPr>
                <w:rFonts w:eastAsia="Calibri"/>
                <w:sz w:val="20"/>
                <w:szCs w:val="20"/>
              </w:rPr>
              <w:t>%</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0,01%</w:t>
            </w:r>
          </w:p>
        </w:tc>
      </w:tr>
      <w:tr w:rsidR="00A712E1" w:rsidTr="00F1041B">
        <w:trPr>
          <w:trHeight w:val="20"/>
        </w:trPr>
        <w:tc>
          <w:tcPr>
            <w:tcW w:w="1652"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ООО «Сибэлс»</w:t>
            </w:r>
          </w:p>
        </w:tc>
        <w:tc>
          <w:tcPr>
            <w:tcW w:w="779" w:type="pct"/>
            <w:tcBorders>
              <w:top w:val="single" w:sz="4" w:space="0" w:color="auto"/>
              <w:left w:val="single" w:sz="4" w:space="0" w:color="auto"/>
              <w:bottom w:val="single" w:sz="4" w:space="0" w:color="auto"/>
              <w:right w:val="single" w:sz="4" w:space="0" w:color="auto"/>
            </w:tcBorders>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6,8779%</w:t>
            </w:r>
          </w:p>
        </w:tc>
        <w:tc>
          <w:tcPr>
            <w:tcW w:w="778"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6,8552%</w:t>
            </w:r>
          </w:p>
        </w:tc>
        <w:tc>
          <w:tcPr>
            <w:tcW w:w="934"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100</w:t>
            </w:r>
            <w:r>
              <w:rPr>
                <w:rFonts w:eastAsia="Calibri"/>
                <w:sz w:val="20"/>
                <w:szCs w:val="20"/>
              </w:rPr>
              <w:t>,0</w:t>
            </w:r>
            <w:r w:rsidRPr="00087D20">
              <w:rPr>
                <w:rFonts w:eastAsia="Calibri"/>
                <w:sz w:val="20"/>
                <w:szCs w:val="20"/>
              </w:rPr>
              <w:t>%</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A712E1" w:rsidRPr="00087D20" w:rsidRDefault="00A712E1" w:rsidP="00A712E1">
            <w:pPr>
              <w:spacing w:after="0" w:line="240" w:lineRule="auto"/>
              <w:contextualSpacing/>
              <w:rPr>
                <w:rFonts w:eastAsia="Calibri"/>
                <w:sz w:val="20"/>
                <w:szCs w:val="20"/>
              </w:rPr>
            </w:pPr>
            <w:r w:rsidRPr="00087D20">
              <w:rPr>
                <w:rFonts w:eastAsia="Calibri"/>
                <w:sz w:val="20"/>
                <w:szCs w:val="20"/>
              </w:rPr>
              <w:t>0,5%</w:t>
            </w:r>
          </w:p>
        </w:tc>
      </w:tr>
    </w:tbl>
    <w:p w:rsidR="00A712E1" w:rsidRPr="00122289" w:rsidRDefault="00A712E1" w:rsidP="00A712E1">
      <w:pPr>
        <w:spacing w:after="0" w:line="240" w:lineRule="auto"/>
        <w:ind w:firstLine="708"/>
        <w:jc w:val="both"/>
        <w:rPr>
          <w:szCs w:val="28"/>
        </w:rPr>
      </w:pPr>
      <w:r w:rsidRPr="00122289">
        <w:rPr>
          <w:szCs w:val="28"/>
        </w:rPr>
        <w:t xml:space="preserve">Благодаря </w:t>
      </w:r>
      <w:r w:rsidRPr="00122289">
        <w:rPr>
          <w:rFonts w:eastAsia="Times New Roman"/>
          <w:color w:val="000000"/>
          <w:szCs w:val="28"/>
        </w:rPr>
        <w:t>организационным мероприятиям</w:t>
      </w:r>
      <w:r w:rsidRPr="00122289">
        <w:rPr>
          <w:rFonts w:eastAsia="Times New Roman"/>
          <w:szCs w:val="28"/>
        </w:rPr>
        <w:t xml:space="preserve"> по энергосбережению  и повышению энергетической эффективности таких как экономное расходование энергетических ресурсов, оптимизация режимов работы оборудования</w:t>
      </w:r>
      <w:r w:rsidRPr="00122289">
        <w:rPr>
          <w:rFonts w:eastAsia="Times New Roman"/>
          <w:color w:val="000000"/>
          <w:szCs w:val="28"/>
        </w:rPr>
        <w:t xml:space="preserve">, </w:t>
      </w:r>
      <w:r w:rsidRPr="00122289">
        <w:rPr>
          <w:rFonts w:eastAsia="Times New Roman"/>
          <w:szCs w:val="28"/>
        </w:rPr>
        <w:t xml:space="preserve">недопущения подключения новых потребителей </w:t>
      </w:r>
      <w:r w:rsidRPr="00122289">
        <w:rPr>
          <w:rFonts w:eastAsia="Times New Roman"/>
          <w:szCs w:val="28"/>
        </w:rPr>
        <w:lastRenderedPageBreak/>
        <w:t>электрической энергии без приборов учета, установк</w:t>
      </w:r>
      <w:r w:rsidR="00235DD8">
        <w:rPr>
          <w:rFonts w:eastAsia="Times New Roman"/>
          <w:szCs w:val="28"/>
        </w:rPr>
        <w:t>а</w:t>
      </w:r>
      <w:r w:rsidRPr="00122289">
        <w:rPr>
          <w:rFonts w:eastAsia="Times New Roman"/>
          <w:szCs w:val="28"/>
        </w:rPr>
        <w:t xml:space="preserve"> АИИСКУЭ на объектах организаций, строгого соблюдения требований НТД при эксплуатации оборудования, оценки аварийности в сетях - все это мероприятия, </w:t>
      </w:r>
      <w:r w:rsidRPr="00122289">
        <w:rPr>
          <w:rFonts w:eastAsia="Times New Roman"/>
          <w:color w:val="000000"/>
          <w:szCs w:val="28"/>
        </w:rPr>
        <w:t xml:space="preserve">способствовали достижению </w:t>
      </w:r>
      <w:r w:rsidR="00235DD8">
        <w:rPr>
          <w:rFonts w:eastAsia="Times New Roman"/>
          <w:color w:val="000000"/>
          <w:szCs w:val="28"/>
        </w:rPr>
        <w:t xml:space="preserve">ТСО </w:t>
      </w:r>
      <w:r w:rsidRPr="00122289">
        <w:rPr>
          <w:rFonts w:eastAsia="Times New Roman"/>
          <w:color w:val="000000"/>
          <w:szCs w:val="28"/>
        </w:rPr>
        <w:t>целевых показателей за 2023</w:t>
      </w:r>
      <w:r>
        <w:rPr>
          <w:rFonts w:eastAsia="Times New Roman"/>
          <w:color w:val="000000"/>
          <w:szCs w:val="28"/>
        </w:rPr>
        <w:t xml:space="preserve"> </w:t>
      </w:r>
      <w:r w:rsidRPr="00122289">
        <w:rPr>
          <w:rFonts w:eastAsia="Times New Roman"/>
          <w:color w:val="000000"/>
          <w:szCs w:val="28"/>
        </w:rPr>
        <w:t>год.</w:t>
      </w:r>
    </w:p>
    <w:bookmarkStart w:id="32" w:name="_Toc193810534"/>
    <w:p w:rsidR="00A712E1" w:rsidRPr="00E6750A" w:rsidRDefault="00A712E1" w:rsidP="00F1041B">
      <w:pPr>
        <w:pStyle w:val="4"/>
      </w:pPr>
      <w:r w:rsidRPr="00122289">
        <w:rPr>
          <w:noProof/>
        </w:rPr>
        <mc:AlternateContent>
          <mc:Choice Requires="wps">
            <w:drawing>
              <wp:anchor distT="0" distB="0" distL="114300" distR="114300" simplePos="0" relativeHeight="251659264" behindDoc="0" locked="0" layoutInCell="1" allowOverlap="1" wp14:anchorId="4904CFF1" wp14:editId="58AA3747">
                <wp:simplePos x="0" y="0"/>
                <wp:positionH relativeFrom="column">
                  <wp:posOffset>-2797617</wp:posOffset>
                </wp:positionH>
                <wp:positionV relativeFrom="paragraph">
                  <wp:posOffset>143068</wp:posOffset>
                </wp:positionV>
                <wp:extent cx="850790" cy="561340"/>
                <wp:effectExtent l="0" t="0" r="26035" b="1016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0790" cy="561340"/>
                        </a:xfrm>
                        <a:prstGeom prst="rect">
                          <a:avLst/>
                        </a:prstGeom>
                        <a:solidFill>
                          <a:srgbClr val="FFFFFF"/>
                        </a:solidFill>
                        <a:ln w="9525">
                          <a:solidFill>
                            <a:srgbClr val="000000"/>
                          </a:solidFill>
                          <a:miter lim="800000"/>
                          <a:headEnd/>
                          <a:tailEnd/>
                        </a:ln>
                      </wps:spPr>
                      <wps:txbx>
                        <w:txbxContent>
                          <w:p w:rsidR="00201A7D" w:rsidRDefault="00201A7D" w:rsidP="00A712E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220.3pt;margin-top:11.25pt;width:67pt;height:4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">
                <v:textbox>
                  <w:txbxContent>
                    <w:p w:rsidR="00201A7D" w:rsidRDefault="00201A7D" w:rsidP="00A712E1"/>
                  </w:txbxContent>
                </v:textbox>
              </v:shape>
            </w:pict>
          </mc:Fallback>
        </mc:AlternateContent>
      </w:r>
      <w:r w:rsidRPr="00E6750A">
        <w:t>2.</w:t>
      </w:r>
      <w:r>
        <w:t>1.7.</w:t>
      </w:r>
      <w:r w:rsidRPr="00E6750A">
        <w:t xml:space="preserve"> Надежность и качество.</w:t>
      </w:r>
      <w:bookmarkEnd w:id="32"/>
    </w:p>
    <w:p w:rsidR="00A712E1" w:rsidRPr="000E1987" w:rsidRDefault="00A712E1" w:rsidP="00A712E1">
      <w:pPr>
        <w:spacing w:after="0" w:line="240" w:lineRule="auto"/>
        <w:ind w:firstLine="709"/>
        <w:jc w:val="both"/>
        <w:rPr>
          <w:rFonts w:eastAsia="Calibri"/>
          <w:sz w:val="27"/>
          <w:szCs w:val="27"/>
        </w:rPr>
      </w:pPr>
      <w:r w:rsidRPr="005234C4">
        <w:rPr>
          <w:rFonts w:eastAsia="Calibri"/>
          <w:szCs w:val="28"/>
        </w:rPr>
        <w:t>В соответствии с постановлением Правительства РФ</w:t>
      </w:r>
      <w:r w:rsidR="00E219D5">
        <w:rPr>
          <w:rFonts w:eastAsia="Calibri"/>
          <w:szCs w:val="28"/>
        </w:rPr>
        <w:t xml:space="preserve"> </w:t>
      </w:r>
      <w:r w:rsidRPr="005234C4">
        <w:rPr>
          <w:rFonts w:eastAsia="Calibri"/>
          <w:szCs w:val="28"/>
        </w:rPr>
        <w:t>от 31.12.2009 №</w:t>
      </w:r>
      <w:r>
        <w:rPr>
          <w:rFonts w:eastAsia="Calibri"/>
          <w:szCs w:val="28"/>
        </w:rPr>
        <w:t xml:space="preserve"> </w:t>
      </w:r>
      <w:r w:rsidRPr="005234C4">
        <w:rPr>
          <w:rFonts w:eastAsia="Calibri"/>
          <w:szCs w:val="28"/>
        </w:rPr>
        <w:t>1220 «Об определении применяемых при установлении долгосрочных тарифов показателей надежности и качества поставляемых товаров и оказываемых услуг», (далее</w:t>
      </w:r>
      <w:r>
        <w:rPr>
          <w:rFonts w:eastAsia="Calibri"/>
          <w:szCs w:val="28"/>
        </w:rPr>
        <w:t xml:space="preserve"> – П</w:t>
      </w:r>
      <w:r w:rsidRPr="005234C4">
        <w:rPr>
          <w:rFonts w:eastAsia="Calibri"/>
          <w:szCs w:val="28"/>
        </w:rPr>
        <w:t>остановление №</w:t>
      </w:r>
      <w:r>
        <w:rPr>
          <w:rFonts w:eastAsia="Calibri"/>
          <w:szCs w:val="28"/>
        </w:rPr>
        <w:t xml:space="preserve"> </w:t>
      </w:r>
      <w:r w:rsidRPr="005234C4">
        <w:rPr>
          <w:rFonts w:eastAsia="Calibri"/>
          <w:szCs w:val="28"/>
        </w:rPr>
        <w:t>1220) с применением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w:t>
      </w:r>
      <w:r w:rsidRPr="000E1987">
        <w:rPr>
          <w:rFonts w:eastAsia="Calibri"/>
          <w:szCs w:val="28"/>
        </w:rPr>
        <w:t xml:space="preserve">общероссийской) электрической сетью и территориальных сетевых организаций, утвержденных приказом Минэнерго РФ </w:t>
      </w:r>
      <w:r w:rsidRPr="008F3DFE">
        <w:rPr>
          <w:rFonts w:eastAsia="Calibri"/>
          <w:szCs w:val="28"/>
        </w:rPr>
        <w:t>от 29.11.2016 № 1256</w:t>
      </w:r>
      <w:r w:rsidRPr="000E1987">
        <w:rPr>
          <w:rFonts w:eastAsia="Calibri"/>
          <w:szCs w:val="28"/>
        </w:rPr>
        <w:t xml:space="preserve"> департаментом </w:t>
      </w:r>
      <w:r w:rsidRPr="000E1987">
        <w:rPr>
          <w:szCs w:val="28"/>
        </w:rPr>
        <w:t xml:space="preserve">проведены расчеты обобщенных показателей надежности и качества оказываемых услуг для </w:t>
      </w:r>
      <w:r w:rsidRPr="000E1987">
        <w:rPr>
          <w:color w:val="000000" w:themeColor="text1"/>
          <w:szCs w:val="28"/>
        </w:rPr>
        <w:t>8</w:t>
      </w:r>
      <w:r w:rsidRPr="000E1987">
        <w:rPr>
          <w:szCs w:val="28"/>
        </w:rPr>
        <w:t xml:space="preserve"> регулируем</w:t>
      </w:r>
      <w:r>
        <w:rPr>
          <w:szCs w:val="28"/>
        </w:rPr>
        <w:t xml:space="preserve">ых </w:t>
      </w:r>
      <w:r w:rsidRPr="000E1987">
        <w:rPr>
          <w:szCs w:val="28"/>
        </w:rPr>
        <w:t>организаци</w:t>
      </w:r>
      <w:r>
        <w:rPr>
          <w:szCs w:val="28"/>
        </w:rPr>
        <w:t>й</w:t>
      </w:r>
      <w:r w:rsidRPr="000E1987">
        <w:rPr>
          <w:szCs w:val="28"/>
        </w:rPr>
        <w:t>, предоставивш</w:t>
      </w:r>
      <w:r>
        <w:rPr>
          <w:szCs w:val="28"/>
        </w:rPr>
        <w:t>их</w:t>
      </w:r>
      <w:r w:rsidRPr="000E1987">
        <w:rPr>
          <w:szCs w:val="28"/>
        </w:rPr>
        <w:t xml:space="preserve"> отчетные данные, используемые при расчете фактических значений показателей надежности и качества по итогам 2023 года. По результатам сравнения плановых и фактических показателей департаментом определены параметры для корректировки необходимой валовой выручки на 2025 год с применением повышающего (понижающего) коэффициента, позволяющего обеспечить соответствие уровня тарифа, установленного для организации, осуществляющей регулируемую деятельность, уровню надежности и качества оказываемых услуг. </w:t>
      </w:r>
      <w:r w:rsidRPr="000E1987">
        <w:rPr>
          <w:rFonts w:eastAsia="Calibri"/>
          <w:sz w:val="27"/>
          <w:szCs w:val="27"/>
        </w:rPr>
        <w:t xml:space="preserve">     </w:t>
      </w:r>
    </w:p>
    <w:p w:rsidR="00A712E1" w:rsidRDefault="00A712E1" w:rsidP="00A712E1">
      <w:pPr>
        <w:spacing w:after="0" w:line="240" w:lineRule="auto"/>
        <w:ind w:firstLine="709"/>
        <w:jc w:val="both"/>
        <w:rPr>
          <w:rFonts w:eastAsia="Calibri"/>
          <w:sz w:val="27"/>
          <w:szCs w:val="27"/>
        </w:rPr>
      </w:pPr>
      <w:r w:rsidRPr="000E1987">
        <w:rPr>
          <w:rFonts w:eastAsia="Calibri"/>
          <w:szCs w:val="28"/>
        </w:rPr>
        <w:t>Величина коэффициентов, подлежащих учету при корректировке тарифов на 2025 г</w:t>
      </w:r>
      <w:r>
        <w:rPr>
          <w:rFonts w:eastAsia="Calibri"/>
          <w:szCs w:val="28"/>
        </w:rPr>
        <w:t xml:space="preserve">од, представлена </w:t>
      </w:r>
      <w:r w:rsidR="00E219D5">
        <w:rPr>
          <w:rFonts w:eastAsia="Calibri"/>
          <w:szCs w:val="28"/>
        </w:rPr>
        <w:t xml:space="preserve">в таблице </w:t>
      </w:r>
      <w:r>
        <w:rPr>
          <w:rFonts w:eastAsia="Calibri"/>
          <w:szCs w:val="28"/>
        </w:rPr>
        <w:t>ниже:</w:t>
      </w:r>
      <w:r w:rsidRPr="0065557E">
        <w:rPr>
          <w:rFonts w:eastAsia="Calibri"/>
          <w:sz w:val="27"/>
          <w:szCs w:val="27"/>
        </w:rPr>
        <w:t xml:space="preserve">                                                                                                        </w:t>
      </w:r>
    </w:p>
    <w:tbl>
      <w:tblPr>
        <w:tblW w:w="4870" w:type="pct"/>
        <w:tblLook w:val="00A0" w:firstRow="1" w:lastRow="0" w:firstColumn="1" w:lastColumn="0" w:noHBand="0" w:noVBand="0"/>
      </w:tblPr>
      <w:tblGrid>
        <w:gridCol w:w="746"/>
        <w:gridCol w:w="6307"/>
        <w:gridCol w:w="2269"/>
      </w:tblGrid>
      <w:tr w:rsidR="00A712E1" w:rsidRPr="005234C4" w:rsidTr="00F1041B">
        <w:trPr>
          <w:trHeight w:val="906"/>
        </w:trPr>
        <w:tc>
          <w:tcPr>
            <w:tcW w:w="400" w:type="pct"/>
            <w:tcBorders>
              <w:top w:val="single" w:sz="4" w:space="0" w:color="auto"/>
              <w:left w:val="single" w:sz="4" w:space="0" w:color="auto"/>
              <w:bottom w:val="single" w:sz="4" w:space="0" w:color="auto"/>
              <w:right w:val="single" w:sz="4" w:space="0" w:color="auto"/>
            </w:tcBorders>
            <w:noWrap/>
            <w:vAlign w:val="center"/>
          </w:tcPr>
          <w:p w:rsidR="00A712E1" w:rsidRPr="008A3EFD" w:rsidRDefault="00A712E1" w:rsidP="00A712E1">
            <w:pPr>
              <w:spacing w:after="0"/>
              <w:rPr>
                <w:rFonts w:eastAsia="Calibri"/>
                <w:sz w:val="20"/>
                <w:szCs w:val="20"/>
              </w:rPr>
            </w:pPr>
            <w:r w:rsidRPr="008A3EFD">
              <w:rPr>
                <w:rFonts w:eastAsia="Calibri"/>
                <w:sz w:val="20"/>
                <w:szCs w:val="20"/>
              </w:rPr>
              <w:t>№ п/п</w:t>
            </w:r>
          </w:p>
        </w:tc>
        <w:tc>
          <w:tcPr>
            <w:tcW w:w="3383" w:type="pct"/>
            <w:tcBorders>
              <w:top w:val="single" w:sz="4" w:space="0" w:color="auto"/>
              <w:left w:val="nil"/>
              <w:bottom w:val="single" w:sz="4" w:space="0" w:color="auto"/>
              <w:right w:val="single" w:sz="4" w:space="0" w:color="auto"/>
            </w:tcBorders>
            <w:noWrap/>
            <w:vAlign w:val="center"/>
          </w:tcPr>
          <w:p w:rsidR="00A712E1" w:rsidRPr="008A3EFD" w:rsidRDefault="00A712E1" w:rsidP="00A712E1">
            <w:pPr>
              <w:spacing w:after="0"/>
              <w:rPr>
                <w:rFonts w:eastAsia="Calibri"/>
                <w:color w:val="000000"/>
                <w:sz w:val="20"/>
                <w:szCs w:val="20"/>
              </w:rPr>
            </w:pPr>
            <w:r w:rsidRPr="008A3EFD">
              <w:rPr>
                <w:rFonts w:eastAsia="Calibri"/>
                <w:color w:val="000000"/>
                <w:sz w:val="20"/>
                <w:szCs w:val="20"/>
              </w:rPr>
              <w:t>Наименование организации</w:t>
            </w:r>
          </w:p>
        </w:tc>
        <w:tc>
          <w:tcPr>
            <w:tcW w:w="1217" w:type="pct"/>
            <w:tcBorders>
              <w:top w:val="single" w:sz="4" w:space="0" w:color="auto"/>
              <w:left w:val="nil"/>
              <w:bottom w:val="single" w:sz="4" w:space="0" w:color="auto"/>
              <w:right w:val="single" w:sz="4" w:space="0" w:color="auto"/>
            </w:tcBorders>
          </w:tcPr>
          <w:p w:rsidR="00A712E1" w:rsidRPr="008A3EFD" w:rsidRDefault="00A712E1" w:rsidP="00A712E1">
            <w:pPr>
              <w:spacing w:after="0"/>
              <w:rPr>
                <w:rFonts w:eastAsia="Calibri"/>
                <w:i/>
                <w:color w:val="000000"/>
                <w:sz w:val="20"/>
                <w:szCs w:val="20"/>
              </w:rPr>
            </w:pPr>
          </w:p>
          <w:p w:rsidR="00A712E1" w:rsidRPr="008A3EFD" w:rsidRDefault="00A712E1" w:rsidP="00A712E1">
            <w:pPr>
              <w:spacing w:after="0"/>
              <w:rPr>
                <w:rFonts w:eastAsia="Calibri"/>
                <w:i/>
                <w:color w:val="000000"/>
                <w:sz w:val="20"/>
                <w:szCs w:val="20"/>
              </w:rPr>
            </w:pPr>
            <w:r>
              <w:rPr>
                <w:rFonts w:eastAsia="Calibri"/>
                <w:i/>
                <w:color w:val="000000"/>
                <w:sz w:val="20"/>
                <w:szCs w:val="20"/>
              </w:rPr>
              <w:t>К</w:t>
            </w:r>
            <w:r w:rsidRPr="008A3EFD">
              <w:rPr>
                <w:rFonts w:eastAsia="Calibri"/>
                <w:i/>
                <w:color w:val="000000"/>
                <w:sz w:val="20"/>
                <w:szCs w:val="20"/>
              </w:rPr>
              <w:t>НКi</w:t>
            </w:r>
          </w:p>
          <w:p w:rsidR="00A712E1" w:rsidRPr="008A3EFD" w:rsidRDefault="00A712E1" w:rsidP="00A712E1">
            <w:pPr>
              <w:spacing w:after="0"/>
              <w:rPr>
                <w:rFonts w:eastAsia="Calibri"/>
                <w:i/>
                <w:color w:val="000000"/>
                <w:sz w:val="20"/>
                <w:szCs w:val="20"/>
              </w:rPr>
            </w:pPr>
            <w:r w:rsidRPr="008A3EFD">
              <w:rPr>
                <w:rFonts w:eastAsia="Calibri"/>
                <w:i/>
                <w:color w:val="000000"/>
                <w:sz w:val="20"/>
                <w:szCs w:val="20"/>
              </w:rPr>
              <w:t>(Коб*2%)</w:t>
            </w:r>
          </w:p>
        </w:tc>
      </w:tr>
      <w:tr w:rsidR="00A712E1" w:rsidRPr="000E1987" w:rsidTr="00F1041B">
        <w:trPr>
          <w:trHeight w:val="176"/>
        </w:trPr>
        <w:tc>
          <w:tcPr>
            <w:tcW w:w="400" w:type="pct"/>
            <w:tcBorders>
              <w:top w:val="single" w:sz="4" w:space="0" w:color="auto"/>
              <w:left w:val="single" w:sz="4" w:space="0" w:color="auto"/>
              <w:bottom w:val="single" w:sz="4" w:space="0" w:color="auto"/>
              <w:right w:val="single" w:sz="4" w:space="0" w:color="auto"/>
            </w:tcBorders>
            <w:noWrap/>
            <w:vAlign w:val="center"/>
          </w:tcPr>
          <w:p w:rsidR="00A712E1" w:rsidRPr="000E1987" w:rsidRDefault="00A712E1" w:rsidP="00E219D5">
            <w:pPr>
              <w:spacing w:after="0"/>
              <w:rPr>
                <w:rFonts w:eastAsia="Calibri"/>
                <w:sz w:val="20"/>
                <w:szCs w:val="20"/>
                <w:lang w:val="en-US"/>
              </w:rPr>
            </w:pPr>
            <w:r w:rsidRPr="000E1987">
              <w:rPr>
                <w:rFonts w:eastAsia="Calibri"/>
                <w:sz w:val="20"/>
                <w:szCs w:val="20"/>
                <w:lang w:val="en-US"/>
              </w:rPr>
              <w:t>1.</w:t>
            </w:r>
          </w:p>
        </w:tc>
        <w:tc>
          <w:tcPr>
            <w:tcW w:w="3383" w:type="pct"/>
            <w:tcBorders>
              <w:top w:val="single" w:sz="4" w:space="0" w:color="auto"/>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АО «Региональные электрические сети»</w:t>
            </w:r>
          </w:p>
        </w:tc>
        <w:tc>
          <w:tcPr>
            <w:tcW w:w="1217" w:type="pct"/>
            <w:tcBorders>
              <w:top w:val="single" w:sz="4" w:space="0" w:color="auto"/>
              <w:left w:val="nil"/>
              <w:bottom w:val="single" w:sz="4" w:space="0" w:color="auto"/>
              <w:right w:val="single" w:sz="4" w:space="0" w:color="auto"/>
            </w:tcBorders>
          </w:tcPr>
          <w:p w:rsidR="00A712E1" w:rsidRPr="000E1987" w:rsidRDefault="00A712E1" w:rsidP="00A712E1">
            <w:pPr>
              <w:spacing w:after="0"/>
              <w:jc w:val="right"/>
              <w:rPr>
                <w:rFonts w:eastAsia="Calibri"/>
                <w:sz w:val="20"/>
                <w:szCs w:val="20"/>
              </w:rPr>
            </w:pPr>
            <w:r w:rsidRPr="000E1987">
              <w:rPr>
                <w:rFonts w:eastAsia="Calibri"/>
                <w:sz w:val="20"/>
                <w:szCs w:val="20"/>
              </w:rPr>
              <w:t>+0,6%</w:t>
            </w:r>
          </w:p>
        </w:tc>
      </w:tr>
      <w:tr w:rsidR="00A712E1" w:rsidRPr="000E1987" w:rsidTr="00F1041B">
        <w:trPr>
          <w:trHeight w:val="255"/>
        </w:trPr>
        <w:tc>
          <w:tcPr>
            <w:tcW w:w="400" w:type="pct"/>
            <w:tcBorders>
              <w:top w:val="nil"/>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sz w:val="20"/>
                <w:szCs w:val="20"/>
                <w:lang w:val="en-US"/>
              </w:rPr>
            </w:pPr>
            <w:r w:rsidRPr="000E1987">
              <w:rPr>
                <w:rFonts w:eastAsia="Calibri"/>
                <w:color w:val="000000"/>
                <w:sz w:val="20"/>
                <w:szCs w:val="20"/>
              </w:rPr>
              <w:t>2</w:t>
            </w:r>
            <w:r w:rsidRPr="000E1987">
              <w:rPr>
                <w:rFonts w:eastAsia="Calibri"/>
                <w:color w:val="000000"/>
                <w:sz w:val="20"/>
                <w:szCs w:val="20"/>
                <w:lang w:val="en-US"/>
              </w:rPr>
              <w:t>.</w:t>
            </w:r>
          </w:p>
        </w:tc>
        <w:tc>
          <w:tcPr>
            <w:tcW w:w="3383" w:type="pct"/>
            <w:tcBorders>
              <w:top w:val="nil"/>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ФГУП «Управление энергетики и водоснабжения»</w:t>
            </w:r>
          </w:p>
        </w:tc>
        <w:tc>
          <w:tcPr>
            <w:tcW w:w="1217" w:type="pct"/>
            <w:tcBorders>
              <w:top w:val="nil"/>
              <w:left w:val="nil"/>
              <w:bottom w:val="single" w:sz="4" w:space="0" w:color="auto"/>
              <w:right w:val="single" w:sz="4" w:space="0" w:color="auto"/>
            </w:tcBorders>
          </w:tcPr>
          <w:p w:rsidR="00A712E1" w:rsidRPr="000E1987" w:rsidRDefault="00A712E1" w:rsidP="00A712E1">
            <w:pPr>
              <w:spacing w:after="0"/>
              <w:jc w:val="right"/>
              <w:rPr>
                <w:rFonts w:eastAsia="Calibri"/>
                <w:color w:val="000000"/>
                <w:sz w:val="20"/>
                <w:szCs w:val="20"/>
                <w:lang w:val="en-US"/>
              </w:rPr>
            </w:pPr>
            <w:r w:rsidRPr="000E1987">
              <w:rPr>
                <w:rFonts w:eastAsia="Calibri"/>
                <w:color w:val="000000"/>
                <w:sz w:val="20"/>
                <w:szCs w:val="20"/>
              </w:rPr>
              <w:t>+0,6</w:t>
            </w:r>
            <w:r w:rsidRPr="000E1987">
              <w:rPr>
                <w:rFonts w:eastAsia="Calibri"/>
                <w:color w:val="000000"/>
                <w:sz w:val="20"/>
                <w:szCs w:val="20"/>
                <w:lang w:val="en-US"/>
              </w:rPr>
              <w:t>%</w:t>
            </w:r>
          </w:p>
        </w:tc>
      </w:tr>
      <w:tr w:rsidR="00A712E1" w:rsidRPr="000E1987" w:rsidTr="00F1041B">
        <w:trPr>
          <w:trHeight w:val="255"/>
        </w:trPr>
        <w:tc>
          <w:tcPr>
            <w:tcW w:w="400" w:type="pct"/>
            <w:tcBorders>
              <w:top w:val="nil"/>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sz w:val="20"/>
                <w:szCs w:val="20"/>
                <w:lang w:val="en-US"/>
              </w:rPr>
            </w:pPr>
            <w:r w:rsidRPr="000E1987">
              <w:rPr>
                <w:rFonts w:eastAsia="Calibri"/>
                <w:color w:val="000000"/>
                <w:sz w:val="20"/>
                <w:szCs w:val="20"/>
              </w:rPr>
              <w:t>3</w:t>
            </w:r>
            <w:r w:rsidRPr="000E1987">
              <w:rPr>
                <w:rFonts w:eastAsia="Calibri"/>
                <w:color w:val="000000"/>
                <w:sz w:val="20"/>
                <w:szCs w:val="20"/>
                <w:lang w:val="en-US"/>
              </w:rPr>
              <w:t>.</w:t>
            </w:r>
          </w:p>
        </w:tc>
        <w:tc>
          <w:tcPr>
            <w:tcW w:w="3383" w:type="pct"/>
            <w:tcBorders>
              <w:top w:val="nil"/>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АО «Оборонэнерго» филиал «Сибирский»</w:t>
            </w:r>
          </w:p>
        </w:tc>
        <w:tc>
          <w:tcPr>
            <w:tcW w:w="1217" w:type="pct"/>
            <w:tcBorders>
              <w:top w:val="nil"/>
              <w:left w:val="nil"/>
              <w:bottom w:val="single" w:sz="4" w:space="0" w:color="auto"/>
              <w:right w:val="single" w:sz="4" w:space="0" w:color="auto"/>
            </w:tcBorders>
          </w:tcPr>
          <w:p w:rsidR="00A712E1" w:rsidRPr="000E1987" w:rsidRDefault="00A712E1" w:rsidP="00A712E1">
            <w:pPr>
              <w:spacing w:after="0"/>
              <w:jc w:val="right"/>
              <w:rPr>
                <w:rFonts w:eastAsia="Calibri"/>
                <w:color w:val="000000"/>
                <w:sz w:val="20"/>
                <w:szCs w:val="20"/>
                <w:lang w:val="en-US"/>
              </w:rPr>
            </w:pPr>
            <w:r w:rsidRPr="000E1987">
              <w:rPr>
                <w:rFonts w:eastAsia="Calibri"/>
                <w:color w:val="000000"/>
                <w:sz w:val="20"/>
                <w:szCs w:val="20"/>
              </w:rPr>
              <w:t>+0,6</w:t>
            </w:r>
            <w:r w:rsidRPr="000E1987">
              <w:rPr>
                <w:rFonts w:eastAsia="Calibri"/>
                <w:color w:val="000000"/>
                <w:sz w:val="20"/>
                <w:szCs w:val="20"/>
                <w:lang w:val="en-US"/>
              </w:rPr>
              <w:t>%</w:t>
            </w:r>
          </w:p>
        </w:tc>
      </w:tr>
      <w:tr w:rsidR="00A712E1" w:rsidRPr="000E1987" w:rsidTr="00F1041B">
        <w:trPr>
          <w:trHeight w:val="255"/>
        </w:trPr>
        <w:tc>
          <w:tcPr>
            <w:tcW w:w="400" w:type="pct"/>
            <w:tcBorders>
              <w:top w:val="nil"/>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themeColor="text1"/>
                <w:sz w:val="20"/>
                <w:szCs w:val="20"/>
                <w:lang w:val="en-US"/>
              </w:rPr>
            </w:pPr>
            <w:r w:rsidRPr="000E1987">
              <w:rPr>
                <w:rFonts w:eastAsia="Calibri"/>
                <w:color w:val="000000" w:themeColor="text1"/>
                <w:sz w:val="20"/>
                <w:szCs w:val="20"/>
              </w:rPr>
              <w:t>4</w:t>
            </w:r>
            <w:r w:rsidRPr="000E1987">
              <w:rPr>
                <w:rFonts w:eastAsia="Calibri"/>
                <w:color w:val="000000" w:themeColor="text1"/>
                <w:sz w:val="20"/>
                <w:szCs w:val="20"/>
                <w:lang w:val="en-US"/>
              </w:rPr>
              <w:t>.</w:t>
            </w:r>
          </w:p>
        </w:tc>
        <w:tc>
          <w:tcPr>
            <w:tcW w:w="3383" w:type="pct"/>
            <w:tcBorders>
              <w:top w:val="nil"/>
              <w:left w:val="nil"/>
              <w:bottom w:val="single" w:sz="4" w:space="0" w:color="auto"/>
              <w:right w:val="single" w:sz="4" w:space="0" w:color="auto"/>
            </w:tcBorders>
            <w:noWrap/>
            <w:vAlign w:val="center"/>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ООО «Новосибирская городская сетевая компания»</w:t>
            </w:r>
          </w:p>
        </w:tc>
        <w:tc>
          <w:tcPr>
            <w:tcW w:w="1217" w:type="pct"/>
            <w:tcBorders>
              <w:top w:val="nil"/>
              <w:left w:val="nil"/>
              <w:bottom w:val="single" w:sz="4" w:space="0" w:color="auto"/>
              <w:right w:val="single" w:sz="4" w:space="0" w:color="auto"/>
            </w:tcBorders>
          </w:tcPr>
          <w:p w:rsidR="00A712E1" w:rsidRPr="000E1987" w:rsidRDefault="00A712E1" w:rsidP="00A712E1">
            <w:pPr>
              <w:spacing w:after="0"/>
              <w:jc w:val="right"/>
              <w:rPr>
                <w:rFonts w:eastAsia="Calibri"/>
                <w:color w:val="000000" w:themeColor="text1"/>
                <w:sz w:val="20"/>
                <w:szCs w:val="20"/>
                <w:lang w:val="en-US"/>
              </w:rPr>
            </w:pPr>
            <w:r w:rsidRPr="000E1987">
              <w:rPr>
                <w:rFonts w:eastAsia="Calibri"/>
                <w:color w:val="000000" w:themeColor="text1"/>
                <w:sz w:val="20"/>
                <w:szCs w:val="20"/>
              </w:rPr>
              <w:t>0</w:t>
            </w:r>
            <w:r w:rsidRPr="000E1987">
              <w:rPr>
                <w:rFonts w:eastAsia="Calibri"/>
                <w:color w:val="000000" w:themeColor="text1"/>
                <w:sz w:val="20"/>
                <w:szCs w:val="20"/>
                <w:lang w:val="en-US"/>
              </w:rPr>
              <w:t>%</w:t>
            </w:r>
          </w:p>
        </w:tc>
      </w:tr>
      <w:tr w:rsidR="00A712E1" w:rsidRPr="000E1987" w:rsidTr="00F1041B">
        <w:trPr>
          <w:trHeight w:val="254"/>
        </w:trPr>
        <w:tc>
          <w:tcPr>
            <w:tcW w:w="400" w:type="pct"/>
            <w:tcBorders>
              <w:top w:val="nil"/>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themeColor="text1"/>
                <w:sz w:val="20"/>
                <w:szCs w:val="20"/>
                <w:lang w:val="en-US"/>
              </w:rPr>
            </w:pPr>
            <w:r w:rsidRPr="000E1987">
              <w:rPr>
                <w:rFonts w:eastAsia="Calibri"/>
                <w:color w:val="000000" w:themeColor="text1"/>
                <w:sz w:val="20"/>
                <w:szCs w:val="20"/>
              </w:rPr>
              <w:t>5</w:t>
            </w:r>
            <w:r w:rsidRPr="000E1987">
              <w:rPr>
                <w:rFonts w:eastAsia="Calibri"/>
                <w:color w:val="000000" w:themeColor="text1"/>
                <w:sz w:val="20"/>
                <w:szCs w:val="20"/>
                <w:lang w:val="en-US"/>
              </w:rPr>
              <w:t>.</w:t>
            </w:r>
          </w:p>
        </w:tc>
        <w:tc>
          <w:tcPr>
            <w:tcW w:w="3383" w:type="pct"/>
            <w:tcBorders>
              <w:top w:val="nil"/>
              <w:left w:val="nil"/>
              <w:bottom w:val="single" w:sz="4" w:space="0" w:color="auto"/>
              <w:right w:val="single" w:sz="4" w:space="0" w:color="auto"/>
            </w:tcBorders>
            <w:noWrap/>
            <w:vAlign w:val="center"/>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ООО «Национальная распределительно-сетевая компания - Сибирь»</w:t>
            </w:r>
          </w:p>
        </w:tc>
        <w:tc>
          <w:tcPr>
            <w:tcW w:w="1217" w:type="pct"/>
            <w:tcBorders>
              <w:top w:val="nil"/>
              <w:left w:val="nil"/>
              <w:bottom w:val="single" w:sz="4" w:space="0" w:color="auto"/>
              <w:right w:val="single" w:sz="4" w:space="0" w:color="auto"/>
            </w:tcBorders>
          </w:tcPr>
          <w:p w:rsidR="00A712E1" w:rsidRPr="000E1987" w:rsidRDefault="00A712E1" w:rsidP="00A712E1">
            <w:pPr>
              <w:spacing w:after="0"/>
              <w:jc w:val="right"/>
              <w:rPr>
                <w:rFonts w:eastAsia="Calibri"/>
                <w:color w:val="000000" w:themeColor="text1"/>
                <w:sz w:val="20"/>
                <w:szCs w:val="20"/>
                <w:lang w:val="en-US"/>
              </w:rPr>
            </w:pPr>
            <w:r w:rsidRPr="000E1987">
              <w:rPr>
                <w:rFonts w:eastAsia="Calibri"/>
                <w:color w:val="000000" w:themeColor="text1"/>
                <w:sz w:val="20"/>
                <w:szCs w:val="20"/>
              </w:rPr>
              <w:t>0</w:t>
            </w:r>
            <w:r w:rsidRPr="000E1987">
              <w:rPr>
                <w:rFonts w:eastAsia="Calibri"/>
                <w:color w:val="000000" w:themeColor="text1"/>
                <w:sz w:val="20"/>
                <w:szCs w:val="20"/>
                <w:lang w:val="en-US"/>
              </w:rPr>
              <w:t>%</w:t>
            </w:r>
          </w:p>
        </w:tc>
      </w:tr>
      <w:tr w:rsidR="00A712E1" w:rsidRPr="000E1987" w:rsidTr="00F1041B">
        <w:trPr>
          <w:trHeight w:val="293"/>
        </w:trPr>
        <w:tc>
          <w:tcPr>
            <w:tcW w:w="400" w:type="pct"/>
            <w:tcBorders>
              <w:top w:val="nil"/>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themeColor="text1"/>
                <w:sz w:val="20"/>
                <w:szCs w:val="20"/>
                <w:lang w:val="en-US"/>
              </w:rPr>
            </w:pPr>
            <w:r w:rsidRPr="000E1987">
              <w:rPr>
                <w:rFonts w:eastAsia="Calibri"/>
                <w:color w:val="000000" w:themeColor="text1"/>
                <w:sz w:val="20"/>
                <w:szCs w:val="20"/>
              </w:rPr>
              <w:t>6</w:t>
            </w:r>
            <w:r w:rsidRPr="000E1987">
              <w:rPr>
                <w:rFonts w:eastAsia="Calibri"/>
                <w:color w:val="000000" w:themeColor="text1"/>
                <w:sz w:val="20"/>
                <w:szCs w:val="20"/>
                <w:lang w:val="en-US"/>
              </w:rPr>
              <w:t>.</w:t>
            </w:r>
          </w:p>
        </w:tc>
        <w:tc>
          <w:tcPr>
            <w:tcW w:w="3383" w:type="pct"/>
            <w:tcBorders>
              <w:top w:val="nil"/>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Pr>
                <w:rFonts w:eastAsia="Calibri"/>
                <w:color w:val="000000"/>
                <w:sz w:val="20"/>
                <w:szCs w:val="20"/>
              </w:rPr>
              <w:t>ОО</w:t>
            </w:r>
            <w:r w:rsidRPr="000E1987">
              <w:rPr>
                <w:rFonts w:eastAsia="Calibri"/>
                <w:color w:val="000000"/>
                <w:sz w:val="20"/>
                <w:szCs w:val="20"/>
              </w:rPr>
              <w:t>О «Энерготранзит»</w:t>
            </w:r>
          </w:p>
        </w:tc>
        <w:tc>
          <w:tcPr>
            <w:tcW w:w="1217" w:type="pct"/>
            <w:tcBorders>
              <w:top w:val="nil"/>
              <w:left w:val="nil"/>
              <w:bottom w:val="single" w:sz="4" w:space="0" w:color="auto"/>
              <w:right w:val="single" w:sz="4" w:space="0" w:color="auto"/>
            </w:tcBorders>
          </w:tcPr>
          <w:p w:rsidR="00A712E1" w:rsidRPr="000E1987" w:rsidRDefault="00A712E1" w:rsidP="00A712E1">
            <w:pPr>
              <w:spacing w:after="0"/>
              <w:jc w:val="right"/>
              <w:rPr>
                <w:rFonts w:eastAsia="Calibri"/>
                <w:color w:val="000000"/>
                <w:sz w:val="20"/>
                <w:szCs w:val="20"/>
              </w:rPr>
            </w:pPr>
            <w:r w:rsidRPr="000E1987">
              <w:rPr>
                <w:rFonts w:eastAsia="Calibri"/>
                <w:color w:val="000000"/>
                <w:sz w:val="20"/>
                <w:szCs w:val="20"/>
              </w:rPr>
              <w:t xml:space="preserve">                 -0,6 %</w:t>
            </w:r>
          </w:p>
        </w:tc>
      </w:tr>
      <w:tr w:rsidR="00A712E1" w:rsidRPr="000E1987" w:rsidTr="00F1041B">
        <w:trPr>
          <w:trHeight w:val="255"/>
        </w:trPr>
        <w:tc>
          <w:tcPr>
            <w:tcW w:w="400" w:type="pct"/>
            <w:tcBorders>
              <w:top w:val="single" w:sz="4" w:space="0" w:color="auto"/>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sz w:val="20"/>
                <w:szCs w:val="20"/>
                <w:lang w:val="en-US"/>
              </w:rPr>
            </w:pPr>
            <w:r w:rsidRPr="000E1987">
              <w:rPr>
                <w:rFonts w:eastAsia="Calibri"/>
                <w:color w:val="000000"/>
                <w:sz w:val="20"/>
                <w:szCs w:val="20"/>
              </w:rPr>
              <w:t>7</w:t>
            </w:r>
            <w:r w:rsidRPr="000E1987">
              <w:rPr>
                <w:rFonts w:eastAsia="Calibri"/>
                <w:color w:val="000000"/>
                <w:sz w:val="20"/>
                <w:szCs w:val="20"/>
                <w:lang w:val="en-US"/>
              </w:rPr>
              <w:t>.</w:t>
            </w:r>
          </w:p>
        </w:tc>
        <w:tc>
          <w:tcPr>
            <w:tcW w:w="3383" w:type="pct"/>
            <w:tcBorders>
              <w:top w:val="single" w:sz="4" w:space="0" w:color="auto"/>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ООО « Сибэлс»</w:t>
            </w:r>
          </w:p>
        </w:tc>
        <w:tc>
          <w:tcPr>
            <w:tcW w:w="1217" w:type="pct"/>
            <w:tcBorders>
              <w:top w:val="single" w:sz="4" w:space="0" w:color="auto"/>
              <w:left w:val="nil"/>
              <w:bottom w:val="single" w:sz="4" w:space="0" w:color="auto"/>
              <w:right w:val="single" w:sz="4" w:space="0" w:color="auto"/>
            </w:tcBorders>
          </w:tcPr>
          <w:p w:rsidR="00A712E1" w:rsidRPr="000E1987" w:rsidRDefault="00A712E1" w:rsidP="00A712E1">
            <w:pPr>
              <w:spacing w:after="0"/>
              <w:jc w:val="right"/>
              <w:rPr>
                <w:rFonts w:eastAsia="Calibri"/>
                <w:color w:val="000000"/>
                <w:sz w:val="20"/>
                <w:szCs w:val="20"/>
              </w:rPr>
            </w:pPr>
            <w:r w:rsidRPr="000E1987">
              <w:rPr>
                <w:rFonts w:eastAsia="Calibri"/>
                <w:color w:val="000000"/>
                <w:sz w:val="20"/>
                <w:szCs w:val="20"/>
              </w:rPr>
              <w:t>0%</w:t>
            </w:r>
          </w:p>
        </w:tc>
      </w:tr>
      <w:tr w:rsidR="00A712E1" w:rsidRPr="000E1987" w:rsidTr="00F1041B">
        <w:trPr>
          <w:trHeight w:val="255"/>
        </w:trPr>
        <w:tc>
          <w:tcPr>
            <w:tcW w:w="400" w:type="pct"/>
            <w:tcBorders>
              <w:top w:val="single" w:sz="4" w:space="0" w:color="auto"/>
              <w:left w:val="single" w:sz="4" w:space="0" w:color="auto"/>
              <w:bottom w:val="single" w:sz="4" w:space="0" w:color="auto"/>
              <w:right w:val="single" w:sz="4" w:space="0" w:color="auto"/>
            </w:tcBorders>
            <w:noWrap/>
          </w:tcPr>
          <w:p w:rsidR="00A712E1" w:rsidRPr="000E1987" w:rsidRDefault="00A712E1" w:rsidP="00A712E1">
            <w:pPr>
              <w:spacing w:after="0"/>
              <w:rPr>
                <w:rFonts w:eastAsia="Calibri"/>
                <w:color w:val="000000"/>
                <w:sz w:val="20"/>
                <w:szCs w:val="20"/>
                <w:lang w:val="en-US"/>
              </w:rPr>
            </w:pPr>
            <w:r w:rsidRPr="000E1987">
              <w:rPr>
                <w:rFonts w:eastAsia="Calibri"/>
                <w:color w:val="000000"/>
                <w:sz w:val="20"/>
                <w:szCs w:val="20"/>
              </w:rPr>
              <w:t>8</w:t>
            </w:r>
            <w:r w:rsidRPr="000E1987">
              <w:rPr>
                <w:rFonts w:eastAsia="Calibri"/>
                <w:color w:val="000000"/>
                <w:sz w:val="20"/>
                <w:szCs w:val="20"/>
                <w:lang w:val="en-US"/>
              </w:rPr>
              <w:t>.</w:t>
            </w:r>
          </w:p>
        </w:tc>
        <w:tc>
          <w:tcPr>
            <w:tcW w:w="3383" w:type="pct"/>
            <w:tcBorders>
              <w:top w:val="single" w:sz="4" w:space="0" w:color="auto"/>
              <w:left w:val="nil"/>
              <w:bottom w:val="single" w:sz="4" w:space="0" w:color="auto"/>
              <w:right w:val="single" w:sz="4" w:space="0" w:color="auto"/>
            </w:tcBorders>
            <w:noWrap/>
          </w:tcPr>
          <w:p w:rsidR="00A712E1" w:rsidRPr="000E1987" w:rsidRDefault="00A712E1" w:rsidP="00E219D5">
            <w:pPr>
              <w:spacing w:after="0"/>
              <w:jc w:val="left"/>
              <w:rPr>
                <w:rFonts w:eastAsia="Calibri"/>
                <w:color w:val="000000"/>
                <w:sz w:val="20"/>
                <w:szCs w:val="20"/>
              </w:rPr>
            </w:pPr>
            <w:r w:rsidRPr="000E1987">
              <w:rPr>
                <w:rFonts w:eastAsia="Calibri"/>
                <w:color w:val="000000"/>
                <w:sz w:val="20"/>
                <w:szCs w:val="20"/>
              </w:rPr>
              <w:t>ОАО «Российские железные дороги»</w:t>
            </w:r>
          </w:p>
        </w:tc>
        <w:tc>
          <w:tcPr>
            <w:tcW w:w="1217" w:type="pct"/>
            <w:tcBorders>
              <w:top w:val="single" w:sz="4" w:space="0" w:color="auto"/>
              <w:left w:val="nil"/>
              <w:bottom w:val="single" w:sz="4" w:space="0" w:color="auto"/>
              <w:right w:val="single" w:sz="4" w:space="0" w:color="auto"/>
            </w:tcBorders>
          </w:tcPr>
          <w:p w:rsidR="00A712E1" w:rsidRPr="000E1987" w:rsidRDefault="00A712E1" w:rsidP="00A712E1">
            <w:pPr>
              <w:spacing w:after="0"/>
              <w:jc w:val="right"/>
              <w:rPr>
                <w:rFonts w:eastAsia="Calibri"/>
                <w:color w:val="000000"/>
                <w:sz w:val="20"/>
                <w:szCs w:val="20"/>
              </w:rPr>
            </w:pPr>
            <w:r w:rsidRPr="000E1987">
              <w:rPr>
                <w:rFonts w:eastAsia="Calibri"/>
                <w:color w:val="000000"/>
                <w:sz w:val="20"/>
                <w:szCs w:val="20"/>
              </w:rPr>
              <w:t>0%</w:t>
            </w:r>
          </w:p>
        </w:tc>
      </w:tr>
    </w:tbl>
    <w:p w:rsidR="00A712E1" w:rsidRDefault="00A712E1" w:rsidP="00A712E1">
      <w:pPr>
        <w:spacing w:after="0" w:line="240" w:lineRule="auto"/>
        <w:ind w:firstLine="709"/>
        <w:jc w:val="both"/>
        <w:rPr>
          <w:rFonts w:eastAsia="Calibri"/>
          <w:szCs w:val="28"/>
        </w:rPr>
      </w:pPr>
      <w:r w:rsidRPr="000E1987">
        <w:rPr>
          <w:szCs w:val="28"/>
        </w:rPr>
        <w:t xml:space="preserve">В соответствии с требованиями </w:t>
      </w:r>
      <w:r w:rsidRPr="008F3DFE">
        <w:rPr>
          <w:szCs w:val="28"/>
        </w:rPr>
        <w:t>Постановления № 1220</w:t>
      </w:r>
      <w:r w:rsidRPr="000E1987">
        <w:rPr>
          <w:szCs w:val="28"/>
        </w:rPr>
        <w:t xml:space="preserve"> факт</w:t>
      </w:r>
      <w:r w:rsidRPr="005234C4">
        <w:rPr>
          <w:szCs w:val="28"/>
        </w:rPr>
        <w:t>ические значения показателей надежности и качества, а также индикативных показателей уровня надежности регулируемых электросетевых организаций (итоги</w:t>
      </w:r>
      <w:r>
        <w:rPr>
          <w:szCs w:val="28"/>
        </w:rPr>
        <w:t xml:space="preserve"> 2023</w:t>
      </w:r>
      <w:r w:rsidRPr="005234C4">
        <w:rPr>
          <w:szCs w:val="28"/>
        </w:rPr>
        <w:t xml:space="preserve"> года) опубликованы в сро</w:t>
      </w:r>
      <w:r>
        <w:rPr>
          <w:szCs w:val="28"/>
        </w:rPr>
        <w:t>к до 01 июня 2024</w:t>
      </w:r>
      <w:r w:rsidRPr="005234C4">
        <w:rPr>
          <w:szCs w:val="28"/>
        </w:rPr>
        <w:t xml:space="preserve"> года на сайте департамента в сети Интернет: </w:t>
      </w:r>
      <w:hyperlink r:id="rId60" w:history="1">
        <w:r w:rsidRPr="005234C4">
          <w:rPr>
            <w:rStyle w:val="a3"/>
            <w:szCs w:val="28"/>
            <w:lang w:val="en-US"/>
          </w:rPr>
          <w:t>www</w:t>
        </w:r>
        <w:r w:rsidRPr="005234C4">
          <w:rPr>
            <w:rStyle w:val="a3"/>
            <w:szCs w:val="28"/>
          </w:rPr>
          <w:t>.</w:t>
        </w:r>
        <w:r w:rsidRPr="005234C4">
          <w:rPr>
            <w:rStyle w:val="a3"/>
            <w:szCs w:val="28"/>
            <w:lang w:val="en-US"/>
          </w:rPr>
          <w:t>tarif</w:t>
        </w:r>
        <w:r w:rsidRPr="005234C4">
          <w:rPr>
            <w:rStyle w:val="a3"/>
            <w:szCs w:val="28"/>
          </w:rPr>
          <w:t>.</w:t>
        </w:r>
        <w:r w:rsidRPr="005234C4">
          <w:rPr>
            <w:rStyle w:val="a3"/>
            <w:szCs w:val="28"/>
            <w:lang w:val="en-US"/>
          </w:rPr>
          <w:t>nso</w:t>
        </w:r>
        <w:r w:rsidRPr="005234C4">
          <w:rPr>
            <w:rStyle w:val="a3"/>
            <w:szCs w:val="28"/>
          </w:rPr>
          <w:t>.</w:t>
        </w:r>
        <w:r w:rsidRPr="005234C4">
          <w:rPr>
            <w:rStyle w:val="a3"/>
            <w:szCs w:val="28"/>
            <w:lang w:val="en-US"/>
          </w:rPr>
          <w:t>ru</w:t>
        </w:r>
      </w:hyperlink>
      <w:r w:rsidRPr="005234C4">
        <w:rPr>
          <w:szCs w:val="28"/>
        </w:rPr>
        <w:t xml:space="preserve">. (приказ департамента от </w:t>
      </w:r>
      <w:r>
        <w:rPr>
          <w:szCs w:val="28"/>
        </w:rPr>
        <w:t xml:space="preserve">21.05.2024 </w:t>
      </w:r>
      <w:r w:rsidRPr="005234C4">
        <w:rPr>
          <w:szCs w:val="28"/>
        </w:rPr>
        <w:t>№</w:t>
      </w:r>
      <w:r>
        <w:rPr>
          <w:szCs w:val="28"/>
        </w:rPr>
        <w:t xml:space="preserve"> 114</w:t>
      </w:r>
      <w:r w:rsidRPr="005234C4">
        <w:rPr>
          <w:szCs w:val="28"/>
        </w:rPr>
        <w:t xml:space="preserve">-ЭЭ «Об определении фактических значений показателей надежности и качества оказываемых услуг для территориальных сетевых организаций </w:t>
      </w:r>
      <w:r>
        <w:rPr>
          <w:szCs w:val="28"/>
        </w:rPr>
        <w:t>Новосибирской области за 2023</w:t>
      </w:r>
      <w:r w:rsidRPr="005234C4">
        <w:rPr>
          <w:szCs w:val="28"/>
        </w:rPr>
        <w:t xml:space="preserve"> год»).</w:t>
      </w:r>
    </w:p>
    <w:p w:rsidR="00A712E1" w:rsidRDefault="00A712E1" w:rsidP="00A712E1">
      <w:pPr>
        <w:spacing w:after="0" w:line="240" w:lineRule="auto"/>
        <w:ind w:firstLine="709"/>
        <w:jc w:val="both"/>
        <w:rPr>
          <w:rFonts w:eastAsia="Calibri"/>
          <w:szCs w:val="28"/>
        </w:rPr>
      </w:pPr>
    </w:p>
    <w:p w:rsidR="00A712E1" w:rsidRPr="00F1041B" w:rsidRDefault="00A712E1" w:rsidP="00F1041B">
      <w:pPr>
        <w:pStyle w:val="4"/>
      </w:pPr>
      <w:bookmarkStart w:id="33" w:name="_Toc193810535"/>
      <w:r w:rsidRPr="00F1041B">
        <w:t>2.1.8. Технологическое присоединение к электрическим сетям</w:t>
      </w:r>
      <w:bookmarkEnd w:id="33"/>
    </w:p>
    <w:p w:rsidR="00A712E1" w:rsidRPr="00E06B33" w:rsidRDefault="00A712E1" w:rsidP="00F1041B">
      <w:pPr>
        <w:autoSpaceDE w:val="0"/>
        <w:autoSpaceDN w:val="0"/>
        <w:adjustRightInd w:val="0"/>
        <w:spacing w:after="0" w:line="240" w:lineRule="auto"/>
        <w:ind w:firstLine="709"/>
        <w:jc w:val="both"/>
        <w:rPr>
          <w:rFonts w:eastAsia="Times New Roman"/>
          <w:szCs w:val="28"/>
        </w:rPr>
      </w:pPr>
      <w:r w:rsidRPr="00E06B33">
        <w:rPr>
          <w:rFonts w:eastAsia="Times New Roman"/>
          <w:szCs w:val="28"/>
        </w:rPr>
        <w:t xml:space="preserve">Департамент, осуществляя государственное регулирование платы за технологическое присоединение к электрическим сетям, руководствовался </w:t>
      </w:r>
      <w:r w:rsidR="00E219D5">
        <w:rPr>
          <w:rFonts w:eastAsiaTheme="minorHAnsi"/>
          <w:szCs w:val="28"/>
          <w:lang w:eastAsia="en-US"/>
        </w:rPr>
        <w:t xml:space="preserve">Федеральным законом № 35-ФЗ «Об электроэнергетике» </w:t>
      </w:r>
      <w:r w:rsidR="00E219D5" w:rsidRPr="00E06B33">
        <w:rPr>
          <w:rFonts w:eastAsia="Times New Roman"/>
          <w:szCs w:val="28"/>
        </w:rPr>
        <w:t xml:space="preserve"> </w:t>
      </w:r>
      <w:r w:rsidRPr="00E06B33">
        <w:rPr>
          <w:rFonts w:eastAsia="Times New Roman"/>
          <w:szCs w:val="28"/>
        </w:rPr>
        <w:t xml:space="preserve">Основами ценообразования </w:t>
      </w:r>
      <w:r w:rsidRPr="008F3DFE">
        <w:rPr>
          <w:rFonts w:eastAsia="Times New Roman"/>
          <w:szCs w:val="28"/>
        </w:rPr>
        <w:t>№ 1178,</w:t>
      </w:r>
      <w:r w:rsidRPr="00E06B33">
        <w:rPr>
          <w:rFonts w:eastAsia="Times New Roman"/>
          <w:szCs w:val="28"/>
        </w:rPr>
        <w:t xml:space="preserve"> </w:t>
      </w:r>
      <w:r w:rsidRPr="00A820F6">
        <w:rPr>
          <w:rFonts w:eastAsia="Times New Roman"/>
          <w:szCs w:val="28"/>
        </w:rPr>
        <w:t>Методическими указаниями по определению размера платы за технологическое присоединение к электрическим сетям, утвержденными приказом Федеральной антимонопольной службы от 30.06.2022 № 490/22</w:t>
      </w:r>
      <w:r w:rsidRPr="00E06B33">
        <w:rPr>
          <w:rFonts w:eastAsia="Times New Roman"/>
          <w:szCs w:val="28"/>
        </w:rPr>
        <w:t xml:space="preserve"> (далее – Методические указания </w:t>
      </w:r>
      <w:r w:rsidRPr="00A820F6">
        <w:rPr>
          <w:rFonts w:eastAsia="Times New Roman"/>
          <w:szCs w:val="28"/>
        </w:rPr>
        <w:t>№ 490/22</w:t>
      </w:r>
      <w:r w:rsidRPr="00E06B33">
        <w:rPr>
          <w:rFonts w:eastAsia="Times New Roman"/>
          <w:szCs w:val="28"/>
        </w:rPr>
        <w:t>), другими действующими нормативными правовыми актами РФ в области государственного регулирования цен (тарифов) в электроэнергетике, а также результатами анализа технико-экономических и финансовых показателей организаций, осуществляющих регулируемую деятельность, в периодах, предшествующих регулируемому.</w:t>
      </w:r>
    </w:p>
    <w:p w:rsidR="00A712E1" w:rsidRDefault="00A712E1" w:rsidP="00A712E1">
      <w:pPr>
        <w:autoSpaceDE w:val="0"/>
        <w:autoSpaceDN w:val="0"/>
        <w:adjustRightInd w:val="0"/>
        <w:spacing w:after="0" w:line="240" w:lineRule="auto"/>
        <w:ind w:firstLine="709"/>
        <w:jc w:val="both"/>
        <w:rPr>
          <w:rFonts w:eastAsia="Times New Roman"/>
          <w:szCs w:val="28"/>
        </w:rPr>
      </w:pPr>
      <w:r w:rsidRPr="00E06B33">
        <w:rPr>
          <w:rFonts w:eastAsia="Times New Roman"/>
          <w:szCs w:val="28"/>
        </w:rPr>
        <w:t xml:space="preserve">В соответствии со сроками рассмотрения материалов по установлению цен (тарифов) в электроэнергетике на основании </w:t>
      </w:r>
      <w:r w:rsidRPr="008F3DFE">
        <w:rPr>
          <w:rFonts w:eastAsia="Times New Roman"/>
          <w:szCs w:val="28"/>
        </w:rPr>
        <w:t>Регламента № 489/24, в</w:t>
      </w:r>
      <w:r>
        <w:rPr>
          <w:rFonts w:eastAsia="Times New Roman"/>
          <w:szCs w:val="28"/>
        </w:rPr>
        <w:t xml:space="preserve"> 2024</w:t>
      </w:r>
      <w:r w:rsidRPr="00E06B33">
        <w:rPr>
          <w:rFonts w:eastAsia="Times New Roman"/>
          <w:szCs w:val="28"/>
        </w:rPr>
        <w:t xml:space="preserve"> году департаментом проводилась экономическая экспертиза материалов по расчету платы за технологическое присоединение энергопринимающих устройств (энергетических установок) юридических и физических лиц к электрическим сетям территориальных сетевых организаций, платы за технологическое присоединение по индивидуальным проектам, стандартизированных тарифных ставок для определения размера платы за технологическое присоединение энергопринимающих устройств юридических и физических лиц к электрическим сетям территориальных сетевых организаций и формулы платы за технологическое присоединение на территории Новос</w:t>
      </w:r>
      <w:r>
        <w:rPr>
          <w:rFonts w:eastAsia="Times New Roman"/>
          <w:szCs w:val="28"/>
        </w:rPr>
        <w:t>ибирской области.</w:t>
      </w:r>
    </w:p>
    <w:p w:rsidR="00A712E1" w:rsidRPr="00E06B33" w:rsidRDefault="00A712E1" w:rsidP="00A712E1">
      <w:pPr>
        <w:autoSpaceDE w:val="0"/>
        <w:autoSpaceDN w:val="0"/>
        <w:adjustRightInd w:val="0"/>
        <w:spacing w:after="0" w:line="240" w:lineRule="auto"/>
        <w:ind w:firstLine="709"/>
        <w:jc w:val="both"/>
        <w:rPr>
          <w:rFonts w:eastAsia="Times New Roman"/>
          <w:b/>
          <w:color w:val="000000"/>
          <w:szCs w:val="28"/>
        </w:rPr>
      </w:pPr>
      <w:r>
        <w:rPr>
          <w:rFonts w:eastAsia="Times New Roman"/>
          <w:szCs w:val="28"/>
        </w:rPr>
        <w:t>В 2024</w:t>
      </w:r>
      <w:r w:rsidRPr="00E06B33">
        <w:rPr>
          <w:rFonts w:eastAsia="Times New Roman"/>
          <w:szCs w:val="28"/>
        </w:rPr>
        <w:t xml:space="preserve"> года от</w:t>
      </w:r>
      <w:r>
        <w:rPr>
          <w:rFonts w:eastAsia="Times New Roman"/>
          <w:szCs w:val="28"/>
        </w:rPr>
        <w:t>делом подготовлено 31 экспертное заключение</w:t>
      </w:r>
      <w:r w:rsidRPr="00E06B33">
        <w:rPr>
          <w:rFonts w:eastAsia="Times New Roman"/>
          <w:szCs w:val="28"/>
        </w:rPr>
        <w:t>, на основании которых правлением департамента приняты решения</w:t>
      </w:r>
      <w:r w:rsidRPr="00DF69BF">
        <w:t xml:space="preserve"> </w:t>
      </w:r>
      <w:r w:rsidRPr="00DF69BF">
        <w:rPr>
          <w:rFonts w:eastAsia="Times New Roman"/>
          <w:szCs w:val="28"/>
        </w:rPr>
        <w:t xml:space="preserve">и утверждены </w:t>
      </w:r>
      <w:r w:rsidRPr="00055DFE">
        <w:rPr>
          <w:rFonts w:eastAsia="Times New Roman"/>
          <w:szCs w:val="28"/>
        </w:rPr>
        <w:t>1</w:t>
      </w:r>
      <w:r>
        <w:rPr>
          <w:rFonts w:eastAsia="Times New Roman"/>
          <w:szCs w:val="28"/>
        </w:rPr>
        <w:t>2</w:t>
      </w:r>
      <w:r w:rsidRPr="00DF69BF">
        <w:rPr>
          <w:rFonts w:eastAsia="Times New Roman"/>
          <w:szCs w:val="28"/>
        </w:rPr>
        <w:t xml:space="preserve"> приказов</w:t>
      </w:r>
      <w:r>
        <w:rPr>
          <w:rFonts w:eastAsia="Times New Roman"/>
          <w:szCs w:val="28"/>
        </w:rPr>
        <w:t xml:space="preserve"> </w:t>
      </w:r>
      <w:r w:rsidRPr="00E06B33">
        <w:rPr>
          <w:rFonts w:eastAsia="Times New Roman"/>
          <w:szCs w:val="28"/>
        </w:rPr>
        <w:t>по установлению платы за технологическое присоединение к электрическим сетям</w:t>
      </w:r>
      <w:r>
        <w:rPr>
          <w:rFonts w:eastAsia="Times New Roman"/>
          <w:szCs w:val="28"/>
        </w:rPr>
        <w:t xml:space="preserve"> по индивидуальному проекту</w:t>
      </w:r>
      <w:r w:rsidRPr="00E06B33">
        <w:rPr>
          <w:rFonts w:eastAsia="Times New Roman"/>
          <w:szCs w:val="28"/>
        </w:rPr>
        <w:t>.</w:t>
      </w:r>
    </w:p>
    <w:p w:rsidR="00A712E1" w:rsidRDefault="00A712E1" w:rsidP="00A712E1">
      <w:pPr>
        <w:tabs>
          <w:tab w:val="left" w:pos="708"/>
          <w:tab w:val="center" w:pos="4153"/>
          <w:tab w:val="right" w:pos="8306"/>
        </w:tabs>
        <w:spacing w:after="0" w:line="240" w:lineRule="auto"/>
        <w:ind w:firstLine="708"/>
        <w:jc w:val="both"/>
        <w:rPr>
          <w:rFonts w:eastAsia="Times New Roman"/>
          <w:szCs w:val="28"/>
        </w:rPr>
      </w:pPr>
      <w:r>
        <w:rPr>
          <w:rFonts w:eastAsia="Times New Roman"/>
          <w:szCs w:val="28"/>
        </w:rPr>
        <w:t>В 2024</w:t>
      </w:r>
      <w:r w:rsidRPr="00E06B33">
        <w:rPr>
          <w:rFonts w:eastAsia="Times New Roman"/>
          <w:szCs w:val="28"/>
        </w:rPr>
        <w:t xml:space="preserve"> году департаментом утверждены станд</w:t>
      </w:r>
      <w:r>
        <w:rPr>
          <w:rFonts w:eastAsia="Times New Roman"/>
          <w:szCs w:val="28"/>
        </w:rPr>
        <w:t>артизированные тарифные ставки,</w:t>
      </w:r>
      <w:r w:rsidRPr="00E06B33">
        <w:rPr>
          <w:rFonts w:eastAsia="Times New Roman"/>
          <w:szCs w:val="28"/>
        </w:rPr>
        <w:t xml:space="preserve"> формула платы за </w:t>
      </w:r>
      <w:r>
        <w:rPr>
          <w:rFonts w:eastAsia="Times New Roman"/>
          <w:szCs w:val="28"/>
        </w:rPr>
        <w:t>технологическое присоединение, а также льготные</w:t>
      </w:r>
      <w:r w:rsidRPr="00E06B33">
        <w:rPr>
          <w:rFonts w:eastAsia="Times New Roman"/>
          <w:szCs w:val="28"/>
        </w:rPr>
        <w:t xml:space="preserve"> ставки за </w:t>
      </w:r>
      <w:r>
        <w:rPr>
          <w:rFonts w:eastAsia="Times New Roman"/>
          <w:szCs w:val="28"/>
        </w:rPr>
        <w:t>1 кВт</w:t>
      </w:r>
      <w:r w:rsidRPr="00E06B33">
        <w:rPr>
          <w:rFonts w:eastAsia="Times New Roman"/>
          <w:szCs w:val="28"/>
        </w:rPr>
        <w:t xml:space="preserve"> максимальной мощности на территории Новосибирской области</w:t>
      </w:r>
      <w:r>
        <w:rPr>
          <w:rFonts w:eastAsia="Times New Roman"/>
          <w:szCs w:val="28"/>
        </w:rPr>
        <w:t xml:space="preserve"> на 2025 год.</w:t>
      </w:r>
    </w:p>
    <w:p w:rsidR="00A712E1" w:rsidRPr="00FD6DAD" w:rsidRDefault="00A712E1" w:rsidP="00A712E1">
      <w:pPr>
        <w:tabs>
          <w:tab w:val="left" w:pos="708"/>
          <w:tab w:val="center" w:pos="4153"/>
          <w:tab w:val="right" w:pos="8306"/>
        </w:tabs>
        <w:spacing w:after="0" w:line="240" w:lineRule="auto"/>
        <w:ind w:firstLine="708"/>
        <w:jc w:val="both"/>
        <w:rPr>
          <w:rFonts w:eastAsia="Times New Roman"/>
          <w:szCs w:val="28"/>
        </w:rPr>
      </w:pPr>
      <w:r w:rsidRPr="00E06B33">
        <w:rPr>
          <w:rFonts w:eastAsia="Times New Roman"/>
          <w:szCs w:val="28"/>
        </w:rPr>
        <w:t xml:space="preserve"> Кроме того</w:t>
      </w:r>
      <w:r>
        <w:rPr>
          <w:rFonts w:eastAsia="Times New Roman"/>
          <w:szCs w:val="28"/>
        </w:rPr>
        <w:t>, в течение 2024 года</w:t>
      </w:r>
      <w:r w:rsidRPr="00E06B33">
        <w:rPr>
          <w:rFonts w:eastAsia="Times New Roman"/>
          <w:szCs w:val="28"/>
        </w:rPr>
        <w:t xml:space="preserve"> департаментом</w:t>
      </w:r>
      <w:r>
        <w:rPr>
          <w:rFonts w:eastAsia="Times New Roman"/>
          <w:szCs w:val="28"/>
        </w:rPr>
        <w:t xml:space="preserve"> по обращениям сетевых организаций дополнительно установлены 4 стандартизированные тарифные ставки и 4 приказами</w:t>
      </w:r>
      <w:r w:rsidRPr="00E06B33">
        <w:rPr>
          <w:rFonts w:eastAsia="Times New Roman"/>
          <w:szCs w:val="28"/>
        </w:rPr>
        <w:t xml:space="preserve"> внесены</w:t>
      </w:r>
      <w:r>
        <w:rPr>
          <w:rFonts w:eastAsia="Times New Roman"/>
          <w:szCs w:val="28"/>
        </w:rPr>
        <w:t xml:space="preserve"> соответствующие</w:t>
      </w:r>
      <w:r w:rsidRPr="00E06B33">
        <w:rPr>
          <w:rFonts w:eastAsia="Times New Roman"/>
          <w:szCs w:val="28"/>
        </w:rPr>
        <w:t xml:space="preserve"> изменения в приказ об установлении  стандартизированных тарифных ставок и формулы платы за технологическое присоединение на территории Новосибирской </w:t>
      </w:r>
      <w:r>
        <w:rPr>
          <w:rFonts w:eastAsia="Times New Roman"/>
          <w:szCs w:val="28"/>
        </w:rPr>
        <w:t>области на 2025</w:t>
      </w:r>
      <w:r w:rsidRPr="00E06B33">
        <w:rPr>
          <w:rFonts w:eastAsia="Times New Roman"/>
          <w:szCs w:val="28"/>
        </w:rPr>
        <w:t xml:space="preserve"> год.</w:t>
      </w:r>
    </w:p>
    <w:p w:rsidR="00A712E1" w:rsidRPr="00F1041B" w:rsidRDefault="00A712E1" w:rsidP="00F1041B">
      <w:pPr>
        <w:pStyle w:val="4"/>
      </w:pPr>
      <w:bookmarkStart w:id="34" w:name="_Toc193810536"/>
      <w:r w:rsidRPr="00F1041B">
        <w:lastRenderedPageBreak/>
        <w:t>2.1.8.1. Установление платы за технологическое присоединение к электрическим сетям на 2025 год.</w:t>
      </w:r>
      <w:bookmarkEnd w:id="34"/>
    </w:p>
    <w:p w:rsidR="00A712E1" w:rsidRPr="00E06B33" w:rsidRDefault="00A712E1" w:rsidP="00A712E1">
      <w:pPr>
        <w:spacing w:after="0" w:line="240" w:lineRule="auto"/>
        <w:ind w:firstLine="708"/>
        <w:jc w:val="both"/>
        <w:rPr>
          <w:rFonts w:eastAsia="Times New Roman"/>
          <w:szCs w:val="20"/>
        </w:rPr>
      </w:pPr>
      <w:r w:rsidRPr="00E06B33">
        <w:rPr>
          <w:rFonts w:eastAsia="Times New Roman"/>
          <w:szCs w:val="28"/>
        </w:rPr>
        <w:t xml:space="preserve">Департаментом у всех территориальных сетевых организаций Новосибирской области  были запрошены </w:t>
      </w:r>
      <w:r w:rsidRPr="00E06B33">
        <w:rPr>
          <w:rFonts w:eastAsia="Times New Roman"/>
          <w:szCs w:val="20"/>
        </w:rPr>
        <w:t xml:space="preserve">прогнозные сведения о расходах за технологическое присоединение на очередной </w:t>
      </w:r>
      <w:r>
        <w:rPr>
          <w:rFonts w:eastAsia="Times New Roman"/>
          <w:szCs w:val="20"/>
        </w:rPr>
        <w:t>календарный год согласно пункту</w:t>
      </w:r>
      <w:r w:rsidRPr="00E06B33">
        <w:rPr>
          <w:rFonts w:eastAsia="Times New Roman"/>
          <w:szCs w:val="20"/>
        </w:rPr>
        <w:t xml:space="preserve"> 23 </w:t>
      </w:r>
      <w:r>
        <w:rPr>
          <w:rFonts w:eastAsia="Times New Roman"/>
          <w:szCs w:val="20"/>
        </w:rPr>
        <w:t xml:space="preserve"> Методических указаний № 490/22</w:t>
      </w:r>
      <w:r w:rsidRPr="00E06B33">
        <w:rPr>
          <w:rFonts w:eastAsia="Times New Roman"/>
          <w:szCs w:val="20"/>
        </w:rPr>
        <w:t xml:space="preserve"> в ф</w:t>
      </w:r>
      <w:r>
        <w:rPr>
          <w:rFonts w:eastAsia="Times New Roman"/>
          <w:szCs w:val="20"/>
        </w:rPr>
        <w:t>ормате приложений № 1 и № 2 к Методическим указаниям № 490/22</w:t>
      </w:r>
      <w:r w:rsidRPr="00E06B33">
        <w:rPr>
          <w:rFonts w:eastAsia="Times New Roman"/>
          <w:szCs w:val="20"/>
        </w:rPr>
        <w:t>.</w:t>
      </w:r>
    </w:p>
    <w:p w:rsidR="00A712E1" w:rsidRPr="00E06B33" w:rsidRDefault="00A712E1" w:rsidP="00A712E1">
      <w:pPr>
        <w:spacing w:after="0" w:line="240" w:lineRule="auto"/>
        <w:ind w:firstLine="708"/>
        <w:jc w:val="both"/>
        <w:rPr>
          <w:rFonts w:eastAsia="Times New Roman"/>
          <w:szCs w:val="28"/>
        </w:rPr>
      </w:pPr>
      <w:r w:rsidRPr="00E06B33">
        <w:rPr>
          <w:rFonts w:eastAsia="Times New Roman"/>
          <w:szCs w:val="20"/>
        </w:rPr>
        <w:t>На основании представленн</w:t>
      </w:r>
      <w:r>
        <w:rPr>
          <w:rFonts w:eastAsia="Times New Roman"/>
          <w:szCs w:val="20"/>
        </w:rPr>
        <w:t>ых сведений рассчитаны и приказом</w:t>
      </w:r>
      <w:r w:rsidRPr="00E06B33">
        <w:rPr>
          <w:rFonts w:eastAsia="Times New Roman"/>
          <w:szCs w:val="20"/>
        </w:rPr>
        <w:t xml:space="preserve"> департаме</w:t>
      </w:r>
      <w:r>
        <w:rPr>
          <w:rFonts w:eastAsia="Times New Roman"/>
          <w:szCs w:val="20"/>
        </w:rPr>
        <w:t xml:space="preserve">нта от 28.11.2024 № 318-ЭЭ/НПА </w:t>
      </w:r>
      <w:r w:rsidRPr="00E06B33">
        <w:rPr>
          <w:rFonts w:eastAsia="Times New Roman"/>
          <w:szCs w:val="20"/>
        </w:rPr>
        <w:t>утверждены стандартизированные тарифные ставки для расчета платы за технологическое присоединение к электрическим сетям.</w:t>
      </w:r>
    </w:p>
    <w:p w:rsidR="00A712E1" w:rsidRPr="00E06B33" w:rsidRDefault="00A712E1" w:rsidP="00A712E1">
      <w:pPr>
        <w:autoSpaceDE w:val="0"/>
        <w:autoSpaceDN w:val="0"/>
        <w:adjustRightInd w:val="0"/>
        <w:spacing w:after="0" w:line="240" w:lineRule="auto"/>
        <w:ind w:firstLine="540"/>
        <w:jc w:val="both"/>
        <w:rPr>
          <w:rFonts w:eastAsia="Times New Roman"/>
          <w:szCs w:val="28"/>
        </w:rPr>
      </w:pPr>
      <w:r w:rsidRPr="00E06B33">
        <w:rPr>
          <w:rFonts w:eastAsia="Times New Roman"/>
          <w:szCs w:val="28"/>
        </w:rPr>
        <w:tab/>
        <w:t>По результатам расчетов величина ставки С</w:t>
      </w:r>
      <w:r w:rsidRPr="00E06B33">
        <w:rPr>
          <w:rFonts w:eastAsia="Times New Roman"/>
          <w:szCs w:val="28"/>
          <w:vertAlign w:val="subscript"/>
        </w:rPr>
        <w:t>1.1</w:t>
      </w:r>
      <w:r w:rsidRPr="00E06B33">
        <w:rPr>
          <w:rFonts w:eastAsia="Times New Roman"/>
          <w:szCs w:val="28"/>
        </w:rPr>
        <w:t xml:space="preserve"> за подготовку и выдачу сетевой организацией технически</w:t>
      </w:r>
      <w:r>
        <w:rPr>
          <w:rFonts w:eastAsia="Times New Roman"/>
          <w:szCs w:val="28"/>
        </w:rPr>
        <w:t>х условий Заявителю составила 17 858</w:t>
      </w:r>
      <w:r w:rsidRPr="00E06B33">
        <w:rPr>
          <w:rFonts w:eastAsia="Times New Roman"/>
          <w:szCs w:val="28"/>
        </w:rPr>
        <w:t xml:space="preserve"> руб./ТП, величина ставки С</w:t>
      </w:r>
      <w:r w:rsidRPr="00E06B33">
        <w:rPr>
          <w:rFonts w:eastAsia="Times New Roman"/>
          <w:szCs w:val="28"/>
          <w:vertAlign w:val="subscript"/>
        </w:rPr>
        <w:t>1.2</w:t>
      </w:r>
      <w:r>
        <w:rPr>
          <w:rFonts w:eastAsia="Times New Roman"/>
          <w:szCs w:val="28"/>
          <w:vertAlign w:val="subscript"/>
        </w:rPr>
        <w:t>.2</w:t>
      </w:r>
      <w:r w:rsidRPr="00E06B33">
        <w:rPr>
          <w:rFonts w:eastAsia="Times New Roman"/>
          <w:szCs w:val="28"/>
        </w:rPr>
        <w:t xml:space="preserve"> за проверку сетевой организацией выполнения Заявителем </w:t>
      </w:r>
      <w:r>
        <w:rPr>
          <w:rFonts w:eastAsia="Times New Roman"/>
          <w:szCs w:val="28"/>
        </w:rPr>
        <w:t>технических условий составила 63 613</w:t>
      </w:r>
      <w:r w:rsidRPr="00E06B33">
        <w:rPr>
          <w:rFonts w:eastAsia="Times New Roman"/>
          <w:szCs w:val="28"/>
        </w:rPr>
        <w:t xml:space="preserve"> руб./ТП.</w:t>
      </w:r>
    </w:p>
    <w:p w:rsidR="00A712E1" w:rsidRDefault="00A712E1" w:rsidP="00A712E1">
      <w:pPr>
        <w:autoSpaceDE w:val="0"/>
        <w:autoSpaceDN w:val="0"/>
        <w:adjustRightInd w:val="0"/>
        <w:spacing w:after="0" w:line="240" w:lineRule="auto"/>
        <w:ind w:firstLine="709"/>
        <w:jc w:val="both"/>
        <w:rPr>
          <w:rFonts w:eastAsia="Times New Roman"/>
          <w:szCs w:val="28"/>
        </w:rPr>
      </w:pPr>
      <w:r w:rsidRPr="00E06B33">
        <w:rPr>
          <w:rFonts w:eastAsia="Times New Roman"/>
          <w:szCs w:val="28"/>
        </w:rPr>
        <w:t>Сравнительная динамика размера ставки С</w:t>
      </w:r>
      <w:r w:rsidRPr="00E06B33">
        <w:rPr>
          <w:rFonts w:eastAsia="Times New Roman"/>
          <w:szCs w:val="28"/>
          <w:vertAlign w:val="subscript"/>
        </w:rPr>
        <w:t>1</w:t>
      </w:r>
      <w:r w:rsidRPr="00E06B33">
        <w:rPr>
          <w:rFonts w:eastAsia="Times New Roman"/>
          <w:szCs w:val="28"/>
        </w:rPr>
        <w:t xml:space="preserve"> среди </w:t>
      </w:r>
      <w:r>
        <w:rPr>
          <w:rFonts w:eastAsia="Times New Roman"/>
          <w:szCs w:val="28"/>
        </w:rPr>
        <w:t>городов-миллионников в 2021-2025</w:t>
      </w:r>
      <w:r w:rsidRPr="00E06B33">
        <w:rPr>
          <w:rFonts w:eastAsia="Times New Roman"/>
          <w:szCs w:val="28"/>
        </w:rPr>
        <w:t xml:space="preserve"> годах представлена на графике (Новосибирск – максимум, Санкт-Петербург – средние значения, Нижний Новгород – минимум).</w:t>
      </w:r>
    </w:p>
    <w:p w:rsidR="00A712E1" w:rsidRPr="00E06B33" w:rsidRDefault="00A712E1" w:rsidP="00A712E1">
      <w:pPr>
        <w:autoSpaceDE w:val="0"/>
        <w:autoSpaceDN w:val="0"/>
        <w:adjustRightInd w:val="0"/>
        <w:spacing w:after="0" w:line="240" w:lineRule="auto"/>
        <w:ind w:firstLine="709"/>
        <w:jc w:val="both"/>
        <w:rPr>
          <w:rFonts w:eastAsia="Times New Roman"/>
          <w:szCs w:val="28"/>
        </w:rPr>
      </w:pPr>
    </w:p>
    <w:p w:rsidR="00A712E1" w:rsidRDefault="00A712E1" w:rsidP="00A712E1">
      <w:pPr>
        <w:autoSpaceDE w:val="0"/>
        <w:autoSpaceDN w:val="0"/>
        <w:adjustRightInd w:val="0"/>
        <w:spacing w:after="0" w:line="240" w:lineRule="auto"/>
        <w:jc w:val="both"/>
        <w:rPr>
          <w:rFonts w:eastAsia="Times New Roman"/>
          <w:szCs w:val="28"/>
        </w:rPr>
      </w:pPr>
      <w:r>
        <w:rPr>
          <w:noProof/>
        </w:rPr>
        <w:drawing>
          <wp:inline distT="0" distB="0" distL="0" distR="0" wp14:anchorId="151779C2" wp14:editId="40A6CE95">
            <wp:extent cx="5979381" cy="3021496"/>
            <wp:effectExtent l="0" t="0" r="2540" b="762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A712E1" w:rsidRDefault="00A712E1" w:rsidP="00A712E1">
      <w:pPr>
        <w:autoSpaceDE w:val="0"/>
        <w:autoSpaceDN w:val="0"/>
        <w:adjustRightInd w:val="0"/>
        <w:spacing w:after="0" w:line="240" w:lineRule="auto"/>
        <w:ind w:firstLine="709"/>
        <w:jc w:val="both"/>
        <w:rPr>
          <w:rFonts w:eastAsia="Times New Roman"/>
          <w:szCs w:val="28"/>
        </w:rPr>
      </w:pPr>
      <w:r w:rsidRPr="00021BD2">
        <w:rPr>
          <w:rFonts w:eastAsia="Times New Roman"/>
          <w:bCs/>
          <w:color w:val="000000"/>
          <w:szCs w:val="28"/>
        </w:rPr>
        <w:t xml:space="preserve">Размер </w:t>
      </w:r>
      <w:r w:rsidRPr="00E06B33">
        <w:rPr>
          <w:rFonts w:eastAsia="Times New Roman"/>
          <w:szCs w:val="28"/>
        </w:rPr>
        <w:t>став</w:t>
      </w:r>
      <w:r>
        <w:rPr>
          <w:rFonts w:eastAsia="Times New Roman"/>
          <w:szCs w:val="28"/>
        </w:rPr>
        <w:t>ок</w:t>
      </w:r>
      <w:r w:rsidRPr="00E06B33">
        <w:rPr>
          <w:rFonts w:eastAsia="Times New Roman"/>
          <w:szCs w:val="28"/>
        </w:rPr>
        <w:t xml:space="preserve"> С</w:t>
      </w:r>
      <w:r w:rsidRPr="00E06B33">
        <w:rPr>
          <w:rFonts w:eastAsia="Times New Roman"/>
          <w:szCs w:val="28"/>
          <w:vertAlign w:val="subscript"/>
        </w:rPr>
        <w:t>1</w:t>
      </w:r>
      <w:r>
        <w:rPr>
          <w:rFonts w:eastAsia="Times New Roman"/>
          <w:szCs w:val="28"/>
        </w:rPr>
        <w:t xml:space="preserve"> приведен в таблице</w:t>
      </w:r>
      <w:r w:rsidRPr="005C02A4">
        <w:rPr>
          <w:rFonts w:eastAsia="Times New Roman"/>
          <w:szCs w:val="28"/>
        </w:rPr>
        <w:t>:</w:t>
      </w:r>
    </w:p>
    <w:tbl>
      <w:tblPr>
        <w:tblW w:w="488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2"/>
        <w:gridCol w:w="2237"/>
        <w:gridCol w:w="1095"/>
        <w:gridCol w:w="994"/>
        <w:gridCol w:w="1194"/>
        <w:gridCol w:w="1194"/>
        <w:gridCol w:w="1089"/>
      </w:tblGrid>
      <w:tr w:rsidR="00A712E1" w:rsidRPr="00833A07" w:rsidTr="00F1041B">
        <w:trPr>
          <w:trHeight w:val="311"/>
        </w:trPr>
        <w:tc>
          <w:tcPr>
            <w:tcW w:w="830" w:type="pct"/>
            <w:shd w:val="clear" w:color="auto" w:fill="auto"/>
            <w:noWrap/>
            <w:vAlign w:val="center"/>
          </w:tcPr>
          <w:p w:rsidR="00A712E1" w:rsidRPr="00B52BA3" w:rsidRDefault="00A712E1" w:rsidP="00A712E1">
            <w:pPr>
              <w:spacing w:after="0" w:line="240" w:lineRule="auto"/>
              <w:rPr>
                <w:rFonts w:eastAsia="Times New Roman"/>
                <w:color w:val="000000"/>
                <w:sz w:val="20"/>
                <w:szCs w:val="20"/>
              </w:rPr>
            </w:pPr>
            <w:r>
              <w:rPr>
                <w:rFonts w:eastAsia="Times New Roman"/>
                <w:color w:val="000000"/>
                <w:sz w:val="20"/>
                <w:szCs w:val="20"/>
              </w:rPr>
              <w:t>Город</w:t>
            </w:r>
          </w:p>
        </w:tc>
        <w:tc>
          <w:tcPr>
            <w:tcW w:w="1196" w:type="pct"/>
            <w:shd w:val="clear" w:color="auto" w:fill="auto"/>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Год</w:t>
            </w:r>
          </w:p>
        </w:tc>
        <w:tc>
          <w:tcPr>
            <w:tcW w:w="585" w:type="pct"/>
            <w:shd w:val="clear" w:color="auto" w:fill="auto"/>
            <w:noWrap/>
            <w:vAlign w:val="center"/>
            <w:hideMark/>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2021</w:t>
            </w:r>
          </w:p>
        </w:tc>
        <w:tc>
          <w:tcPr>
            <w:tcW w:w="531"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2022</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2023</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Pr>
                <w:rFonts w:eastAsia="Times New Roman"/>
                <w:color w:val="000000"/>
                <w:sz w:val="20"/>
                <w:szCs w:val="20"/>
              </w:rPr>
              <w:t>2024</w:t>
            </w:r>
          </w:p>
        </w:tc>
        <w:tc>
          <w:tcPr>
            <w:tcW w:w="582" w:type="pct"/>
            <w:vAlign w:val="center"/>
          </w:tcPr>
          <w:p w:rsidR="00A712E1" w:rsidRDefault="00A712E1" w:rsidP="00A712E1">
            <w:pPr>
              <w:spacing w:after="0" w:line="240" w:lineRule="auto"/>
              <w:rPr>
                <w:rFonts w:eastAsia="Times New Roman"/>
                <w:color w:val="000000"/>
                <w:sz w:val="20"/>
                <w:szCs w:val="20"/>
              </w:rPr>
            </w:pPr>
            <w:r>
              <w:rPr>
                <w:rFonts w:eastAsia="Times New Roman"/>
                <w:color w:val="000000"/>
                <w:sz w:val="20"/>
                <w:szCs w:val="20"/>
              </w:rPr>
              <w:t>2025</w:t>
            </w:r>
          </w:p>
        </w:tc>
      </w:tr>
      <w:tr w:rsidR="00A712E1" w:rsidRPr="00833A07" w:rsidTr="00F1041B">
        <w:trPr>
          <w:trHeight w:val="327"/>
        </w:trPr>
        <w:tc>
          <w:tcPr>
            <w:tcW w:w="830" w:type="pct"/>
            <w:shd w:val="clear" w:color="auto" w:fill="auto"/>
            <w:noWrap/>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bCs/>
                <w:color w:val="000000"/>
                <w:sz w:val="20"/>
                <w:szCs w:val="20"/>
              </w:rPr>
              <w:t>Новосибирск</w:t>
            </w:r>
          </w:p>
        </w:tc>
        <w:tc>
          <w:tcPr>
            <w:tcW w:w="1196" w:type="pct"/>
            <w:shd w:val="clear" w:color="auto" w:fill="auto"/>
            <w:vAlign w:val="bottom"/>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Величина ставки С</w:t>
            </w:r>
            <w:r w:rsidRPr="00B52BA3">
              <w:rPr>
                <w:rFonts w:eastAsia="Times New Roman"/>
                <w:color w:val="000000"/>
                <w:sz w:val="20"/>
                <w:szCs w:val="20"/>
                <w:vertAlign w:val="subscript"/>
              </w:rPr>
              <w:t>1</w:t>
            </w:r>
            <w:r w:rsidRPr="00B52BA3">
              <w:rPr>
                <w:rFonts w:eastAsia="Times New Roman"/>
                <w:color w:val="000000"/>
                <w:sz w:val="20"/>
                <w:szCs w:val="20"/>
              </w:rPr>
              <w:t>, руб./присоединение</w:t>
            </w:r>
          </w:p>
        </w:tc>
        <w:tc>
          <w:tcPr>
            <w:tcW w:w="585" w:type="pct"/>
            <w:shd w:val="clear" w:color="auto" w:fill="auto"/>
            <w:noWrap/>
            <w:vAlign w:val="center"/>
            <w:hideMark/>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84796</w:t>
            </w:r>
          </w:p>
        </w:tc>
        <w:tc>
          <w:tcPr>
            <w:tcW w:w="531"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89857</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74375</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Pr>
                <w:rFonts w:eastAsia="Times New Roman"/>
                <w:color w:val="000000"/>
                <w:sz w:val="20"/>
                <w:szCs w:val="20"/>
              </w:rPr>
              <w:t>76546</w:t>
            </w:r>
          </w:p>
        </w:tc>
        <w:tc>
          <w:tcPr>
            <w:tcW w:w="582" w:type="pct"/>
            <w:vAlign w:val="center"/>
          </w:tcPr>
          <w:p w:rsidR="00A712E1" w:rsidRDefault="00A712E1" w:rsidP="00A712E1">
            <w:pPr>
              <w:spacing w:after="0" w:line="240" w:lineRule="auto"/>
              <w:rPr>
                <w:rFonts w:eastAsia="Times New Roman"/>
                <w:color w:val="000000"/>
                <w:sz w:val="20"/>
                <w:szCs w:val="20"/>
              </w:rPr>
            </w:pPr>
            <w:r>
              <w:rPr>
                <w:rFonts w:eastAsia="Times New Roman"/>
                <w:color w:val="000000"/>
                <w:sz w:val="20"/>
                <w:szCs w:val="20"/>
              </w:rPr>
              <w:t>81471</w:t>
            </w:r>
          </w:p>
        </w:tc>
      </w:tr>
      <w:tr w:rsidR="00A712E1" w:rsidRPr="00833A07" w:rsidTr="00F1041B">
        <w:trPr>
          <w:trHeight w:val="327"/>
        </w:trPr>
        <w:tc>
          <w:tcPr>
            <w:tcW w:w="830" w:type="pct"/>
            <w:shd w:val="clear" w:color="auto" w:fill="auto"/>
            <w:vAlign w:val="center"/>
          </w:tcPr>
          <w:p w:rsidR="00A712E1" w:rsidRPr="00B52BA3" w:rsidRDefault="00A712E1" w:rsidP="00A712E1">
            <w:pPr>
              <w:spacing w:after="0" w:line="240" w:lineRule="auto"/>
              <w:rPr>
                <w:rFonts w:eastAsia="Times New Roman"/>
                <w:bCs/>
                <w:color w:val="000000"/>
                <w:sz w:val="20"/>
                <w:szCs w:val="20"/>
              </w:rPr>
            </w:pPr>
            <w:r w:rsidRPr="00B52BA3">
              <w:rPr>
                <w:rFonts w:eastAsia="Times New Roman"/>
                <w:bCs/>
                <w:color w:val="000000"/>
                <w:sz w:val="20"/>
                <w:szCs w:val="20"/>
              </w:rPr>
              <w:t>Санкт - Петербург</w:t>
            </w:r>
          </w:p>
        </w:tc>
        <w:tc>
          <w:tcPr>
            <w:tcW w:w="1196" w:type="pct"/>
            <w:shd w:val="clear" w:color="auto" w:fill="auto"/>
            <w:vAlign w:val="bottom"/>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Величина ставки С</w:t>
            </w:r>
            <w:r w:rsidRPr="00B52BA3">
              <w:rPr>
                <w:rFonts w:eastAsia="Times New Roman"/>
                <w:color w:val="000000"/>
                <w:sz w:val="20"/>
                <w:szCs w:val="20"/>
                <w:vertAlign w:val="subscript"/>
              </w:rPr>
              <w:t>1</w:t>
            </w:r>
            <w:r w:rsidRPr="00B52BA3">
              <w:rPr>
                <w:rFonts w:eastAsia="Times New Roman"/>
                <w:color w:val="000000"/>
                <w:sz w:val="20"/>
                <w:szCs w:val="20"/>
              </w:rPr>
              <w:t>, руб./присоединение</w:t>
            </w:r>
          </w:p>
        </w:tc>
        <w:tc>
          <w:tcPr>
            <w:tcW w:w="585" w:type="pct"/>
            <w:shd w:val="clear" w:color="auto" w:fill="auto"/>
            <w:noWrap/>
            <w:vAlign w:val="center"/>
            <w:hideMark/>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43606,52</w:t>
            </w:r>
          </w:p>
        </w:tc>
        <w:tc>
          <w:tcPr>
            <w:tcW w:w="531"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43403</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47235,18</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Pr>
                <w:rFonts w:eastAsia="Times New Roman"/>
                <w:color w:val="000000"/>
                <w:sz w:val="20"/>
                <w:szCs w:val="20"/>
              </w:rPr>
              <w:t>48666,71</w:t>
            </w:r>
          </w:p>
        </w:tc>
        <w:tc>
          <w:tcPr>
            <w:tcW w:w="582" w:type="pct"/>
            <w:vAlign w:val="center"/>
          </w:tcPr>
          <w:p w:rsidR="00A712E1" w:rsidRDefault="00A712E1" w:rsidP="00A712E1">
            <w:pPr>
              <w:spacing w:after="0" w:line="240" w:lineRule="auto"/>
              <w:rPr>
                <w:rFonts w:eastAsia="Times New Roman"/>
                <w:color w:val="000000"/>
                <w:sz w:val="20"/>
                <w:szCs w:val="20"/>
              </w:rPr>
            </w:pPr>
            <w:r>
              <w:rPr>
                <w:rFonts w:eastAsia="Times New Roman"/>
                <w:color w:val="000000"/>
                <w:sz w:val="20"/>
                <w:szCs w:val="20"/>
              </w:rPr>
              <w:t>48542,41</w:t>
            </w:r>
          </w:p>
        </w:tc>
      </w:tr>
      <w:tr w:rsidR="00A712E1" w:rsidRPr="00833A07" w:rsidTr="00F1041B">
        <w:trPr>
          <w:trHeight w:val="327"/>
        </w:trPr>
        <w:tc>
          <w:tcPr>
            <w:tcW w:w="830" w:type="pct"/>
            <w:shd w:val="clear" w:color="auto" w:fill="auto"/>
            <w:vAlign w:val="center"/>
          </w:tcPr>
          <w:p w:rsidR="00A712E1" w:rsidRPr="00B52BA3" w:rsidRDefault="00A712E1" w:rsidP="00A712E1">
            <w:pPr>
              <w:spacing w:after="0" w:line="240" w:lineRule="auto"/>
              <w:rPr>
                <w:rFonts w:eastAsia="Times New Roman"/>
                <w:bCs/>
                <w:color w:val="000000"/>
                <w:sz w:val="20"/>
                <w:szCs w:val="20"/>
              </w:rPr>
            </w:pPr>
            <w:r w:rsidRPr="00B52BA3">
              <w:rPr>
                <w:rFonts w:eastAsia="Times New Roman"/>
                <w:bCs/>
                <w:color w:val="000000"/>
                <w:sz w:val="20"/>
                <w:szCs w:val="20"/>
              </w:rPr>
              <w:t>Нижний Новгород</w:t>
            </w:r>
          </w:p>
        </w:tc>
        <w:tc>
          <w:tcPr>
            <w:tcW w:w="1196" w:type="pct"/>
            <w:shd w:val="clear" w:color="auto" w:fill="auto"/>
            <w:vAlign w:val="bottom"/>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Величина ставки С</w:t>
            </w:r>
            <w:r w:rsidRPr="00B52BA3">
              <w:rPr>
                <w:rFonts w:eastAsia="Times New Roman"/>
                <w:color w:val="000000"/>
                <w:sz w:val="20"/>
                <w:szCs w:val="20"/>
                <w:vertAlign w:val="subscript"/>
              </w:rPr>
              <w:t>1</w:t>
            </w:r>
            <w:r w:rsidRPr="00B52BA3">
              <w:rPr>
                <w:rFonts w:eastAsia="Times New Roman"/>
                <w:color w:val="000000"/>
                <w:sz w:val="20"/>
                <w:szCs w:val="20"/>
              </w:rPr>
              <w:t>, руб./присоединение</w:t>
            </w:r>
          </w:p>
        </w:tc>
        <w:tc>
          <w:tcPr>
            <w:tcW w:w="585" w:type="pct"/>
            <w:shd w:val="clear" w:color="auto" w:fill="auto"/>
            <w:noWrap/>
            <w:vAlign w:val="center"/>
            <w:hideMark/>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5848,37</w:t>
            </w:r>
          </w:p>
        </w:tc>
        <w:tc>
          <w:tcPr>
            <w:tcW w:w="531"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6101,33</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sidRPr="00B52BA3">
              <w:rPr>
                <w:rFonts w:eastAsia="Times New Roman"/>
                <w:color w:val="000000"/>
                <w:sz w:val="20"/>
                <w:szCs w:val="20"/>
              </w:rPr>
              <w:t>11514,09</w:t>
            </w:r>
          </w:p>
        </w:tc>
        <w:tc>
          <w:tcPr>
            <w:tcW w:w="638" w:type="pct"/>
            <w:vAlign w:val="center"/>
          </w:tcPr>
          <w:p w:rsidR="00A712E1" w:rsidRPr="00B52BA3" w:rsidRDefault="00A712E1" w:rsidP="00A712E1">
            <w:pPr>
              <w:spacing w:after="0" w:line="240" w:lineRule="auto"/>
              <w:rPr>
                <w:rFonts w:eastAsia="Times New Roman"/>
                <w:color w:val="000000"/>
                <w:sz w:val="20"/>
                <w:szCs w:val="20"/>
              </w:rPr>
            </w:pPr>
            <w:r>
              <w:rPr>
                <w:rFonts w:eastAsia="Times New Roman"/>
                <w:color w:val="000000"/>
                <w:sz w:val="20"/>
                <w:szCs w:val="20"/>
              </w:rPr>
              <w:t>18042,76</w:t>
            </w:r>
          </w:p>
        </w:tc>
        <w:tc>
          <w:tcPr>
            <w:tcW w:w="582" w:type="pct"/>
            <w:vAlign w:val="center"/>
          </w:tcPr>
          <w:p w:rsidR="00A712E1" w:rsidRDefault="00A712E1" w:rsidP="00A712E1">
            <w:pPr>
              <w:spacing w:after="0" w:line="240" w:lineRule="auto"/>
              <w:rPr>
                <w:rFonts w:eastAsia="Times New Roman"/>
                <w:color w:val="000000"/>
                <w:sz w:val="20"/>
                <w:szCs w:val="20"/>
              </w:rPr>
            </w:pPr>
            <w:r>
              <w:rPr>
                <w:rFonts w:eastAsia="Times New Roman"/>
                <w:color w:val="000000"/>
                <w:sz w:val="20"/>
                <w:szCs w:val="20"/>
              </w:rPr>
              <w:t>20516,04</w:t>
            </w:r>
          </w:p>
        </w:tc>
      </w:tr>
    </w:tbl>
    <w:p w:rsidR="00A712E1" w:rsidRDefault="00A712E1" w:rsidP="00A712E1">
      <w:pPr>
        <w:autoSpaceDE w:val="0"/>
        <w:autoSpaceDN w:val="0"/>
        <w:adjustRightInd w:val="0"/>
        <w:spacing w:after="0" w:line="240" w:lineRule="auto"/>
        <w:ind w:firstLine="708"/>
        <w:jc w:val="both"/>
        <w:rPr>
          <w:rFonts w:eastAsia="Times New Roman"/>
          <w:szCs w:val="28"/>
        </w:rPr>
      </w:pPr>
      <w:r>
        <w:rPr>
          <w:rFonts w:eastAsia="Times New Roman"/>
          <w:szCs w:val="28"/>
        </w:rPr>
        <w:t>Как видно из графика, уровень ставки С</w:t>
      </w:r>
      <w:r w:rsidRPr="00021BD2">
        <w:rPr>
          <w:rFonts w:eastAsia="Times New Roman"/>
          <w:szCs w:val="28"/>
          <w:vertAlign w:val="subscript"/>
        </w:rPr>
        <w:t>1</w:t>
      </w:r>
      <w:r>
        <w:rPr>
          <w:rFonts w:eastAsia="Times New Roman"/>
          <w:szCs w:val="28"/>
        </w:rPr>
        <w:t xml:space="preserve"> в Новосибирске находится выше других городов-миллионников.</w:t>
      </w:r>
    </w:p>
    <w:p w:rsidR="00A712E1" w:rsidRDefault="00A712E1" w:rsidP="00A712E1">
      <w:pPr>
        <w:autoSpaceDE w:val="0"/>
        <w:autoSpaceDN w:val="0"/>
        <w:adjustRightInd w:val="0"/>
        <w:spacing w:after="0" w:line="240" w:lineRule="auto"/>
        <w:ind w:firstLine="708"/>
        <w:jc w:val="both"/>
        <w:rPr>
          <w:rFonts w:eastAsia="Times New Roman"/>
          <w:szCs w:val="28"/>
        </w:rPr>
      </w:pPr>
      <w:r w:rsidRPr="00E06B33">
        <w:rPr>
          <w:rFonts w:eastAsia="Times New Roman"/>
          <w:szCs w:val="28"/>
        </w:rPr>
        <w:lastRenderedPageBreak/>
        <w:t>Расчет стандартизированных тарифных ставок</w:t>
      </w:r>
      <w:r w:rsidRPr="00E06B33">
        <w:rPr>
          <w:rFonts w:eastAsia="Times New Roman"/>
          <w:bCs/>
          <w:szCs w:val="28"/>
        </w:rPr>
        <w:t xml:space="preserve"> по мероприятиям «последней мили» - С</w:t>
      </w:r>
      <w:r w:rsidRPr="00E06B33">
        <w:rPr>
          <w:rFonts w:eastAsia="Times New Roman"/>
          <w:bCs/>
          <w:szCs w:val="28"/>
          <w:vertAlign w:val="subscript"/>
        </w:rPr>
        <w:t>2</w:t>
      </w:r>
      <w:r w:rsidRPr="00E06B33">
        <w:rPr>
          <w:rFonts w:eastAsia="Times New Roman"/>
          <w:bCs/>
          <w:szCs w:val="28"/>
        </w:rPr>
        <w:t>, С</w:t>
      </w:r>
      <w:r w:rsidRPr="00E06B33">
        <w:rPr>
          <w:rFonts w:eastAsia="Times New Roman"/>
          <w:bCs/>
          <w:szCs w:val="28"/>
          <w:vertAlign w:val="subscript"/>
        </w:rPr>
        <w:t>3</w:t>
      </w:r>
      <w:r w:rsidRPr="00E06B33">
        <w:rPr>
          <w:rFonts w:eastAsia="Times New Roman"/>
          <w:bCs/>
          <w:szCs w:val="28"/>
        </w:rPr>
        <w:t>, С</w:t>
      </w:r>
      <w:r w:rsidRPr="00E06B33">
        <w:rPr>
          <w:rFonts w:eastAsia="Times New Roman"/>
          <w:bCs/>
          <w:szCs w:val="28"/>
          <w:vertAlign w:val="subscript"/>
        </w:rPr>
        <w:t>4</w:t>
      </w:r>
      <w:r w:rsidRPr="00E06B33">
        <w:rPr>
          <w:rFonts w:eastAsia="Times New Roman"/>
          <w:bCs/>
          <w:szCs w:val="28"/>
        </w:rPr>
        <w:t>, С</w:t>
      </w:r>
      <w:r w:rsidRPr="00E06B33">
        <w:rPr>
          <w:rFonts w:eastAsia="Times New Roman"/>
          <w:bCs/>
          <w:szCs w:val="28"/>
          <w:vertAlign w:val="subscript"/>
        </w:rPr>
        <w:t>5</w:t>
      </w:r>
      <w:r w:rsidRPr="00E06B33">
        <w:rPr>
          <w:rFonts w:eastAsia="Times New Roman"/>
          <w:bCs/>
          <w:szCs w:val="28"/>
        </w:rPr>
        <w:t>, С</w:t>
      </w:r>
      <w:r>
        <w:rPr>
          <w:rFonts w:eastAsia="Times New Roman"/>
          <w:bCs/>
          <w:szCs w:val="28"/>
          <w:vertAlign w:val="subscript"/>
        </w:rPr>
        <w:t>6</w:t>
      </w:r>
      <w:r w:rsidRPr="00E06B33">
        <w:rPr>
          <w:rFonts w:eastAsia="Times New Roman"/>
          <w:bCs/>
          <w:szCs w:val="28"/>
        </w:rPr>
        <w:t>,</w:t>
      </w:r>
      <w:r>
        <w:rPr>
          <w:rFonts w:eastAsia="Times New Roman"/>
          <w:bCs/>
          <w:szCs w:val="28"/>
        </w:rPr>
        <w:t xml:space="preserve"> </w:t>
      </w:r>
      <w:r w:rsidRPr="00E06B33">
        <w:rPr>
          <w:rFonts w:eastAsia="Times New Roman"/>
          <w:bCs/>
          <w:szCs w:val="28"/>
        </w:rPr>
        <w:t>С</w:t>
      </w:r>
      <w:r w:rsidRPr="00E06B33">
        <w:rPr>
          <w:rFonts w:eastAsia="Times New Roman"/>
          <w:bCs/>
          <w:szCs w:val="28"/>
          <w:vertAlign w:val="subscript"/>
        </w:rPr>
        <w:t>8</w:t>
      </w:r>
      <w:r w:rsidRPr="00E06B33">
        <w:rPr>
          <w:rFonts w:eastAsia="Times New Roman"/>
          <w:szCs w:val="28"/>
        </w:rPr>
        <w:t xml:space="preserve"> выполнен  по формулам </w:t>
      </w:r>
      <w:r w:rsidRPr="009672FA">
        <w:rPr>
          <w:rFonts w:eastAsia="Times New Roman"/>
          <w:szCs w:val="28"/>
        </w:rPr>
        <w:t>(40) - (46) пункта 28 Методических указаний</w:t>
      </w:r>
      <w:r>
        <w:rPr>
          <w:rFonts w:eastAsia="Times New Roman"/>
          <w:szCs w:val="28"/>
        </w:rPr>
        <w:t xml:space="preserve"> № 490/22</w:t>
      </w:r>
      <w:r w:rsidRPr="00E06B33">
        <w:rPr>
          <w:rFonts w:eastAsia="Times New Roman"/>
          <w:szCs w:val="28"/>
        </w:rPr>
        <w:t>.</w:t>
      </w:r>
    </w:p>
    <w:p w:rsidR="00A712E1" w:rsidRPr="009672FA" w:rsidRDefault="00A712E1" w:rsidP="00A712E1">
      <w:pPr>
        <w:autoSpaceDE w:val="0"/>
        <w:autoSpaceDN w:val="0"/>
        <w:adjustRightInd w:val="0"/>
        <w:spacing w:after="0" w:line="240" w:lineRule="auto"/>
        <w:ind w:firstLine="708"/>
        <w:jc w:val="both"/>
        <w:rPr>
          <w:rFonts w:eastAsia="Times New Roman"/>
          <w:szCs w:val="28"/>
        </w:rPr>
      </w:pPr>
      <w:r w:rsidRPr="00E06B33">
        <w:rPr>
          <w:rFonts w:eastAsia="Times New Roman"/>
          <w:szCs w:val="28"/>
        </w:rPr>
        <w:t xml:space="preserve">Величина стандартизированных тарифных ставок определена едиными для городских населенных пунктов и для поселений не относящихся </w:t>
      </w:r>
      <w:r>
        <w:rPr>
          <w:rFonts w:eastAsia="Times New Roman"/>
          <w:szCs w:val="28"/>
        </w:rPr>
        <w:t>к городским населенным пунктам.</w:t>
      </w:r>
      <w:r w:rsidRPr="00E06B33">
        <w:rPr>
          <w:rFonts w:eastAsia="Times New Roman"/>
          <w:szCs w:val="28"/>
        </w:rPr>
        <w:t xml:space="preserve"> </w:t>
      </w:r>
    </w:p>
    <w:p w:rsidR="00A712E1" w:rsidRPr="00F1041B" w:rsidRDefault="00A712E1" w:rsidP="00F1041B">
      <w:pPr>
        <w:pStyle w:val="4"/>
      </w:pPr>
      <w:bookmarkStart w:id="35" w:name="_Toc193810537"/>
      <w:r w:rsidRPr="00F1041B">
        <w:t>2.1.8.2. Расчет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w:t>
      </w:r>
      <w:bookmarkEnd w:id="35"/>
    </w:p>
    <w:p w:rsidR="00A712E1" w:rsidRPr="00E219D5" w:rsidRDefault="00A712E1" w:rsidP="00A712E1">
      <w:pPr>
        <w:tabs>
          <w:tab w:val="left" w:pos="0"/>
          <w:tab w:val="left" w:pos="2394"/>
        </w:tabs>
        <w:spacing w:after="0" w:line="240" w:lineRule="auto"/>
        <w:ind w:firstLine="709"/>
        <w:jc w:val="both"/>
        <w:rPr>
          <w:b/>
          <w:i/>
          <w:iCs/>
          <w:szCs w:val="28"/>
        </w:rPr>
      </w:pPr>
      <w:r w:rsidRPr="00E219D5">
        <w:rPr>
          <w:b/>
          <w:i/>
          <w:iCs/>
          <w:szCs w:val="28"/>
        </w:rPr>
        <w:t>АО «Региональные электрические сети»</w:t>
      </w:r>
    </w:p>
    <w:p w:rsidR="00A712E1" w:rsidRDefault="00A712E1" w:rsidP="00A712E1">
      <w:pPr>
        <w:tabs>
          <w:tab w:val="left" w:pos="0"/>
          <w:tab w:val="left" w:pos="2394"/>
        </w:tabs>
        <w:spacing w:after="0" w:line="240" w:lineRule="auto"/>
        <w:ind w:firstLine="709"/>
        <w:jc w:val="both"/>
        <w:rPr>
          <w:iCs/>
          <w:szCs w:val="28"/>
        </w:rPr>
      </w:pPr>
      <w:r w:rsidRPr="006B4EC5">
        <w:rPr>
          <w:iCs/>
          <w:szCs w:val="28"/>
        </w:rPr>
        <w:t>По результатам анализа  представленных материалов с учетом планируемых к установлению стандартизированных тарифных ставок и положений Методических указаний по определению выпадающих доходов, связанных с осуществлением технологического присоединения к электрическим сетям, утвержденными приказ</w:t>
      </w:r>
      <w:r>
        <w:rPr>
          <w:iCs/>
          <w:szCs w:val="28"/>
        </w:rPr>
        <w:t>ом ФСТ России от 11.09.2014 № </w:t>
      </w:r>
      <w:r w:rsidRPr="006B4EC5">
        <w:rPr>
          <w:iCs/>
          <w:szCs w:val="28"/>
        </w:rPr>
        <w:t>215-э/1</w:t>
      </w:r>
      <w:r>
        <w:rPr>
          <w:iCs/>
          <w:szCs w:val="28"/>
        </w:rPr>
        <w:t xml:space="preserve"> (далее – Методические указания № 215-э/1)</w:t>
      </w:r>
      <w:r w:rsidRPr="006B4EC5">
        <w:rPr>
          <w:iCs/>
          <w:szCs w:val="28"/>
        </w:rPr>
        <w:t xml:space="preserve">, размер выпадающих доходов </w:t>
      </w:r>
      <w:r>
        <w:rPr>
          <w:iCs/>
          <w:szCs w:val="28"/>
        </w:rPr>
        <w:t>АО</w:t>
      </w:r>
      <w:r w:rsidRPr="006B4EC5">
        <w:rPr>
          <w:iCs/>
          <w:szCs w:val="28"/>
        </w:rPr>
        <w:t xml:space="preserve"> «</w:t>
      </w:r>
      <w:r>
        <w:rPr>
          <w:iCs/>
          <w:szCs w:val="28"/>
        </w:rPr>
        <w:t>РЭС</w:t>
      </w:r>
      <w:r w:rsidRPr="006B4EC5">
        <w:rPr>
          <w:iCs/>
          <w:szCs w:val="28"/>
        </w:rPr>
        <w:t>», связанных с осуществлением технологического присоединения к электрическим сетям, не включённых в плату за технологическое присоединение к электрическим сетям, на 2025 год состави</w:t>
      </w:r>
      <w:r>
        <w:rPr>
          <w:iCs/>
          <w:szCs w:val="28"/>
        </w:rPr>
        <w:t xml:space="preserve">л </w:t>
      </w:r>
      <w:r w:rsidR="00B316EA">
        <w:rPr>
          <w:iCs/>
          <w:szCs w:val="28"/>
        </w:rPr>
        <w:t>456,</w:t>
      </w:r>
      <w:r w:rsidRPr="000D6757">
        <w:rPr>
          <w:iCs/>
          <w:szCs w:val="28"/>
        </w:rPr>
        <w:t>1</w:t>
      </w:r>
      <w:r w:rsidR="00B316EA">
        <w:rPr>
          <w:iCs/>
          <w:szCs w:val="28"/>
        </w:rPr>
        <w:t>млн.</w:t>
      </w:r>
      <w:r>
        <w:rPr>
          <w:iCs/>
          <w:szCs w:val="28"/>
        </w:rPr>
        <w:t xml:space="preserve"> рублей. </w:t>
      </w:r>
    </w:p>
    <w:p w:rsidR="00A712E1" w:rsidRPr="00E219D5" w:rsidRDefault="00A712E1" w:rsidP="00A712E1">
      <w:pPr>
        <w:tabs>
          <w:tab w:val="left" w:pos="0"/>
          <w:tab w:val="left" w:pos="2394"/>
        </w:tabs>
        <w:spacing w:after="0" w:line="240" w:lineRule="auto"/>
        <w:ind w:firstLine="709"/>
        <w:jc w:val="both"/>
        <w:rPr>
          <w:b/>
          <w:i/>
          <w:iCs/>
          <w:szCs w:val="28"/>
        </w:rPr>
      </w:pPr>
      <w:r w:rsidRPr="00E219D5">
        <w:rPr>
          <w:b/>
          <w:i/>
          <w:iCs/>
          <w:szCs w:val="28"/>
        </w:rPr>
        <w:t>ОАО «Российские железные дороги»</w:t>
      </w:r>
    </w:p>
    <w:p w:rsidR="00A712E1" w:rsidRPr="006B4EC5" w:rsidRDefault="00A712E1" w:rsidP="00A712E1">
      <w:pPr>
        <w:tabs>
          <w:tab w:val="left" w:pos="0"/>
          <w:tab w:val="left" w:pos="2394"/>
        </w:tabs>
        <w:spacing w:after="0" w:line="240" w:lineRule="auto"/>
        <w:ind w:firstLine="709"/>
        <w:jc w:val="both"/>
        <w:rPr>
          <w:iCs/>
          <w:szCs w:val="28"/>
        </w:rPr>
      </w:pPr>
      <w:r w:rsidRPr="006B4EC5">
        <w:rPr>
          <w:iCs/>
          <w:szCs w:val="28"/>
        </w:rPr>
        <w:t xml:space="preserve">В составе пакета обосновывающих материалов для расчета тарифов на услуги по передаче электрической энергии Западно-Сибирской дирекцией по энергообеспечению – структурным подразделением Трансэнерго – филиала ОАО «Российские железные дороги» представлены обосновывающие материалы и расчет выпадающих доходов связанных с осуществлением технологического присоединения к электрическим сетям в соответствии с Методическими указаниями № 215-э/1. </w:t>
      </w:r>
    </w:p>
    <w:p w:rsidR="00A712E1" w:rsidRPr="006B4EC5" w:rsidRDefault="00A712E1" w:rsidP="00A712E1">
      <w:pPr>
        <w:tabs>
          <w:tab w:val="left" w:pos="0"/>
          <w:tab w:val="left" w:pos="2394"/>
        </w:tabs>
        <w:spacing w:after="0" w:line="240" w:lineRule="auto"/>
        <w:ind w:firstLine="709"/>
        <w:jc w:val="both"/>
        <w:rPr>
          <w:iCs/>
          <w:szCs w:val="28"/>
        </w:rPr>
      </w:pPr>
      <w:r w:rsidRPr="006B4EC5">
        <w:rPr>
          <w:iCs/>
          <w:szCs w:val="28"/>
        </w:rPr>
        <w:t>Размер указанных расходов по расчету организации составил по факту 2023 года 8</w:t>
      </w:r>
      <w:r w:rsidR="00B316EA">
        <w:rPr>
          <w:iCs/>
          <w:szCs w:val="28"/>
        </w:rPr>
        <w:t>,</w:t>
      </w:r>
      <w:r w:rsidRPr="006B4EC5">
        <w:rPr>
          <w:iCs/>
          <w:szCs w:val="28"/>
        </w:rPr>
        <w:t>6</w:t>
      </w:r>
      <w:r w:rsidR="00B316EA">
        <w:rPr>
          <w:iCs/>
          <w:szCs w:val="28"/>
        </w:rPr>
        <w:t xml:space="preserve"> млн.</w:t>
      </w:r>
      <w:r w:rsidRPr="006B4EC5">
        <w:rPr>
          <w:iCs/>
          <w:szCs w:val="28"/>
        </w:rPr>
        <w:t xml:space="preserve"> руб., плановые расходы на 2024 год составили по расчету организации 1</w:t>
      </w:r>
      <w:r w:rsidR="00B316EA">
        <w:rPr>
          <w:iCs/>
          <w:szCs w:val="28"/>
        </w:rPr>
        <w:t>,</w:t>
      </w:r>
      <w:r w:rsidRPr="006B4EC5">
        <w:rPr>
          <w:iCs/>
          <w:szCs w:val="28"/>
        </w:rPr>
        <w:t>9</w:t>
      </w:r>
      <w:r w:rsidR="00B316EA">
        <w:rPr>
          <w:iCs/>
          <w:szCs w:val="28"/>
        </w:rPr>
        <w:t xml:space="preserve"> млн</w:t>
      </w:r>
      <w:r w:rsidRPr="006B4EC5">
        <w:rPr>
          <w:iCs/>
          <w:szCs w:val="28"/>
        </w:rPr>
        <w:t xml:space="preserve">. руб. </w:t>
      </w:r>
    </w:p>
    <w:p w:rsidR="00A712E1" w:rsidRPr="006B4EC5" w:rsidRDefault="00A712E1" w:rsidP="00A712E1">
      <w:pPr>
        <w:tabs>
          <w:tab w:val="left" w:pos="0"/>
          <w:tab w:val="left" w:pos="2394"/>
        </w:tabs>
        <w:spacing w:after="0" w:line="240" w:lineRule="auto"/>
        <w:ind w:firstLine="709"/>
        <w:jc w:val="both"/>
        <w:rPr>
          <w:iCs/>
          <w:szCs w:val="28"/>
        </w:rPr>
      </w:pPr>
      <w:r w:rsidRPr="006B4EC5">
        <w:rPr>
          <w:iCs/>
          <w:szCs w:val="28"/>
        </w:rPr>
        <w:t>По результатам анализа представленных материалов</w:t>
      </w:r>
      <w:r>
        <w:rPr>
          <w:iCs/>
          <w:szCs w:val="28"/>
        </w:rPr>
        <w:t>,</w:t>
      </w:r>
      <w:r w:rsidRPr="006B4EC5">
        <w:rPr>
          <w:iCs/>
          <w:szCs w:val="28"/>
        </w:rPr>
        <w:t xml:space="preserve"> подлежащие включению в необходимую валовую выручку выпадающие доходы от деятельности по технологическому присоединению</w:t>
      </w:r>
      <w:r>
        <w:rPr>
          <w:iCs/>
          <w:szCs w:val="28"/>
        </w:rPr>
        <w:t>,</w:t>
      </w:r>
      <w:r w:rsidRPr="006B4EC5">
        <w:rPr>
          <w:iCs/>
          <w:szCs w:val="28"/>
        </w:rPr>
        <w:t xml:space="preserve"> признаны департаментом эконо</w:t>
      </w:r>
      <w:r>
        <w:rPr>
          <w:iCs/>
          <w:szCs w:val="28"/>
        </w:rPr>
        <w:t xml:space="preserve">мически обоснованными в размере </w:t>
      </w:r>
      <w:r w:rsidRPr="006C4EEA">
        <w:rPr>
          <w:iCs/>
          <w:szCs w:val="28"/>
        </w:rPr>
        <w:t>6</w:t>
      </w:r>
      <w:r w:rsidR="00B316EA">
        <w:rPr>
          <w:iCs/>
          <w:szCs w:val="28"/>
        </w:rPr>
        <w:t>,</w:t>
      </w:r>
      <w:r w:rsidRPr="006C4EEA">
        <w:rPr>
          <w:iCs/>
          <w:szCs w:val="28"/>
        </w:rPr>
        <w:t>8</w:t>
      </w:r>
      <w:r w:rsidR="00B316EA">
        <w:rPr>
          <w:iCs/>
          <w:szCs w:val="28"/>
        </w:rPr>
        <w:t xml:space="preserve"> млн</w:t>
      </w:r>
      <w:r w:rsidRPr="006B4EC5">
        <w:rPr>
          <w:iCs/>
          <w:szCs w:val="28"/>
        </w:rPr>
        <w:t>. руб.</w:t>
      </w:r>
    </w:p>
    <w:p w:rsidR="00A712E1" w:rsidRPr="00E219D5" w:rsidRDefault="00A712E1" w:rsidP="00A712E1">
      <w:pPr>
        <w:tabs>
          <w:tab w:val="left" w:pos="0"/>
          <w:tab w:val="left" w:pos="2394"/>
        </w:tabs>
        <w:spacing w:after="0" w:line="240" w:lineRule="auto"/>
        <w:ind w:firstLine="709"/>
        <w:jc w:val="both"/>
        <w:rPr>
          <w:b/>
          <w:i/>
          <w:iCs/>
          <w:szCs w:val="28"/>
        </w:rPr>
      </w:pPr>
      <w:r w:rsidRPr="00E219D5">
        <w:rPr>
          <w:b/>
          <w:i/>
          <w:iCs/>
          <w:szCs w:val="28"/>
        </w:rPr>
        <w:t>ООО «Новосибирская городская сетевая компания»</w:t>
      </w:r>
    </w:p>
    <w:p w:rsidR="00A712E1" w:rsidRPr="006B4EC5" w:rsidRDefault="00A712E1" w:rsidP="00A712E1">
      <w:pPr>
        <w:tabs>
          <w:tab w:val="left" w:pos="0"/>
          <w:tab w:val="left" w:pos="2394"/>
        </w:tabs>
        <w:spacing w:after="0" w:line="240" w:lineRule="auto"/>
        <w:ind w:firstLine="709"/>
        <w:jc w:val="both"/>
        <w:rPr>
          <w:iCs/>
          <w:szCs w:val="28"/>
        </w:rPr>
      </w:pPr>
      <w:r w:rsidRPr="006B4EC5">
        <w:rPr>
          <w:iCs/>
          <w:szCs w:val="28"/>
        </w:rPr>
        <w:t>В составе пакета обосновывающих материалов ООО «НГСК» представлены расчеты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 в соответствии с пунктом 87 Основ ценообразовани</w:t>
      </w:r>
      <w:r>
        <w:rPr>
          <w:iCs/>
          <w:szCs w:val="28"/>
        </w:rPr>
        <w:t>я № 1178</w:t>
      </w:r>
      <w:r w:rsidRPr="006B4EC5">
        <w:rPr>
          <w:iCs/>
          <w:szCs w:val="28"/>
        </w:rPr>
        <w:t xml:space="preserve">. </w:t>
      </w:r>
    </w:p>
    <w:p w:rsidR="00A712E1" w:rsidRPr="006B4EC5" w:rsidRDefault="00A712E1" w:rsidP="00A712E1">
      <w:pPr>
        <w:tabs>
          <w:tab w:val="left" w:pos="0"/>
          <w:tab w:val="left" w:pos="2394"/>
        </w:tabs>
        <w:spacing w:after="0" w:line="240" w:lineRule="auto"/>
        <w:ind w:firstLine="709"/>
        <w:jc w:val="both"/>
        <w:rPr>
          <w:iCs/>
          <w:szCs w:val="28"/>
        </w:rPr>
      </w:pPr>
      <w:r w:rsidRPr="006B4EC5">
        <w:rPr>
          <w:iCs/>
          <w:szCs w:val="28"/>
        </w:rPr>
        <w:t xml:space="preserve">Расчет выпадающих доходов ООО «НГСК», связанных с осуществлением технологического присоединения к электрическим сетям, </w:t>
      </w:r>
      <w:r w:rsidRPr="006B4EC5">
        <w:rPr>
          <w:iCs/>
          <w:szCs w:val="28"/>
        </w:rPr>
        <w:lastRenderedPageBreak/>
        <w:t>произведен в соответствии с Методическими указаниями № 215-э/1, и составил 8</w:t>
      </w:r>
      <w:r w:rsidR="00B316EA">
        <w:rPr>
          <w:iCs/>
          <w:szCs w:val="28"/>
        </w:rPr>
        <w:t>,4 млн</w:t>
      </w:r>
      <w:r w:rsidRPr="006B4EC5">
        <w:rPr>
          <w:iCs/>
          <w:szCs w:val="28"/>
        </w:rPr>
        <w:t xml:space="preserve">. руб. </w:t>
      </w:r>
    </w:p>
    <w:p w:rsidR="00A712E1" w:rsidRPr="006B4EC5" w:rsidRDefault="00A712E1" w:rsidP="00A712E1">
      <w:pPr>
        <w:tabs>
          <w:tab w:val="left" w:pos="0"/>
          <w:tab w:val="left" w:pos="2394"/>
        </w:tabs>
        <w:spacing w:after="0" w:line="240" w:lineRule="auto"/>
        <w:ind w:firstLine="709"/>
        <w:jc w:val="both"/>
        <w:rPr>
          <w:b/>
          <w:iCs/>
          <w:szCs w:val="28"/>
        </w:rPr>
      </w:pPr>
      <w:r w:rsidRPr="006B4EC5">
        <w:rPr>
          <w:iCs/>
          <w:szCs w:val="28"/>
        </w:rPr>
        <w:t>По результатам анализа представленных материалов</w:t>
      </w:r>
      <w:r>
        <w:rPr>
          <w:iCs/>
          <w:szCs w:val="28"/>
        </w:rPr>
        <w:t>,</w:t>
      </w:r>
      <w:r w:rsidRPr="006B4EC5">
        <w:rPr>
          <w:iCs/>
          <w:szCs w:val="28"/>
        </w:rPr>
        <w:t xml:space="preserve"> подлежащие включению в необходимую валовую выручку выпадающие доходы от деятельности по технологическому присоединению</w:t>
      </w:r>
      <w:r>
        <w:rPr>
          <w:iCs/>
          <w:szCs w:val="28"/>
        </w:rPr>
        <w:t>,</w:t>
      </w:r>
      <w:r w:rsidRPr="006B4EC5">
        <w:rPr>
          <w:iCs/>
          <w:szCs w:val="28"/>
        </w:rPr>
        <w:t xml:space="preserve"> признаны департаментом экономически обоснованными в </w:t>
      </w:r>
      <w:r w:rsidRPr="000D6757">
        <w:rPr>
          <w:iCs/>
          <w:szCs w:val="28"/>
        </w:rPr>
        <w:t>размере 3</w:t>
      </w:r>
      <w:r w:rsidR="00B316EA">
        <w:rPr>
          <w:iCs/>
          <w:szCs w:val="28"/>
        </w:rPr>
        <w:t>,</w:t>
      </w:r>
      <w:r w:rsidRPr="000D6757">
        <w:rPr>
          <w:iCs/>
          <w:szCs w:val="28"/>
        </w:rPr>
        <w:t>7</w:t>
      </w:r>
      <w:r w:rsidR="00B316EA">
        <w:rPr>
          <w:iCs/>
          <w:szCs w:val="28"/>
        </w:rPr>
        <w:t xml:space="preserve"> млн</w:t>
      </w:r>
      <w:r w:rsidRPr="006B4EC5">
        <w:rPr>
          <w:iCs/>
          <w:szCs w:val="28"/>
        </w:rPr>
        <w:t>. руб.</w:t>
      </w:r>
      <w:r>
        <w:rPr>
          <w:iCs/>
          <w:szCs w:val="28"/>
        </w:rPr>
        <w:t xml:space="preserve"> </w:t>
      </w:r>
    </w:p>
    <w:p w:rsidR="00A712E1" w:rsidRDefault="00A712E1" w:rsidP="00A712E1">
      <w:pPr>
        <w:tabs>
          <w:tab w:val="center" w:pos="4677"/>
          <w:tab w:val="right" w:pos="9355"/>
        </w:tabs>
        <w:spacing w:after="0" w:line="240" w:lineRule="auto"/>
        <w:ind w:firstLine="708"/>
        <w:jc w:val="both"/>
        <w:rPr>
          <w:b/>
          <w:szCs w:val="28"/>
        </w:rPr>
      </w:pPr>
    </w:p>
    <w:p w:rsidR="00A712E1" w:rsidRPr="00B36D6C" w:rsidRDefault="00A712E1" w:rsidP="00E219D5">
      <w:pPr>
        <w:pStyle w:val="4"/>
      </w:pPr>
      <w:bookmarkStart w:id="36" w:name="_Toc193810538"/>
      <w:r w:rsidRPr="00B36D6C">
        <w:t>2.</w:t>
      </w:r>
      <w:r>
        <w:t>1.8.3.</w:t>
      </w:r>
      <w:r w:rsidRPr="00B36D6C">
        <w:t xml:space="preserve"> Установление платы за технологическое присоединение по индивидуальному проекту.</w:t>
      </w:r>
      <w:bookmarkEnd w:id="36"/>
    </w:p>
    <w:p w:rsidR="00A712E1" w:rsidRPr="00B751D5" w:rsidRDefault="00A712E1" w:rsidP="00A712E1">
      <w:pPr>
        <w:spacing w:after="0" w:line="240" w:lineRule="auto"/>
        <w:ind w:firstLine="708"/>
        <w:jc w:val="both"/>
        <w:rPr>
          <w:szCs w:val="28"/>
        </w:rPr>
      </w:pPr>
      <w:r>
        <w:rPr>
          <w:rFonts w:eastAsia="Times New Roman"/>
          <w:szCs w:val="28"/>
        </w:rPr>
        <w:t>В 2024</w:t>
      </w:r>
      <w:r w:rsidRPr="00E06B33">
        <w:rPr>
          <w:rFonts w:eastAsia="Times New Roman"/>
          <w:szCs w:val="28"/>
        </w:rPr>
        <w:t xml:space="preserve"> году департаментом установлена </w:t>
      </w:r>
      <w:r>
        <w:rPr>
          <w:rFonts w:eastAsia="Times New Roman"/>
          <w:szCs w:val="28"/>
        </w:rPr>
        <w:t>31</w:t>
      </w:r>
      <w:r w:rsidRPr="00E06B33">
        <w:rPr>
          <w:rFonts w:eastAsia="Times New Roman"/>
          <w:szCs w:val="28"/>
        </w:rPr>
        <w:t xml:space="preserve"> плата за технологическое присоединение </w:t>
      </w:r>
      <w:r>
        <w:rPr>
          <w:rFonts w:eastAsia="Times New Roman"/>
          <w:szCs w:val="28"/>
        </w:rPr>
        <w:t>к электрическим сетям</w:t>
      </w:r>
      <w:r w:rsidRPr="00E06B33">
        <w:rPr>
          <w:rFonts w:eastAsia="Times New Roman"/>
          <w:szCs w:val="28"/>
        </w:rPr>
        <w:t xml:space="preserve"> по индивидуальному проекту. </w:t>
      </w:r>
      <w:r w:rsidRPr="00B751D5">
        <w:rPr>
          <w:szCs w:val="28"/>
        </w:rPr>
        <w:t>Приказы департамента об установлении платы за технологическое присоединение по индивидуальному проекту размещены на сайт</w:t>
      </w:r>
      <w:r>
        <w:rPr>
          <w:szCs w:val="28"/>
        </w:rPr>
        <w:t>е департамента в сети Интернет (</w:t>
      </w:r>
      <w:r w:rsidRPr="00B751D5">
        <w:rPr>
          <w:szCs w:val="28"/>
        </w:rPr>
        <w:t>https://tarif.nso.ru/page/94).</w:t>
      </w:r>
    </w:p>
    <w:p w:rsidR="00A712E1" w:rsidRPr="00E06B33" w:rsidRDefault="00A712E1" w:rsidP="00E219D5">
      <w:pPr>
        <w:pStyle w:val="4"/>
      </w:pPr>
      <w:bookmarkStart w:id="37" w:name="_Toc193810539"/>
      <w:r>
        <w:t>2</w:t>
      </w:r>
      <w:r w:rsidRPr="00E06B33">
        <w:t>.</w:t>
      </w:r>
      <w:r>
        <w:t>1.8.4.</w:t>
      </w:r>
      <w:r w:rsidRPr="00E06B33">
        <w:t xml:space="preserve"> Внесение изменений в приказ об установлении  стандартизированных тарифных ставок и формулы платы за технологическое присоединение на территор</w:t>
      </w:r>
      <w:r>
        <w:t>ии Новосибирской области на 2024</w:t>
      </w:r>
      <w:r w:rsidRPr="00E06B33">
        <w:t xml:space="preserve"> год</w:t>
      </w:r>
      <w:bookmarkEnd w:id="37"/>
    </w:p>
    <w:p w:rsidR="00A712E1" w:rsidRPr="005221F9" w:rsidRDefault="00A712E1" w:rsidP="00A712E1">
      <w:pPr>
        <w:autoSpaceDE w:val="0"/>
        <w:autoSpaceDN w:val="0"/>
        <w:adjustRightInd w:val="0"/>
        <w:spacing w:after="0" w:line="240" w:lineRule="auto"/>
        <w:ind w:firstLine="708"/>
        <w:jc w:val="both"/>
        <w:rPr>
          <w:rFonts w:eastAsia="Times New Roman"/>
          <w:bCs/>
          <w:szCs w:val="28"/>
        </w:rPr>
      </w:pPr>
      <w:r>
        <w:rPr>
          <w:rFonts w:eastAsia="Times New Roman"/>
          <w:bCs/>
          <w:szCs w:val="28"/>
        </w:rPr>
        <w:t>Согласно пункту 32</w:t>
      </w:r>
      <w:r w:rsidRPr="00E06B33">
        <w:rPr>
          <w:rFonts w:eastAsia="Times New Roman"/>
          <w:bCs/>
          <w:szCs w:val="28"/>
        </w:rPr>
        <w:t xml:space="preserve"> </w:t>
      </w:r>
      <w:r>
        <w:rPr>
          <w:rFonts w:eastAsia="Times New Roman"/>
          <w:szCs w:val="28"/>
        </w:rPr>
        <w:t>Методических указаний № 490/22</w:t>
      </w:r>
      <w:r w:rsidRPr="00E06B33">
        <w:rPr>
          <w:rFonts w:eastAsia="Times New Roman"/>
          <w:szCs w:val="28"/>
        </w:rPr>
        <w:t xml:space="preserve"> </w:t>
      </w:r>
      <w:r>
        <w:rPr>
          <w:rFonts w:eastAsia="Times New Roman"/>
          <w:szCs w:val="28"/>
        </w:rPr>
        <w:t>н</w:t>
      </w:r>
      <w:r w:rsidRPr="005221F9">
        <w:rPr>
          <w:rFonts w:eastAsia="Times New Roman"/>
          <w:szCs w:val="28"/>
        </w:rPr>
        <w:t>а основании обращений сетевых организаций приказ департамента от</w:t>
      </w:r>
      <w:r>
        <w:rPr>
          <w:rFonts w:eastAsia="Times New Roman"/>
          <w:szCs w:val="28"/>
        </w:rPr>
        <w:t xml:space="preserve"> </w:t>
      </w:r>
      <w:r w:rsidRPr="004D05FC">
        <w:rPr>
          <w:rFonts w:eastAsia="Times New Roman"/>
          <w:bCs/>
          <w:szCs w:val="28"/>
        </w:rPr>
        <w:t>29.11</w:t>
      </w:r>
      <w:r>
        <w:rPr>
          <w:rFonts w:eastAsia="Times New Roman"/>
          <w:bCs/>
          <w:szCs w:val="28"/>
        </w:rPr>
        <w:t>.2023 № 413</w:t>
      </w:r>
      <w:r w:rsidRPr="004D05FC">
        <w:rPr>
          <w:rFonts w:eastAsia="Times New Roman"/>
          <w:bCs/>
          <w:szCs w:val="28"/>
        </w:rPr>
        <w:t>-ЭЭ</w:t>
      </w:r>
      <w:r>
        <w:rPr>
          <w:rFonts w:eastAsia="Times New Roman"/>
          <w:bCs/>
          <w:szCs w:val="28"/>
        </w:rPr>
        <w:t>/НПА</w:t>
      </w:r>
      <w:r w:rsidRPr="004D05FC">
        <w:rPr>
          <w:rFonts w:eastAsia="Times New Roman"/>
          <w:bCs/>
          <w:szCs w:val="28"/>
        </w:rPr>
        <w:t xml:space="preserve"> «</w:t>
      </w:r>
      <w:r w:rsidRPr="00472B65">
        <w:rPr>
          <w:rFonts w:eastAsia="Times New Roman"/>
          <w:bCs/>
          <w:szCs w:val="28"/>
        </w:rPr>
        <w:t>Об установлении стандартизированных тарифных ставок, определяющих величину платы за технологическое присоединение к электрическим сетям сетевых организаций на территории Новосибирской области, и формулы платы за технологическое присоединение к электрическим сетям сетевых организаций на территории Новосибирской области на 2024 год</w:t>
      </w:r>
      <w:r w:rsidRPr="004D05FC">
        <w:rPr>
          <w:rFonts w:eastAsia="Times New Roman"/>
          <w:bCs/>
          <w:szCs w:val="28"/>
        </w:rPr>
        <w:t>»</w:t>
      </w:r>
      <w:r>
        <w:rPr>
          <w:rFonts w:eastAsia="Times New Roman"/>
          <w:bCs/>
          <w:szCs w:val="28"/>
        </w:rPr>
        <w:t xml:space="preserve"> в течении 2024 года </w:t>
      </w:r>
      <w:r w:rsidRPr="005221F9">
        <w:rPr>
          <w:rFonts w:eastAsia="Times New Roman"/>
          <w:bCs/>
          <w:szCs w:val="28"/>
        </w:rPr>
        <w:t xml:space="preserve">дополнен </w:t>
      </w:r>
      <w:r>
        <w:rPr>
          <w:rFonts w:eastAsia="Times New Roman"/>
          <w:bCs/>
          <w:szCs w:val="28"/>
        </w:rPr>
        <w:t>4</w:t>
      </w:r>
      <w:r w:rsidRPr="005221F9">
        <w:rPr>
          <w:rFonts w:eastAsia="Times New Roman"/>
          <w:bCs/>
          <w:szCs w:val="28"/>
        </w:rPr>
        <w:t xml:space="preserve"> стандартизированными тарифными ставками.</w:t>
      </w:r>
    </w:p>
    <w:p w:rsidR="00A712E1" w:rsidRDefault="00A712E1" w:rsidP="00A712E1">
      <w:pPr>
        <w:autoSpaceDE w:val="0"/>
        <w:autoSpaceDN w:val="0"/>
        <w:adjustRightInd w:val="0"/>
        <w:spacing w:after="0" w:line="240" w:lineRule="auto"/>
        <w:ind w:firstLine="708"/>
        <w:jc w:val="both"/>
        <w:rPr>
          <w:rFonts w:eastAsia="Times New Roman"/>
          <w:bCs/>
          <w:szCs w:val="28"/>
        </w:rPr>
      </w:pPr>
      <w:r w:rsidRPr="005221F9">
        <w:rPr>
          <w:rFonts w:eastAsia="Times New Roman"/>
          <w:bCs/>
          <w:szCs w:val="28"/>
        </w:rPr>
        <w:t xml:space="preserve">Изменения внесены приказами департамента, </w:t>
      </w:r>
      <w:r>
        <w:rPr>
          <w:rFonts w:eastAsia="Times New Roman"/>
          <w:bCs/>
          <w:szCs w:val="28"/>
        </w:rPr>
        <w:t>которые</w:t>
      </w:r>
      <w:r w:rsidRPr="005221F9">
        <w:rPr>
          <w:rFonts w:eastAsia="Times New Roman"/>
          <w:bCs/>
          <w:szCs w:val="28"/>
        </w:rPr>
        <w:t xml:space="preserve"> размещены на сайте департамента в сети Интернет (</w:t>
      </w:r>
      <w:hyperlink r:id="rId62" w:history="1">
        <w:r w:rsidRPr="005221F9">
          <w:rPr>
            <w:rFonts w:eastAsia="Times New Roman"/>
            <w:bCs/>
            <w:szCs w:val="28"/>
          </w:rPr>
          <w:t>https://tarif.nso.ru/page/126</w:t>
        </w:r>
      </w:hyperlink>
      <w:r w:rsidRPr="005221F9">
        <w:rPr>
          <w:rFonts w:eastAsia="Times New Roman"/>
          <w:bCs/>
          <w:szCs w:val="28"/>
        </w:rPr>
        <w:t>)</w:t>
      </w:r>
      <w:r>
        <w:rPr>
          <w:rFonts w:eastAsia="Times New Roman"/>
          <w:bCs/>
          <w:szCs w:val="28"/>
        </w:rPr>
        <w:t>.</w:t>
      </w:r>
    </w:p>
    <w:p w:rsidR="00934118" w:rsidRDefault="00934118" w:rsidP="00A712E1">
      <w:pPr>
        <w:autoSpaceDE w:val="0"/>
        <w:autoSpaceDN w:val="0"/>
        <w:adjustRightInd w:val="0"/>
        <w:spacing w:after="0" w:line="240" w:lineRule="auto"/>
        <w:ind w:firstLine="708"/>
        <w:jc w:val="both"/>
        <w:rPr>
          <w:rFonts w:eastAsia="Times New Roman"/>
          <w:bCs/>
          <w:szCs w:val="28"/>
        </w:rPr>
      </w:pPr>
    </w:p>
    <w:p w:rsidR="00934118" w:rsidRPr="005221F9" w:rsidRDefault="00934118" w:rsidP="00934118">
      <w:pPr>
        <w:pStyle w:val="4"/>
      </w:pPr>
      <w:bookmarkStart w:id="38" w:name="_Toc193810540"/>
      <w:r>
        <w:t>2.1.</w:t>
      </w:r>
      <w:r w:rsidR="0029726C">
        <w:t>9</w:t>
      </w:r>
      <w:r>
        <w:t xml:space="preserve">. Выборочная инвентаризация </w:t>
      </w:r>
      <w:r w:rsidRPr="006D7C02">
        <w:t>объектов электросетевого хозяйства, принадлежащих на законном основании территориальным сетевым организациям Новосибирской области</w:t>
      </w:r>
      <w:bookmarkEnd w:id="38"/>
    </w:p>
    <w:p w:rsidR="00A712E1" w:rsidRDefault="00A712E1" w:rsidP="00A712E1">
      <w:pPr>
        <w:autoSpaceDE w:val="0"/>
        <w:autoSpaceDN w:val="0"/>
        <w:adjustRightInd w:val="0"/>
        <w:spacing w:after="0" w:line="240" w:lineRule="auto"/>
        <w:ind w:firstLine="709"/>
        <w:jc w:val="both"/>
        <w:rPr>
          <w:rFonts w:eastAsia="Times New Roman"/>
          <w:szCs w:val="28"/>
        </w:rPr>
      </w:pPr>
      <w:r w:rsidRPr="00B36D6C">
        <w:rPr>
          <w:rFonts w:eastAsia="Times New Roman"/>
          <w:szCs w:val="28"/>
        </w:rPr>
        <w:t>В</w:t>
      </w:r>
      <w:r>
        <w:rPr>
          <w:rFonts w:eastAsia="Times New Roman"/>
          <w:szCs w:val="28"/>
        </w:rPr>
        <w:t xml:space="preserve"> соответствии с пунктом 9 Перечня поручений по итогам совместного совещания у Заместителя Председателя Правительства РФ</w:t>
      </w:r>
      <w:r w:rsidR="00B316EA">
        <w:rPr>
          <w:rFonts w:eastAsia="Times New Roman"/>
          <w:szCs w:val="28"/>
        </w:rPr>
        <w:t xml:space="preserve"> </w:t>
      </w:r>
      <w:r>
        <w:rPr>
          <w:rFonts w:eastAsia="Times New Roman"/>
          <w:szCs w:val="28"/>
        </w:rPr>
        <w:t>А. В. Новака и первого заместителя Генерального прокурора РФ</w:t>
      </w:r>
      <w:r w:rsidR="00B316EA">
        <w:rPr>
          <w:rFonts w:eastAsia="Times New Roman"/>
          <w:szCs w:val="28"/>
        </w:rPr>
        <w:t xml:space="preserve"> </w:t>
      </w:r>
      <w:r>
        <w:rPr>
          <w:rFonts w:eastAsia="Times New Roman"/>
          <w:szCs w:val="28"/>
        </w:rPr>
        <w:t>А. В. Разинкина по вопросам функционирования электросетевого комплекса от 22.02.2024, а также в целях обеспечения реализации положений пункта 9(1) Правил государственного регулирования (пересмотра, изменения) цен (тарифов) в электроэнергетике, утвержденных постановлением Правительства РФ</w:t>
      </w:r>
      <w:r w:rsidR="00B316EA">
        <w:rPr>
          <w:rFonts w:eastAsia="Times New Roman"/>
          <w:szCs w:val="28"/>
        </w:rPr>
        <w:t xml:space="preserve"> </w:t>
      </w:r>
      <w:r>
        <w:rPr>
          <w:rFonts w:eastAsia="Times New Roman"/>
          <w:szCs w:val="28"/>
        </w:rPr>
        <w:t>от 29.12.2011 № 1178 и полномочий, предусмотренных пунктом 9 пункта 7 Положения о департаменте</w:t>
      </w:r>
      <w:r w:rsidR="00B316EA">
        <w:rPr>
          <w:rFonts w:eastAsia="Times New Roman"/>
          <w:szCs w:val="28"/>
        </w:rPr>
        <w:t>,</w:t>
      </w:r>
      <w:r>
        <w:rPr>
          <w:rFonts w:eastAsia="Times New Roman"/>
          <w:szCs w:val="28"/>
        </w:rPr>
        <w:t xml:space="preserve"> в</w:t>
      </w:r>
      <w:r w:rsidRPr="00B36D6C">
        <w:rPr>
          <w:rFonts w:eastAsia="Times New Roman"/>
          <w:szCs w:val="28"/>
        </w:rPr>
        <w:t xml:space="preserve"> 20</w:t>
      </w:r>
      <w:r>
        <w:rPr>
          <w:rFonts w:eastAsia="Times New Roman"/>
          <w:szCs w:val="28"/>
        </w:rPr>
        <w:t>24 году</w:t>
      </w:r>
      <w:r w:rsidRPr="00B36D6C">
        <w:rPr>
          <w:rFonts w:eastAsia="Times New Roman"/>
          <w:szCs w:val="28"/>
        </w:rPr>
        <w:t xml:space="preserve"> специалистами отдела</w:t>
      </w:r>
      <w:r>
        <w:rPr>
          <w:rFonts w:eastAsia="Times New Roman"/>
          <w:szCs w:val="28"/>
        </w:rPr>
        <w:t xml:space="preserve"> </w:t>
      </w:r>
      <w:r>
        <w:rPr>
          <w:rFonts w:eastAsia="Times New Roman"/>
          <w:szCs w:val="28"/>
        </w:rPr>
        <w:lastRenderedPageBreak/>
        <w:t xml:space="preserve">электроэнергетики </w:t>
      </w:r>
      <w:r w:rsidRPr="00B36D6C">
        <w:rPr>
          <w:rFonts w:eastAsia="Times New Roman"/>
          <w:szCs w:val="28"/>
        </w:rPr>
        <w:t xml:space="preserve"> </w:t>
      </w:r>
      <w:r>
        <w:rPr>
          <w:rFonts w:eastAsia="Times New Roman"/>
          <w:szCs w:val="28"/>
        </w:rPr>
        <w:t>осуществлялась проверка</w:t>
      </w:r>
      <w:r w:rsidRPr="006D7C02">
        <w:rPr>
          <w:rFonts w:eastAsia="Times New Roman"/>
          <w:szCs w:val="28"/>
        </w:rPr>
        <w:t xml:space="preserve"> фактического наличия объектов электросетевого хозяйства, принадлежащих на законном основании территориальным сетевым организациям Новосибирской области, и осуществления территориальными сетевыми организациями Новосибирской области эксплуатации и обслуживания таких объектов</w:t>
      </w:r>
      <w:r>
        <w:rPr>
          <w:rFonts w:eastAsia="Times New Roman"/>
          <w:szCs w:val="28"/>
        </w:rPr>
        <w:t>.</w:t>
      </w:r>
    </w:p>
    <w:p w:rsidR="00A712E1"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 xml:space="preserve">В ходе осмотра </w:t>
      </w:r>
      <w:r w:rsidR="00887576" w:rsidRPr="003C4003">
        <w:rPr>
          <w:rFonts w:eastAsia="Times New Roman"/>
          <w:szCs w:val="28"/>
        </w:rPr>
        <w:t>объект</w:t>
      </w:r>
      <w:r w:rsidR="00887576">
        <w:rPr>
          <w:rFonts w:eastAsia="Times New Roman"/>
          <w:szCs w:val="28"/>
        </w:rPr>
        <w:t>ов</w:t>
      </w:r>
      <w:r w:rsidR="00887576" w:rsidRPr="003C4003">
        <w:rPr>
          <w:rFonts w:eastAsia="Times New Roman"/>
          <w:szCs w:val="28"/>
        </w:rPr>
        <w:t xml:space="preserve"> электросетевого хозяйства</w:t>
      </w:r>
      <w:r>
        <w:rPr>
          <w:rFonts w:eastAsia="Times New Roman"/>
          <w:szCs w:val="28"/>
        </w:rPr>
        <w:t>, территориальными сетевыми</w:t>
      </w:r>
      <w:r w:rsidRPr="00B72AD1">
        <w:rPr>
          <w:rFonts w:eastAsia="Times New Roman"/>
          <w:szCs w:val="28"/>
        </w:rPr>
        <w:t xml:space="preserve"> орга</w:t>
      </w:r>
      <w:r>
        <w:rPr>
          <w:rFonts w:eastAsia="Times New Roman"/>
          <w:szCs w:val="28"/>
        </w:rPr>
        <w:t>низациями</w:t>
      </w:r>
      <w:r w:rsidRPr="00B72AD1">
        <w:rPr>
          <w:rFonts w:eastAsia="Times New Roman"/>
          <w:szCs w:val="28"/>
        </w:rPr>
        <w:t xml:space="preserve"> Новосибирской области</w:t>
      </w:r>
      <w:r>
        <w:rPr>
          <w:rFonts w:eastAsia="Times New Roman"/>
          <w:szCs w:val="28"/>
        </w:rPr>
        <w:t xml:space="preserve"> представлены однолинейные схемы проверяемых объектов, паспорта трансформаторных подстанций, паспорта линий электропередачи, поопорные схемы воздушных линий электропередачи.</w:t>
      </w:r>
    </w:p>
    <w:p w:rsidR="00A712E1"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По результатам осмотра и анализа предоставленных</w:t>
      </w:r>
      <w:r w:rsidR="00AD1C07">
        <w:rPr>
          <w:rFonts w:eastAsia="Times New Roman"/>
          <w:szCs w:val="28"/>
        </w:rPr>
        <w:t xml:space="preserve"> </w:t>
      </w:r>
      <w:r>
        <w:rPr>
          <w:rFonts w:eastAsia="Times New Roman"/>
          <w:szCs w:val="28"/>
        </w:rPr>
        <w:t>документов установлено соответствие фактических данных о наличии условных единиц обслуживаемого оборудования с данными, представленными проверяемыми территориальными сетевыми организациями Новосибирской области в составе обосновывающих материалов к заявлениям об установлении (корректировке) тарифов на услуги по передаче электрической энергии.</w:t>
      </w:r>
    </w:p>
    <w:p w:rsidR="00A712E1" w:rsidRPr="005D27C9" w:rsidRDefault="00A712E1" w:rsidP="00A712E1">
      <w:pPr>
        <w:autoSpaceDE w:val="0"/>
        <w:autoSpaceDN w:val="0"/>
        <w:adjustRightInd w:val="0"/>
        <w:spacing w:after="0" w:line="240" w:lineRule="auto"/>
        <w:ind w:firstLine="709"/>
        <w:jc w:val="both"/>
        <w:rPr>
          <w:rFonts w:eastAsia="Times New Roman"/>
          <w:szCs w:val="28"/>
        </w:rPr>
      </w:pPr>
      <w:r>
        <w:rPr>
          <w:rFonts w:eastAsia="Times New Roman"/>
          <w:szCs w:val="28"/>
        </w:rPr>
        <w:t>Результаты проверки оформлены отдельными «Актами осмотра фактического наличия объектов электросетевого хозяйства» для каждой проверяемой территориальной сетевой организации.</w:t>
      </w:r>
    </w:p>
    <w:p w:rsidR="00A712E1" w:rsidRDefault="00A712E1"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887576" w:rsidRDefault="00887576" w:rsidP="00A712E1">
      <w:pPr>
        <w:autoSpaceDE w:val="0"/>
        <w:autoSpaceDN w:val="0"/>
        <w:adjustRightInd w:val="0"/>
        <w:spacing w:after="0" w:line="240" w:lineRule="auto"/>
        <w:ind w:firstLine="709"/>
        <w:jc w:val="both"/>
        <w:rPr>
          <w:rFonts w:eastAsia="Times New Roman"/>
          <w:szCs w:val="28"/>
        </w:rPr>
      </w:pPr>
    </w:p>
    <w:p w:rsidR="00253348" w:rsidRDefault="00253348" w:rsidP="00887576">
      <w:pPr>
        <w:pStyle w:val="20231"/>
      </w:pPr>
      <w:bookmarkStart w:id="39" w:name="_Toc131067922"/>
      <w:bookmarkStart w:id="40" w:name="_Toc162431914"/>
      <w:bookmarkStart w:id="41" w:name="_Toc193810541"/>
      <w:r w:rsidRPr="00B020B9">
        <w:t>2.2.</w:t>
      </w:r>
      <w:r w:rsidRPr="00887576">
        <w:t>Теплоснабжение</w:t>
      </w:r>
      <w:bookmarkEnd w:id="39"/>
      <w:bookmarkEnd w:id="40"/>
      <w:bookmarkEnd w:id="41"/>
    </w:p>
    <w:p w:rsidR="00253348" w:rsidRPr="00B45433" w:rsidRDefault="00253348" w:rsidP="00253348">
      <w:pPr>
        <w:spacing w:after="0" w:line="240" w:lineRule="auto"/>
        <w:ind w:firstLine="709"/>
        <w:jc w:val="both"/>
        <w:rPr>
          <w:rFonts w:eastAsia="Calibri"/>
          <w:szCs w:val="28"/>
        </w:rPr>
      </w:pPr>
      <w:r w:rsidRPr="00B45433">
        <w:rPr>
          <w:rFonts w:eastAsia="Calibri"/>
          <w:szCs w:val="28"/>
        </w:rPr>
        <w:t>Регулирование тарифов в сфере теплоснабжения осуществляется в соответствии с требованиями Федерального закона от 27.07.2010 № 190-ФЗ «О теплоснабжении» (</w:t>
      </w:r>
      <w:r w:rsidRPr="00B45433">
        <w:rPr>
          <w:rFonts w:eastAsia="Calibri"/>
          <w:i/>
          <w:szCs w:val="28"/>
        </w:rPr>
        <w:t>далее – Федеральный закон № 190-ФЗ</w:t>
      </w:r>
      <w:r w:rsidRPr="00B45433">
        <w:rPr>
          <w:rFonts w:eastAsia="Calibri"/>
          <w:szCs w:val="28"/>
        </w:rPr>
        <w:t>), постановления Правительства РФ от 22.10.2012 № 1075 «О ценообразовании в сфере теплоснабжения», иных законодательных актов.</w:t>
      </w:r>
    </w:p>
    <w:p w:rsidR="00253348" w:rsidRPr="00B41BB6" w:rsidRDefault="00253348" w:rsidP="00253348">
      <w:pPr>
        <w:spacing w:after="0" w:line="240" w:lineRule="auto"/>
        <w:ind w:firstLine="709"/>
        <w:jc w:val="both"/>
        <w:rPr>
          <w:szCs w:val="28"/>
        </w:rPr>
      </w:pPr>
      <w:r w:rsidRPr="00B41BB6">
        <w:rPr>
          <w:szCs w:val="28"/>
        </w:rPr>
        <w:t>В течение 2024 года в сфере теплоснабжения выпущено 180 приказов департамента об установлении на 2024-2025 годы цен (тарифов, платы, нормативов):</w:t>
      </w:r>
    </w:p>
    <w:p w:rsidR="00253348" w:rsidRPr="003D3E08" w:rsidRDefault="00253348" w:rsidP="00253348">
      <w:pPr>
        <w:spacing w:after="0" w:line="240" w:lineRule="auto"/>
        <w:ind w:firstLine="709"/>
        <w:jc w:val="both"/>
        <w:rPr>
          <w:rFonts w:eastAsia="Calibri"/>
          <w:bCs/>
          <w:szCs w:val="28"/>
        </w:rPr>
      </w:pPr>
      <w:r w:rsidRPr="003D3E08">
        <w:rPr>
          <w:rFonts w:eastAsia="Calibri"/>
          <w:b/>
          <w:szCs w:val="28"/>
        </w:rPr>
        <w:t xml:space="preserve">- </w:t>
      </w:r>
      <w:r w:rsidRPr="003D3E08">
        <w:rPr>
          <w:rFonts w:eastAsia="Calibri"/>
          <w:szCs w:val="28"/>
        </w:rPr>
        <w:t xml:space="preserve">36 </w:t>
      </w:r>
      <w:r w:rsidRPr="003D3E08">
        <w:rPr>
          <w:rFonts w:eastAsia="Calibri"/>
          <w:bCs/>
          <w:szCs w:val="28"/>
        </w:rPr>
        <w:t>индикативных предельных уровней цен на тепловую энергию (мощность) на территор</w:t>
      </w:r>
      <w:r>
        <w:rPr>
          <w:rFonts w:eastAsia="Calibri"/>
          <w:bCs/>
          <w:szCs w:val="28"/>
        </w:rPr>
        <w:t>иях ценовых зонах теплоснабжения</w:t>
      </w:r>
      <w:r w:rsidRPr="003D3E08">
        <w:rPr>
          <w:rFonts w:eastAsia="Calibri"/>
          <w:bCs/>
          <w:szCs w:val="28"/>
        </w:rPr>
        <w:t xml:space="preserve">; </w:t>
      </w:r>
    </w:p>
    <w:p w:rsidR="00253348" w:rsidRDefault="00253348" w:rsidP="00253348">
      <w:pPr>
        <w:spacing w:after="0" w:line="240" w:lineRule="auto"/>
        <w:ind w:firstLine="709"/>
        <w:jc w:val="both"/>
        <w:rPr>
          <w:szCs w:val="28"/>
          <w:highlight w:val="yellow"/>
        </w:rPr>
      </w:pPr>
      <w:r w:rsidRPr="003D3E08">
        <w:rPr>
          <w:rFonts w:eastAsia="Calibri"/>
          <w:szCs w:val="28"/>
        </w:rPr>
        <w:t xml:space="preserve">- 109 </w:t>
      </w:r>
      <w:r w:rsidRPr="003D3E08">
        <w:rPr>
          <w:rFonts w:eastAsia="Calibri"/>
          <w:bCs/>
          <w:szCs w:val="28"/>
        </w:rPr>
        <w:t>предельных уровней цен на тепловую энергию (мощность) в каждой системе теплоснабжения на территориях ценовых зонах теплоснабжения</w:t>
      </w:r>
      <w:r>
        <w:rPr>
          <w:rFonts w:eastAsia="Calibri"/>
          <w:bCs/>
          <w:szCs w:val="28"/>
        </w:rPr>
        <w:t>;</w:t>
      </w:r>
    </w:p>
    <w:p w:rsidR="00253348" w:rsidRPr="002D7FA0" w:rsidRDefault="00253348" w:rsidP="00253348">
      <w:pPr>
        <w:spacing w:after="0" w:line="240" w:lineRule="auto"/>
        <w:ind w:firstLine="709"/>
        <w:jc w:val="both"/>
        <w:rPr>
          <w:szCs w:val="28"/>
          <w:highlight w:val="yellow"/>
        </w:rPr>
      </w:pPr>
      <w:r w:rsidRPr="00D340DA">
        <w:rPr>
          <w:szCs w:val="28"/>
        </w:rPr>
        <w:t>- 9 тарифов для теплоснабжающих организаций (за исключением</w:t>
      </w:r>
      <w:r w:rsidRPr="004D12CE">
        <w:rPr>
          <w:szCs w:val="28"/>
        </w:rPr>
        <w:t xml:space="preserve"> организаций, осуществляющих деятельность в ценовых зонах) на 2024 год;</w:t>
      </w:r>
    </w:p>
    <w:p w:rsidR="00253348" w:rsidRPr="00471923" w:rsidRDefault="00253348" w:rsidP="00253348">
      <w:pPr>
        <w:spacing w:after="0" w:line="240" w:lineRule="auto"/>
        <w:ind w:firstLine="709"/>
        <w:jc w:val="both"/>
        <w:rPr>
          <w:szCs w:val="28"/>
        </w:rPr>
      </w:pPr>
      <w:r w:rsidRPr="00471923">
        <w:rPr>
          <w:szCs w:val="28"/>
        </w:rPr>
        <w:t>- 393 тарифа для теплоснабжающих организаций (за исключением организаций, осуществляющих деятельность в ценовых зонах) на 2025 год;</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t>- 20</w:t>
      </w:r>
      <w:r>
        <w:rPr>
          <w:rFonts w:ascii="Times New Roman" w:hAnsi="Times New Roman"/>
          <w:sz w:val="28"/>
          <w:szCs w:val="28"/>
        </w:rPr>
        <w:t xml:space="preserve"> плат</w:t>
      </w:r>
      <w:r w:rsidRPr="00314B94">
        <w:rPr>
          <w:rFonts w:ascii="Times New Roman" w:hAnsi="Times New Roman"/>
          <w:sz w:val="28"/>
          <w:szCs w:val="28"/>
        </w:rPr>
        <w:t xml:space="preserve"> за технологическое присоединение к тепловым сетям (в том числе по индивидуальным проектам); </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t xml:space="preserve">- 43 </w:t>
      </w:r>
      <w:r>
        <w:rPr>
          <w:rFonts w:ascii="Times New Roman" w:hAnsi="Times New Roman"/>
          <w:sz w:val="28"/>
          <w:szCs w:val="28"/>
        </w:rPr>
        <w:t>норматива</w:t>
      </w:r>
      <w:r w:rsidRPr="00314B94">
        <w:rPr>
          <w:rFonts w:ascii="Times New Roman" w:hAnsi="Times New Roman"/>
          <w:sz w:val="28"/>
          <w:szCs w:val="28"/>
        </w:rPr>
        <w:t xml:space="preserve"> технологических потерь при передаче тепловой энергии, теплоносителя;</w:t>
      </w:r>
    </w:p>
    <w:p w:rsidR="00253348" w:rsidRPr="00314B94" w:rsidRDefault="00253348" w:rsidP="00253348">
      <w:pPr>
        <w:pStyle w:val="af9"/>
        <w:ind w:firstLine="709"/>
        <w:jc w:val="both"/>
        <w:rPr>
          <w:rFonts w:ascii="Times New Roman" w:hAnsi="Times New Roman"/>
          <w:sz w:val="28"/>
          <w:szCs w:val="28"/>
          <w:u w:val="single"/>
        </w:rPr>
      </w:pPr>
      <w:r w:rsidRPr="00314B94">
        <w:rPr>
          <w:rFonts w:ascii="Times New Roman" w:hAnsi="Times New Roman"/>
          <w:sz w:val="28"/>
          <w:szCs w:val="28"/>
        </w:rPr>
        <w:t>- 13 нормативов удельного расхода топлива;</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b/>
          <w:sz w:val="28"/>
          <w:szCs w:val="28"/>
        </w:rPr>
        <w:t xml:space="preserve">- </w:t>
      </w:r>
      <w:r w:rsidRPr="00314B94">
        <w:rPr>
          <w:rFonts w:ascii="Times New Roman" w:hAnsi="Times New Roman"/>
          <w:sz w:val="28"/>
          <w:szCs w:val="28"/>
        </w:rPr>
        <w:t>276</w:t>
      </w:r>
      <w:r w:rsidRPr="00314B94">
        <w:rPr>
          <w:rFonts w:ascii="Times New Roman" w:hAnsi="Times New Roman"/>
          <w:b/>
          <w:sz w:val="28"/>
          <w:szCs w:val="28"/>
        </w:rPr>
        <w:t xml:space="preserve"> </w:t>
      </w:r>
      <w:r w:rsidRPr="00314B94">
        <w:rPr>
          <w:rFonts w:ascii="Times New Roman" w:hAnsi="Times New Roman"/>
          <w:color w:val="000000"/>
          <w:sz w:val="28"/>
          <w:szCs w:val="28"/>
        </w:rPr>
        <w:t xml:space="preserve">нормативов </w:t>
      </w:r>
      <w:r w:rsidRPr="00314B94">
        <w:rPr>
          <w:rFonts w:ascii="Times New Roman" w:hAnsi="Times New Roman"/>
          <w:sz w:val="28"/>
          <w:szCs w:val="28"/>
        </w:rPr>
        <w:t>запасов топлива на источниках тепловой энергии.</w:t>
      </w:r>
    </w:p>
    <w:p w:rsidR="00253348" w:rsidRPr="003D3E08" w:rsidRDefault="00253348" w:rsidP="00092ECA">
      <w:pPr>
        <w:pStyle w:val="4"/>
      </w:pPr>
      <w:bookmarkStart w:id="42" w:name="_Toc193810542"/>
      <w:r w:rsidRPr="003D3E08">
        <w:t>2.2.1. Ценовые зоны теплоснабжения в Новосибирской области</w:t>
      </w:r>
      <w:bookmarkEnd w:id="42"/>
    </w:p>
    <w:p w:rsidR="00253348" w:rsidRPr="003D3E08" w:rsidRDefault="00092ECA" w:rsidP="00253348">
      <w:pPr>
        <w:spacing w:after="0" w:line="240" w:lineRule="auto"/>
        <w:ind w:firstLine="709"/>
        <w:jc w:val="both"/>
        <w:rPr>
          <w:rFonts w:eastAsia="Calibri"/>
          <w:szCs w:val="28"/>
        </w:rPr>
      </w:pPr>
      <w:bookmarkStart w:id="43" w:name="_Toc131067924"/>
      <w:r>
        <w:rPr>
          <w:rFonts w:eastAsia="Calibri"/>
          <w:szCs w:val="28"/>
        </w:rPr>
        <w:t>Н</w:t>
      </w:r>
      <w:r w:rsidR="00253348" w:rsidRPr="003D3E08">
        <w:rPr>
          <w:rFonts w:eastAsia="Calibri"/>
          <w:szCs w:val="28"/>
        </w:rPr>
        <w:t>а территории Новосибирской области к ценовым зонам теплоснабжения отнесены 4 муниципальных образования:</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 рабочий поселок Линево Искитимского района Новосибирской области (распоряжение Правительства РФ от 31.01.2019 № 112-р</w:t>
      </w:r>
      <w:r w:rsidR="00092ECA">
        <w:rPr>
          <w:rFonts w:eastAsia="Calibri"/>
          <w:szCs w:val="28"/>
        </w:rPr>
        <w:t>, п</w:t>
      </w:r>
      <w:r w:rsidRPr="003D3E08">
        <w:rPr>
          <w:rFonts w:eastAsia="Calibri"/>
          <w:szCs w:val="28"/>
        </w:rPr>
        <w:t>ереходный период закончился с 01.08.2019</w:t>
      </w:r>
      <w:r w:rsidR="00092ECA">
        <w:rPr>
          <w:rFonts w:eastAsia="Calibri"/>
          <w:szCs w:val="28"/>
        </w:rPr>
        <w:t>)</w:t>
      </w:r>
      <w:r w:rsidRPr="003D3E08">
        <w:rPr>
          <w:rFonts w:eastAsia="Calibri"/>
          <w:szCs w:val="28"/>
        </w:rPr>
        <w:t>;</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 xml:space="preserve"> - город Новосибирск Новосибирской области (распоряжение Правительства РФ от 21.01.2022 № 55-р</w:t>
      </w:r>
      <w:r w:rsidR="00092ECA">
        <w:rPr>
          <w:rFonts w:eastAsia="Calibri"/>
          <w:szCs w:val="28"/>
        </w:rPr>
        <w:t>, п</w:t>
      </w:r>
      <w:r w:rsidRPr="003D3E08">
        <w:rPr>
          <w:rFonts w:eastAsia="Calibri"/>
          <w:szCs w:val="28"/>
        </w:rPr>
        <w:t>ереходный период закончился с 01.07.2022</w:t>
      </w:r>
      <w:r w:rsidR="00092ECA">
        <w:rPr>
          <w:rFonts w:eastAsia="Calibri"/>
          <w:szCs w:val="28"/>
        </w:rPr>
        <w:t>)</w:t>
      </w:r>
      <w:r w:rsidRPr="003D3E08">
        <w:rPr>
          <w:rFonts w:eastAsia="Calibri"/>
          <w:szCs w:val="28"/>
        </w:rPr>
        <w:t>;</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lastRenderedPageBreak/>
        <w:t>- город Куйбышев Куйбышевского муниципального района Новосибирской области (распоряжение Правительства РФ от 19.07.2022</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 1977-р</w:t>
      </w:r>
      <w:r w:rsidR="00092ECA">
        <w:rPr>
          <w:rFonts w:eastAsia="Calibri"/>
          <w:szCs w:val="28"/>
        </w:rPr>
        <w:t>, п</w:t>
      </w:r>
      <w:r w:rsidRPr="003D3E08">
        <w:rPr>
          <w:rFonts w:eastAsia="Calibri"/>
          <w:szCs w:val="28"/>
        </w:rPr>
        <w:t>ереходный период закончился с 01.12.2022</w:t>
      </w:r>
      <w:r w:rsidR="00092ECA">
        <w:rPr>
          <w:rFonts w:eastAsia="Calibri"/>
          <w:szCs w:val="28"/>
        </w:rPr>
        <w:t>)</w:t>
      </w:r>
      <w:r w:rsidRPr="003D3E08">
        <w:rPr>
          <w:rFonts w:eastAsia="Calibri"/>
          <w:szCs w:val="28"/>
        </w:rPr>
        <w:t>;</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 город Обь Новосибирской области (распоряжение Правительства РФ от 14.02.2023  № 324-р</w:t>
      </w:r>
      <w:r w:rsidR="00092ECA">
        <w:rPr>
          <w:rFonts w:eastAsia="Calibri"/>
          <w:szCs w:val="28"/>
        </w:rPr>
        <w:t>, п</w:t>
      </w:r>
      <w:r w:rsidRPr="003D3E08">
        <w:rPr>
          <w:rFonts w:eastAsia="Calibri"/>
          <w:szCs w:val="28"/>
        </w:rPr>
        <w:t>ереходный период закончился с 01.09.2023</w:t>
      </w:r>
      <w:r w:rsidR="00092ECA">
        <w:rPr>
          <w:rFonts w:eastAsia="Calibri"/>
          <w:szCs w:val="28"/>
        </w:rPr>
        <w:t>)</w:t>
      </w:r>
      <w:r w:rsidRPr="003D3E08">
        <w:rPr>
          <w:rFonts w:eastAsia="Calibri"/>
          <w:szCs w:val="28"/>
        </w:rPr>
        <w:t>.</w:t>
      </w:r>
    </w:p>
    <w:p w:rsidR="00253348" w:rsidRPr="00092ECA" w:rsidRDefault="00253348" w:rsidP="00253348">
      <w:pPr>
        <w:spacing w:after="0" w:line="240" w:lineRule="auto"/>
        <w:ind w:firstLine="709"/>
        <w:jc w:val="both"/>
        <w:rPr>
          <w:rFonts w:eastAsia="Calibri"/>
          <w:i/>
          <w:szCs w:val="28"/>
        </w:rPr>
      </w:pPr>
      <w:r w:rsidRPr="003D3E08">
        <w:rPr>
          <w:rFonts w:eastAsia="Calibri"/>
          <w:szCs w:val="28"/>
        </w:rPr>
        <w:t xml:space="preserve">В соответствии с частью 6 статьи 23.4 Федерального закона № 190-ФЗ: </w:t>
      </w:r>
      <w:r w:rsidRPr="00092ECA">
        <w:rPr>
          <w:rFonts w:eastAsia="Calibri"/>
          <w:i/>
          <w:szCs w:val="28"/>
        </w:rPr>
        <w:t>«После окончания переходного периода в ценовых зонах теплоснабжения осуществляется государственное регулирование цен (тарифов) в случаях, указанных в частях 12.1 - 12.4 статьи 10 настоящего Федерального закона, а также следующих видов цен (тарифов) в сфере теплоснабжения:</w:t>
      </w:r>
    </w:p>
    <w:p w:rsidR="00253348" w:rsidRPr="00092ECA" w:rsidRDefault="00253348" w:rsidP="00253348">
      <w:pPr>
        <w:spacing w:after="0" w:line="240" w:lineRule="auto"/>
        <w:ind w:firstLine="709"/>
        <w:jc w:val="both"/>
        <w:rPr>
          <w:rFonts w:eastAsia="Calibri"/>
          <w:i/>
          <w:szCs w:val="28"/>
        </w:rPr>
      </w:pPr>
      <w:r w:rsidRPr="00092ECA">
        <w:rPr>
          <w:rFonts w:eastAsia="Calibri"/>
          <w:i/>
          <w:szCs w:val="28"/>
        </w:rPr>
        <w:t>1) предельный уровень цены на тепловую энергию (мощность);</w:t>
      </w:r>
    </w:p>
    <w:p w:rsidR="00253348" w:rsidRPr="00092ECA" w:rsidRDefault="00253348" w:rsidP="00253348">
      <w:pPr>
        <w:spacing w:after="0" w:line="240" w:lineRule="auto"/>
        <w:ind w:firstLine="709"/>
        <w:jc w:val="both"/>
        <w:rPr>
          <w:rFonts w:eastAsia="Calibri"/>
          <w:i/>
          <w:szCs w:val="28"/>
        </w:rPr>
      </w:pPr>
      <w:r w:rsidRPr="00092ECA">
        <w:rPr>
          <w:rFonts w:eastAsia="Calibri"/>
          <w:i/>
          <w:szCs w:val="28"/>
        </w:rPr>
        <w:t>2) тарифы на теплоноситель в виде воды, поставляемый едиными теплоснабжающими организациями потребителям и теплоснабжающими организациями другим теплоснабжающим организациям с использованием открытых систем теплоснабжения (горячего водоснабжения), за исключением случая, предусмотренного пунктом 6 части 1 настоящей статьи;</w:t>
      </w:r>
    </w:p>
    <w:p w:rsidR="00253348" w:rsidRPr="00092ECA" w:rsidRDefault="00253348" w:rsidP="00253348">
      <w:pPr>
        <w:spacing w:after="0" w:line="240" w:lineRule="auto"/>
        <w:ind w:firstLine="709"/>
        <w:jc w:val="both"/>
        <w:rPr>
          <w:rFonts w:eastAsia="Calibri"/>
          <w:i/>
          <w:szCs w:val="28"/>
        </w:rPr>
      </w:pPr>
      <w:r w:rsidRPr="00092ECA">
        <w:rPr>
          <w:rFonts w:eastAsia="Calibri"/>
          <w:i/>
          <w:szCs w:val="28"/>
        </w:rPr>
        <w:t>3) тарифы на горячую воду, поставляемую едиными теплоснабжающими организациями потребителям с использованием открытых систем теплоснабжения (горячего водоснабжения), установленные в виде формулы двухкомпонентного тарифа с использованием компонента на теплоноситель и компонента на тепловую энергию;</w:t>
      </w:r>
    </w:p>
    <w:p w:rsidR="00253348" w:rsidRPr="003D3E08" w:rsidRDefault="00253348" w:rsidP="00253348">
      <w:pPr>
        <w:spacing w:after="0" w:line="240" w:lineRule="auto"/>
        <w:ind w:firstLine="709"/>
        <w:jc w:val="both"/>
        <w:rPr>
          <w:rFonts w:eastAsia="Calibri"/>
          <w:szCs w:val="28"/>
        </w:rPr>
      </w:pPr>
      <w:r w:rsidRPr="00092ECA">
        <w:rPr>
          <w:rFonts w:eastAsia="Calibri"/>
          <w:i/>
          <w:szCs w:val="28"/>
        </w:rPr>
        <w:t>4) плата за подключение (технологическое присоединение) к системе теплоснабжения в случае, установленном частью 9 настоящей статьи.».</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В  ценовых зонах теплоснабжения в рамках исполнения предоставленных полномочий после окончания переходного периода департаментом ежегодно утверждаются индикативные  предельные уровни цен на тепловую энергию (мощность), а также предельные уровни цен на тепловую энергию (мощность) для каждой системы теплоснабжения в соответствии с ежегодно актуализируемыми Схемами теплоснабжения  муниципальных образований, согласно требованиям Правил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утвержденных постановлением Правительства РФ от 15.12.2017 № 1562 (далее – Правила № 1562).</w:t>
      </w:r>
    </w:p>
    <w:p w:rsidR="00253348" w:rsidRPr="003D3E08" w:rsidRDefault="00253348" w:rsidP="00EE4F16">
      <w:pPr>
        <w:spacing w:after="0" w:line="240" w:lineRule="auto"/>
        <w:ind w:firstLine="709"/>
        <w:jc w:val="both"/>
        <w:rPr>
          <w:rFonts w:eastAsia="Calibri"/>
          <w:szCs w:val="28"/>
        </w:rPr>
      </w:pPr>
      <w:r w:rsidRPr="003D3E08">
        <w:rPr>
          <w:rFonts w:eastAsia="Calibri"/>
          <w:szCs w:val="28"/>
        </w:rPr>
        <w:t>Всего в 2024 году</w:t>
      </w:r>
      <w:r w:rsidR="00EE4F16">
        <w:rPr>
          <w:rFonts w:eastAsia="Calibri"/>
          <w:szCs w:val="28"/>
        </w:rPr>
        <w:t xml:space="preserve"> </w:t>
      </w:r>
      <w:r w:rsidRPr="003D3E08">
        <w:rPr>
          <w:rFonts w:eastAsia="Calibri"/>
          <w:szCs w:val="28"/>
        </w:rPr>
        <w:t>приняты решения об установлении</w:t>
      </w:r>
      <w:r w:rsidRPr="003D3E08">
        <w:rPr>
          <w:rFonts w:eastAsia="Calibri"/>
          <w:bCs/>
          <w:szCs w:val="28"/>
        </w:rPr>
        <w:t xml:space="preserve"> на 2024-2025 годы</w:t>
      </w:r>
      <w:r w:rsidRPr="003D3E08">
        <w:rPr>
          <w:rFonts w:eastAsia="Calibri"/>
          <w:szCs w:val="28"/>
        </w:rPr>
        <w:t xml:space="preserve">: </w:t>
      </w:r>
    </w:p>
    <w:p w:rsidR="00253348" w:rsidRPr="003D3E08" w:rsidRDefault="00253348" w:rsidP="00253348">
      <w:pPr>
        <w:spacing w:after="0" w:line="240" w:lineRule="auto"/>
        <w:ind w:firstLine="709"/>
        <w:jc w:val="both"/>
        <w:rPr>
          <w:rFonts w:eastAsia="Calibri"/>
          <w:bCs/>
          <w:szCs w:val="28"/>
        </w:rPr>
      </w:pPr>
      <w:r w:rsidRPr="003D3E08">
        <w:rPr>
          <w:rFonts w:eastAsia="Calibri"/>
          <w:b/>
          <w:szCs w:val="28"/>
        </w:rPr>
        <w:t xml:space="preserve">- </w:t>
      </w:r>
      <w:r w:rsidRPr="003D3E08">
        <w:rPr>
          <w:rFonts w:eastAsia="Calibri"/>
          <w:szCs w:val="28"/>
        </w:rPr>
        <w:t xml:space="preserve">36 </w:t>
      </w:r>
      <w:r w:rsidRPr="003D3E08">
        <w:rPr>
          <w:rFonts w:eastAsia="Calibri"/>
          <w:bCs/>
          <w:szCs w:val="28"/>
        </w:rPr>
        <w:t xml:space="preserve">индикативных предельных уровней цен на тепловую энергию (мощность) на территориях ценовых зонах теплоснабжения (г. Новосибирск – 31, г. Куйбышев – 1, г. Обь – 3, р.п. Линево – 1); </w:t>
      </w:r>
    </w:p>
    <w:p w:rsidR="00253348" w:rsidRDefault="00253348" w:rsidP="00253348">
      <w:pPr>
        <w:spacing w:after="0" w:line="240" w:lineRule="auto"/>
        <w:ind w:firstLine="709"/>
        <w:jc w:val="both"/>
        <w:rPr>
          <w:rFonts w:eastAsia="Calibri"/>
          <w:bCs/>
          <w:szCs w:val="28"/>
        </w:rPr>
      </w:pPr>
      <w:r w:rsidRPr="003D3E08">
        <w:rPr>
          <w:rFonts w:eastAsia="Calibri"/>
          <w:szCs w:val="28"/>
        </w:rPr>
        <w:t xml:space="preserve">- 109 </w:t>
      </w:r>
      <w:r w:rsidRPr="003D3E08">
        <w:rPr>
          <w:rFonts w:eastAsia="Calibri"/>
          <w:bCs/>
          <w:szCs w:val="28"/>
        </w:rPr>
        <w:t>предельных уровней цен на тепловую энергию (мощность) в каждой системе теплоснабжения на территориях ценовых зонах теплоснабжения (г. Новосибирск – 89, г. Куйбышев – 9, г. Обь – 10, р.п. Линево – 1).</w:t>
      </w:r>
    </w:p>
    <w:p w:rsidR="00253348" w:rsidRPr="003D3E08" w:rsidRDefault="00253348" w:rsidP="00092ECA">
      <w:pPr>
        <w:pStyle w:val="4"/>
      </w:pPr>
      <w:bookmarkStart w:id="44" w:name="_Toc162431916"/>
      <w:bookmarkStart w:id="45" w:name="_Toc193810543"/>
      <w:bookmarkEnd w:id="43"/>
      <w:r w:rsidRPr="003D3E08">
        <w:lastRenderedPageBreak/>
        <w:t>2.2.1.1. Индикативные предельные уровни цены на тепловую энергию (мощность) и предельные уровни цены на тепловую энергию (мощность) в ценовой зоне теплоснабжения муниципальное образование городской округ город Новосибирск Новосибирской области на 2025 год</w:t>
      </w:r>
      <w:bookmarkEnd w:id="44"/>
      <w:bookmarkEnd w:id="45"/>
    </w:p>
    <w:p w:rsidR="00253348" w:rsidRPr="003D3E08" w:rsidRDefault="00253348" w:rsidP="00253348">
      <w:pPr>
        <w:spacing w:after="0" w:line="240" w:lineRule="auto"/>
        <w:ind w:firstLine="709"/>
        <w:jc w:val="both"/>
        <w:rPr>
          <w:szCs w:val="28"/>
        </w:rPr>
      </w:pPr>
      <w:r w:rsidRPr="003D3E08">
        <w:rPr>
          <w:szCs w:val="28"/>
        </w:rPr>
        <w:t>На территории ценовой зоны город Новосибирск в соответствии с актуализированной на 2025 год Схемой теплоснабжения города Новосибирска, утвержденной приказом Минэнерго России от 29.08.2024 № 223тд (далее - Схема теплоснабжения г. Новосибирска)  расположено 88 систем теплоснабжения</w:t>
      </w:r>
      <w:r w:rsidRPr="003D3E08">
        <w:rPr>
          <w:rFonts w:eastAsia="Times New Roman"/>
          <w:szCs w:val="28"/>
        </w:rPr>
        <w:t xml:space="preserve"> (</w:t>
      </w:r>
      <w:r w:rsidRPr="003D3E08">
        <w:rPr>
          <w:szCs w:val="28"/>
        </w:rPr>
        <w:t>из них 17  систем теплоснабжения с преобладающим видом топлива – уголь; 71 систем теплоснабжения с преобладающим видом топлива – природный газ), теплоснабжение потребителей в которых осуществляет 40 ЕТО.</w:t>
      </w:r>
    </w:p>
    <w:p w:rsidR="00253348" w:rsidRPr="003D3E08" w:rsidRDefault="00253348" w:rsidP="00253348">
      <w:pPr>
        <w:spacing w:after="0" w:line="240" w:lineRule="auto"/>
        <w:ind w:firstLine="709"/>
        <w:jc w:val="both"/>
        <w:rPr>
          <w:rFonts w:eastAsia="Times New Roman"/>
          <w:szCs w:val="28"/>
        </w:rPr>
      </w:pPr>
      <w:r w:rsidRPr="003D3E08">
        <w:rPr>
          <w:rFonts w:eastAsia="Times New Roman"/>
          <w:szCs w:val="28"/>
        </w:rPr>
        <w:t>Постановлением Губернатора Новосибирской области от 28.06.2022 № 112 утверждены Графики поэтапного равномерного доведения предельных уровней цен на тепловую энергию (мощность), поставляемую потребителям в ценовой зоне теплоснабжения - город Новосибирск,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РФ № 1562 (далее – График №112).</w:t>
      </w:r>
    </w:p>
    <w:p w:rsidR="00253348" w:rsidRPr="003D3E08" w:rsidRDefault="00253348" w:rsidP="00253348">
      <w:pPr>
        <w:spacing w:after="0" w:line="240" w:lineRule="auto"/>
        <w:ind w:firstLine="709"/>
        <w:jc w:val="both"/>
        <w:rPr>
          <w:szCs w:val="28"/>
        </w:rPr>
      </w:pPr>
      <w:r w:rsidRPr="003D3E08">
        <w:rPr>
          <w:rFonts w:eastAsia="Times New Roman"/>
          <w:szCs w:val="28"/>
        </w:rPr>
        <w:t xml:space="preserve">Во исполнение требований </w:t>
      </w:r>
      <w:r w:rsidR="00EE4F16">
        <w:rPr>
          <w:rFonts w:eastAsia="Times New Roman"/>
          <w:szCs w:val="28"/>
        </w:rPr>
        <w:t>Федерального з</w:t>
      </w:r>
      <w:r w:rsidRPr="003D3E08">
        <w:rPr>
          <w:rFonts w:eastAsia="Times New Roman"/>
          <w:szCs w:val="28"/>
        </w:rPr>
        <w:t xml:space="preserve">акона  № 190-ФЗ и </w:t>
      </w:r>
      <w:r w:rsidRPr="003D3E08">
        <w:rPr>
          <w:rFonts w:eastAsia="Calibri"/>
          <w:szCs w:val="28"/>
        </w:rPr>
        <w:t>Правил № 1562 определены значения величин</w:t>
      </w:r>
      <w:r w:rsidRPr="003D3E08">
        <w:rPr>
          <w:rFonts w:eastAsia="Times New Roman"/>
          <w:color w:val="FF0000"/>
          <w:szCs w:val="28"/>
        </w:rPr>
        <w:t xml:space="preserve"> </w:t>
      </w:r>
      <w:r w:rsidRPr="003D3E08">
        <w:rPr>
          <w:szCs w:val="28"/>
        </w:rPr>
        <w:t xml:space="preserve">индикативных предельных уровней цен </w:t>
      </w:r>
      <w:r w:rsidRPr="003D3E08">
        <w:rPr>
          <w:rFonts w:eastAsia="Times New Roman"/>
          <w:szCs w:val="28"/>
        </w:rPr>
        <w:t xml:space="preserve">на тепловую энергию (мощность) </w:t>
      </w:r>
      <w:r w:rsidRPr="003D3E08">
        <w:rPr>
          <w:rFonts w:eastAsia="Times New Roman"/>
          <w:bCs/>
          <w:szCs w:val="28"/>
        </w:rPr>
        <w:t xml:space="preserve">в ценовой зоне теплоснабжения - </w:t>
      </w:r>
      <w:r w:rsidRPr="003D3E08">
        <w:rPr>
          <w:rFonts w:eastAsia="Times New Roman"/>
          <w:szCs w:val="28"/>
        </w:rPr>
        <w:t xml:space="preserve">город Новосибирск для систем теплоснабжения, указанных в Схеме теплоснабжения г. Новосибирска, </w:t>
      </w:r>
      <w:r w:rsidR="00EE4F16">
        <w:rPr>
          <w:szCs w:val="28"/>
        </w:rPr>
        <w:t xml:space="preserve">и утверждены </w:t>
      </w:r>
      <w:r w:rsidRPr="003D3E08">
        <w:rPr>
          <w:rFonts w:eastAsia="Times New Roman"/>
          <w:szCs w:val="28"/>
        </w:rPr>
        <w:t>приказом департамента от 12.11.2024 № 281-ТЭ</w:t>
      </w:r>
      <w:r w:rsidR="00EE4F16">
        <w:rPr>
          <w:rFonts w:eastAsia="Times New Roman"/>
          <w:szCs w:val="28"/>
        </w:rPr>
        <w:t xml:space="preserve"> </w:t>
      </w:r>
      <w:r w:rsidR="00EE4F16" w:rsidRPr="003D3E08">
        <w:rPr>
          <w:szCs w:val="28"/>
        </w:rPr>
        <w:t>на 2025 год</w:t>
      </w:r>
      <w:r w:rsidRPr="003D3E08">
        <w:rPr>
          <w:rFonts w:eastAsia="Calibri"/>
          <w:szCs w:val="28"/>
        </w:rPr>
        <w:t>.</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На основании приказа департамента от 12.11.2024 № 281-ТЭ с учетом Графика  № 112 (за исключением 3х новых систем теплоснабжения, появившихся в 2024 году), руководствуясь пунктами 58, 61 Правил № 1562,</w:t>
      </w:r>
      <w:r w:rsidRPr="003D3E08">
        <w:rPr>
          <w:rFonts w:eastAsia="Calibri"/>
          <w:bCs/>
          <w:szCs w:val="28"/>
        </w:rPr>
        <w:t xml:space="preserve"> приказом департамента от 12.11.2024 № 282-ТЭ/НПА </w:t>
      </w:r>
      <w:r w:rsidRPr="003D3E08">
        <w:rPr>
          <w:rFonts w:eastAsia="Calibri"/>
          <w:szCs w:val="28"/>
        </w:rPr>
        <w:t>утверждены значения  предельных уровней цен на тепловую энергию (мощность) в ценовой зоне теплоснабжения - город Новосибирск на 2025 год.</w:t>
      </w:r>
    </w:p>
    <w:p w:rsidR="00253348" w:rsidRPr="00341C99" w:rsidRDefault="00253348" w:rsidP="00341C99">
      <w:pPr>
        <w:pStyle w:val="4"/>
      </w:pPr>
      <w:bookmarkStart w:id="46" w:name="_Toc162431917"/>
      <w:bookmarkStart w:id="47" w:name="_Toc131067926"/>
      <w:bookmarkStart w:id="48" w:name="_Toc193810544"/>
      <w:r w:rsidRPr="00341C99">
        <w:t>2.2.1.2. Индикативные предельные уровни цены на тепловую энергию (мощность) и предельные уровни цены на тепловую энергию (мощность)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2025 год</w:t>
      </w:r>
      <w:bookmarkEnd w:id="46"/>
      <w:bookmarkEnd w:id="47"/>
      <w:bookmarkEnd w:id="48"/>
    </w:p>
    <w:p w:rsidR="00253348" w:rsidRPr="003D3E08" w:rsidRDefault="00253348" w:rsidP="00253348">
      <w:pPr>
        <w:spacing w:after="0" w:line="240" w:lineRule="auto"/>
        <w:ind w:firstLine="709"/>
        <w:jc w:val="both"/>
        <w:rPr>
          <w:rFonts w:eastAsia="Calibri"/>
          <w:szCs w:val="28"/>
        </w:rPr>
      </w:pPr>
      <w:r w:rsidRPr="003D3E08">
        <w:rPr>
          <w:rFonts w:eastAsia="Calibri"/>
          <w:szCs w:val="28"/>
        </w:rPr>
        <w:t xml:space="preserve">На территории ценовой зоны город Куйбышев в соответствии с актуализированной на 2025 год Схемой теплоснабжения города Куйбышева Куйбышевского района Новосибирской области на период до 2040 года, утвержденной постановлением главы города Куйбышева Куйбышевского района Новосибирской области от 28.06.2024 № 25 (далее – Схема теплоснабжения г. Куйбышева),  расположено 9 систем теплоснабжения, в </w:t>
      </w:r>
      <w:r w:rsidRPr="003D3E08">
        <w:rPr>
          <w:rFonts w:eastAsia="Calibri"/>
          <w:szCs w:val="28"/>
        </w:rPr>
        <w:lastRenderedPageBreak/>
        <w:t>которых осуществляет деятельность 3 ЕТО. Во всех системах теплоснабжения преобладающим видом используемого топлива является уголь.</w:t>
      </w:r>
    </w:p>
    <w:p w:rsidR="00253348" w:rsidRPr="003D3E08" w:rsidRDefault="00253348" w:rsidP="00253348">
      <w:pPr>
        <w:spacing w:after="0" w:line="240" w:lineRule="auto"/>
        <w:ind w:firstLine="709"/>
        <w:jc w:val="both"/>
        <w:rPr>
          <w:rFonts w:eastAsia="Calibri"/>
          <w:szCs w:val="28"/>
        </w:rPr>
      </w:pPr>
      <w:r w:rsidRPr="003D3E08">
        <w:rPr>
          <w:rFonts w:eastAsia="Calibri"/>
          <w:szCs w:val="28"/>
        </w:rPr>
        <w:t>Постановлением Губернатора Новосибирской области от 17.11.2022</w:t>
      </w:r>
      <w:r w:rsidRPr="003D3E08">
        <w:rPr>
          <w:rFonts w:eastAsia="Calibri"/>
          <w:szCs w:val="28"/>
        </w:rPr>
        <w:br/>
        <w:t>№ 221 утвержден График поэтапного равномерного доведения предельных уровней цен на тепловую энергию (мощность), поставляемую потребителям в ценовой зоне теплоснабжения - город Куйбышев,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 1562, на 2022-2027 годы (далее – График № 221).</w:t>
      </w:r>
    </w:p>
    <w:p w:rsidR="00253348" w:rsidRPr="003D3E08" w:rsidRDefault="00253348" w:rsidP="00253348">
      <w:pPr>
        <w:spacing w:after="0" w:line="240" w:lineRule="auto"/>
        <w:ind w:firstLine="709"/>
        <w:jc w:val="both"/>
        <w:rPr>
          <w:szCs w:val="28"/>
        </w:rPr>
      </w:pPr>
      <w:r w:rsidRPr="003D3E08">
        <w:rPr>
          <w:rFonts w:eastAsia="Times New Roman"/>
          <w:szCs w:val="28"/>
        </w:rPr>
        <w:t xml:space="preserve"> Во исполнение требований Федерального закона № 190-ФЗ и </w:t>
      </w:r>
      <w:r w:rsidRPr="003D3E08">
        <w:rPr>
          <w:rFonts w:eastAsia="Calibri"/>
          <w:szCs w:val="28"/>
        </w:rPr>
        <w:t>требований Правил № 1562 определены значения величин</w:t>
      </w:r>
      <w:r w:rsidRPr="003D3E08">
        <w:rPr>
          <w:rFonts w:eastAsia="Times New Roman"/>
          <w:szCs w:val="28"/>
        </w:rPr>
        <w:t xml:space="preserve"> </w:t>
      </w:r>
      <w:r w:rsidRPr="003D3E08">
        <w:rPr>
          <w:szCs w:val="28"/>
        </w:rPr>
        <w:t xml:space="preserve">индикативных предельных уровней цен </w:t>
      </w:r>
      <w:r w:rsidRPr="003D3E08">
        <w:rPr>
          <w:rFonts w:eastAsia="Times New Roman"/>
          <w:szCs w:val="28"/>
        </w:rPr>
        <w:t xml:space="preserve">на тепловую энергию (мощность) </w:t>
      </w:r>
      <w:r w:rsidRPr="003D3E08">
        <w:rPr>
          <w:rFonts w:eastAsia="Times New Roman"/>
          <w:bCs/>
          <w:szCs w:val="28"/>
        </w:rPr>
        <w:t xml:space="preserve">в ценовой зоне теплоснабжения - </w:t>
      </w:r>
      <w:r w:rsidRPr="003D3E08">
        <w:rPr>
          <w:rFonts w:eastAsia="Times New Roman"/>
          <w:szCs w:val="28"/>
        </w:rPr>
        <w:t xml:space="preserve">город Куйбышев на 2025 год для систем теплоснабжения, указанных в Схеме теплоснабжения г. Куйбышева </w:t>
      </w:r>
      <w:r w:rsidRPr="003D3E08">
        <w:rPr>
          <w:szCs w:val="28"/>
        </w:rPr>
        <w:t xml:space="preserve">и утверждены на 2025 год </w:t>
      </w:r>
      <w:r w:rsidRPr="003D3E08">
        <w:rPr>
          <w:rFonts w:eastAsia="Times New Roman"/>
          <w:szCs w:val="28"/>
        </w:rPr>
        <w:t>приказом департамента от 12.11.2024 № 279-ТЭ</w:t>
      </w:r>
      <w:r w:rsidRPr="003D3E08">
        <w:rPr>
          <w:rFonts w:eastAsia="Calibri"/>
          <w:szCs w:val="28"/>
        </w:rPr>
        <w:t>.</w:t>
      </w:r>
    </w:p>
    <w:p w:rsidR="00253348" w:rsidRPr="003D3E08" w:rsidRDefault="00253348" w:rsidP="00253348">
      <w:pPr>
        <w:autoSpaceDE w:val="0"/>
        <w:autoSpaceDN w:val="0"/>
        <w:adjustRightInd w:val="0"/>
        <w:spacing w:after="0" w:line="240" w:lineRule="auto"/>
        <w:ind w:firstLine="709"/>
        <w:jc w:val="both"/>
        <w:rPr>
          <w:rFonts w:eastAsia="Times New Roman"/>
          <w:szCs w:val="28"/>
        </w:rPr>
      </w:pPr>
      <w:r w:rsidRPr="003D3E08">
        <w:rPr>
          <w:rFonts w:eastAsia="Times New Roman"/>
          <w:szCs w:val="28"/>
        </w:rPr>
        <w:t>На основании приказа департамента от 12.11.2024 № 279-ТЭ с учетом Графика  № 221, руководствуясь пунктами 58, 61 Правил № 1562,</w:t>
      </w:r>
      <w:r w:rsidRPr="003D3E08">
        <w:rPr>
          <w:rFonts w:eastAsia="Times New Roman"/>
          <w:bCs/>
          <w:szCs w:val="28"/>
        </w:rPr>
        <w:t xml:space="preserve"> приказом департамента от 12.11.2024 № 280-ТЭ/НПА</w:t>
      </w:r>
      <w:r w:rsidRPr="003D3E08">
        <w:rPr>
          <w:rFonts w:eastAsia="Times New Roman"/>
          <w:szCs w:val="28"/>
        </w:rPr>
        <w:t xml:space="preserve"> </w:t>
      </w:r>
      <w:r w:rsidRPr="003D3E08">
        <w:rPr>
          <w:rFonts w:eastAsia="Calibri"/>
          <w:szCs w:val="28"/>
        </w:rPr>
        <w:t xml:space="preserve">утверждены значения </w:t>
      </w:r>
      <w:r w:rsidRPr="003D3E08">
        <w:rPr>
          <w:szCs w:val="28"/>
        </w:rPr>
        <w:t>предельных уровней цен на тепловую энергию (мощность) в ценовой зоне теплоснабжения -</w:t>
      </w:r>
      <w:r w:rsidRPr="003D3E08">
        <w:rPr>
          <w:rFonts w:eastAsia="Times New Roman"/>
          <w:szCs w:val="28"/>
        </w:rPr>
        <w:t xml:space="preserve"> город Куйбышев на 2025 год.</w:t>
      </w:r>
    </w:p>
    <w:p w:rsidR="00253348" w:rsidRPr="003D3E08" w:rsidRDefault="00253348" w:rsidP="00EE4F16">
      <w:pPr>
        <w:pStyle w:val="4"/>
      </w:pPr>
      <w:bookmarkStart w:id="49" w:name="_Toc162431918"/>
      <w:bookmarkStart w:id="50" w:name="_Toc193810545"/>
      <w:r w:rsidRPr="003D3E08">
        <w:rPr>
          <w:iCs/>
        </w:rPr>
        <w:t xml:space="preserve">2.2.1.3. </w:t>
      </w:r>
      <w:r w:rsidRPr="003D3E08">
        <w:t xml:space="preserve">Индикативные предельные уровни цены на тепловую энергию (мощность) и предельные уровни цены на тепловую энергию (мощность) </w:t>
      </w:r>
      <w:r w:rsidRPr="003D3E08">
        <w:rPr>
          <w:rFonts w:eastAsia="Times New Roman"/>
        </w:rPr>
        <w:t xml:space="preserve">в ценовой зоне теплоснабжения </w:t>
      </w:r>
      <w:r w:rsidRPr="003D3E08">
        <w:t>– муниципальное образование городской округ город Обь Новосибирской области на 2025 год</w:t>
      </w:r>
      <w:bookmarkEnd w:id="49"/>
      <w:bookmarkEnd w:id="50"/>
    </w:p>
    <w:p w:rsidR="00253348" w:rsidRPr="003D3E08" w:rsidRDefault="00253348" w:rsidP="00253348">
      <w:pPr>
        <w:autoSpaceDE w:val="0"/>
        <w:autoSpaceDN w:val="0"/>
        <w:adjustRightInd w:val="0"/>
        <w:spacing w:after="0" w:line="240" w:lineRule="auto"/>
        <w:ind w:firstLine="709"/>
        <w:jc w:val="both"/>
        <w:rPr>
          <w:szCs w:val="28"/>
        </w:rPr>
      </w:pPr>
      <w:r w:rsidRPr="003D3E08">
        <w:rPr>
          <w:szCs w:val="28"/>
        </w:rPr>
        <w:t xml:space="preserve">В соответствии со схемой теплоснабжения </w:t>
      </w:r>
      <w:r w:rsidRPr="003D3E08">
        <w:rPr>
          <w:rFonts w:eastAsia="Times New Roman"/>
          <w:szCs w:val="28"/>
        </w:rPr>
        <w:t>города Оби Новосибирской области на период до 2031 года по состоянию на 2025 год (далее – Схема теплоснабжения города Оби)</w:t>
      </w:r>
      <w:r w:rsidRPr="003D3E08">
        <w:rPr>
          <w:szCs w:val="28"/>
        </w:rPr>
        <w:t xml:space="preserve">, </w:t>
      </w:r>
      <w:r w:rsidRPr="003D3E08">
        <w:rPr>
          <w:rFonts w:eastAsia="Times New Roman"/>
          <w:szCs w:val="28"/>
        </w:rPr>
        <w:t>утвержденной постановлением администрации города Оби Новосибирской области от 14.06.2024 № 782</w:t>
      </w:r>
      <w:r w:rsidRPr="003D3E08">
        <w:rPr>
          <w:szCs w:val="28"/>
        </w:rPr>
        <w:t>, на территории города Оби осуществляют деятельность по теплоснабжению 5 ЕТО, функционирует 10 систем теплоснабжения (из них 1 система теплоснабжения с преобладающим видом топлива – уголь; 9 систем теплоснабжения с преобладающим видом топлива – природный газ).</w:t>
      </w:r>
    </w:p>
    <w:p w:rsidR="00253348" w:rsidRPr="003D3E08" w:rsidRDefault="00253348" w:rsidP="00253348">
      <w:pPr>
        <w:autoSpaceDE w:val="0"/>
        <w:autoSpaceDN w:val="0"/>
        <w:adjustRightInd w:val="0"/>
        <w:spacing w:after="0" w:line="240" w:lineRule="auto"/>
        <w:ind w:firstLine="709"/>
        <w:jc w:val="both"/>
        <w:rPr>
          <w:rFonts w:eastAsia="Times New Roman"/>
          <w:szCs w:val="28"/>
        </w:rPr>
      </w:pPr>
      <w:r w:rsidRPr="003D3E08">
        <w:rPr>
          <w:rFonts w:eastAsia="Times New Roman"/>
          <w:szCs w:val="28"/>
        </w:rPr>
        <w:t xml:space="preserve">Постановлением Губернатора Новосибирской области от 11.08.2023 № 164 утвержден График поэтапного равномерного доведения предельных уровней цен на тепловую энергию (мощность), поставляемую потребителям в ценовой зоне теплоснабжения - муниципальное образование городской округ город Обь Новосибирской области,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w:t>
      </w:r>
      <w:r w:rsidRPr="003D3E08">
        <w:rPr>
          <w:rFonts w:eastAsia="Times New Roman"/>
          <w:szCs w:val="28"/>
        </w:rPr>
        <w:lastRenderedPageBreak/>
        <w:t>(мощность), утвержденными Постановлением № 1562, на 2023-2027 годы (далее – График № 164).</w:t>
      </w:r>
    </w:p>
    <w:p w:rsidR="00253348" w:rsidRPr="003D3E08" w:rsidRDefault="00253348" w:rsidP="00253348">
      <w:pPr>
        <w:spacing w:after="0" w:line="240" w:lineRule="auto"/>
        <w:ind w:firstLine="709"/>
        <w:jc w:val="both"/>
        <w:rPr>
          <w:szCs w:val="28"/>
        </w:rPr>
      </w:pPr>
      <w:r w:rsidRPr="003D3E08">
        <w:rPr>
          <w:rFonts w:eastAsia="Times New Roman"/>
          <w:szCs w:val="28"/>
        </w:rPr>
        <w:t xml:space="preserve">Во исполнение требований Федерального закона № 190-ФЗ и </w:t>
      </w:r>
      <w:r w:rsidRPr="003D3E08">
        <w:rPr>
          <w:rFonts w:eastAsia="Calibri"/>
          <w:szCs w:val="28"/>
        </w:rPr>
        <w:t>требований Правил № 1562 определены значения величин</w:t>
      </w:r>
      <w:r w:rsidRPr="003D3E08">
        <w:rPr>
          <w:rFonts w:eastAsia="Times New Roman"/>
          <w:szCs w:val="28"/>
        </w:rPr>
        <w:t xml:space="preserve"> </w:t>
      </w:r>
      <w:r w:rsidRPr="003D3E08">
        <w:rPr>
          <w:szCs w:val="28"/>
        </w:rPr>
        <w:t xml:space="preserve">индикативных предельных уровней цен </w:t>
      </w:r>
      <w:r w:rsidRPr="003D3E08">
        <w:rPr>
          <w:rFonts w:eastAsia="Times New Roman"/>
          <w:szCs w:val="28"/>
        </w:rPr>
        <w:t xml:space="preserve">на тепловую энергию (мощность) </w:t>
      </w:r>
      <w:r w:rsidRPr="003D3E08">
        <w:rPr>
          <w:rFonts w:eastAsia="Times New Roman"/>
          <w:bCs/>
          <w:szCs w:val="28"/>
        </w:rPr>
        <w:t xml:space="preserve">в ценовой зоне теплоснабжения </w:t>
      </w:r>
      <w:r w:rsidRPr="003D3E08">
        <w:rPr>
          <w:rFonts w:eastAsia="Times New Roman"/>
          <w:szCs w:val="28"/>
        </w:rPr>
        <w:t xml:space="preserve">город Обь год для систем теплоснабжения, определенных в Схеме теплоснабжения города Оби, </w:t>
      </w:r>
      <w:r w:rsidRPr="003D3E08">
        <w:rPr>
          <w:szCs w:val="28"/>
        </w:rPr>
        <w:t xml:space="preserve">и утверждены на 2025 год </w:t>
      </w:r>
      <w:r w:rsidRPr="003D3E08">
        <w:rPr>
          <w:rFonts w:eastAsia="Times New Roman"/>
          <w:szCs w:val="28"/>
        </w:rPr>
        <w:t>приказом департамента от 12.11.2024 № 283-ТЭ</w:t>
      </w:r>
      <w:r w:rsidRPr="003D3E08">
        <w:rPr>
          <w:rFonts w:eastAsia="Calibri"/>
          <w:szCs w:val="28"/>
        </w:rPr>
        <w:t>.</w:t>
      </w:r>
    </w:p>
    <w:p w:rsidR="00253348" w:rsidRPr="003D3E08" w:rsidRDefault="00253348" w:rsidP="00253348">
      <w:pPr>
        <w:autoSpaceDE w:val="0"/>
        <w:autoSpaceDN w:val="0"/>
        <w:adjustRightInd w:val="0"/>
        <w:spacing w:after="0" w:line="240" w:lineRule="auto"/>
        <w:ind w:firstLine="709"/>
        <w:jc w:val="both"/>
        <w:rPr>
          <w:rFonts w:eastAsia="Times New Roman"/>
          <w:szCs w:val="28"/>
        </w:rPr>
      </w:pPr>
      <w:r w:rsidRPr="003D3E08">
        <w:rPr>
          <w:rFonts w:eastAsia="Times New Roman"/>
          <w:szCs w:val="28"/>
        </w:rPr>
        <w:t>На основании приказа департамента от 12.11.2024 № 283-ТЭ с учетом Графика № 164, руководствуясь пунктами 58, 61 Правил № 1562,</w:t>
      </w:r>
      <w:r w:rsidRPr="003D3E08">
        <w:rPr>
          <w:rFonts w:eastAsia="Times New Roman"/>
          <w:bCs/>
          <w:szCs w:val="28"/>
        </w:rPr>
        <w:t xml:space="preserve"> приказом департамента от 12.11.2024 № 284-ТЭ/НПА</w:t>
      </w:r>
      <w:r w:rsidRPr="003D3E08">
        <w:rPr>
          <w:rFonts w:eastAsia="Times New Roman"/>
          <w:szCs w:val="28"/>
        </w:rPr>
        <w:t xml:space="preserve"> на 2025 год </w:t>
      </w:r>
      <w:r w:rsidRPr="003D3E08">
        <w:rPr>
          <w:rFonts w:eastAsia="Calibri"/>
          <w:szCs w:val="28"/>
        </w:rPr>
        <w:t xml:space="preserve">утверждены значения </w:t>
      </w:r>
      <w:r w:rsidRPr="003D3E08">
        <w:rPr>
          <w:szCs w:val="28"/>
        </w:rPr>
        <w:t>предельных уровней цен на тепловую энергию (мощность) в ценовой зоне теплоснабжения -</w:t>
      </w:r>
      <w:r w:rsidRPr="003D3E08">
        <w:rPr>
          <w:rFonts w:eastAsia="Times New Roman"/>
          <w:szCs w:val="28"/>
        </w:rPr>
        <w:t xml:space="preserve"> город Обь.</w:t>
      </w:r>
    </w:p>
    <w:p w:rsidR="00253348" w:rsidRPr="00341C99" w:rsidRDefault="00253348" w:rsidP="00341C99">
      <w:pPr>
        <w:pStyle w:val="4"/>
        <w:rPr>
          <w:rStyle w:val="40"/>
          <w:b/>
          <w:bCs/>
        </w:rPr>
      </w:pPr>
      <w:bookmarkStart w:id="51" w:name="_Toc162431919"/>
      <w:bookmarkStart w:id="52" w:name="_Toc193810546"/>
      <w:r w:rsidRPr="00341C99">
        <w:t>2</w:t>
      </w:r>
      <w:r w:rsidRPr="00341C99">
        <w:rPr>
          <w:rStyle w:val="40"/>
          <w:b/>
          <w:bCs/>
        </w:rPr>
        <w:t>.2.1.4. Индикативные предельные уровни цены на тепловую энергию (мощность) и предельные уровни цены на тепловую энергию (мощность) в ценовой зоне теплоснабжения – рабочий поселок Линево Искитимского района Новосибирской области на 2025 год</w:t>
      </w:r>
      <w:bookmarkStart w:id="53" w:name="_Toc162431920"/>
      <w:bookmarkEnd w:id="51"/>
      <w:bookmarkEnd w:id="52"/>
    </w:p>
    <w:p w:rsidR="00253348" w:rsidRPr="003D3E08" w:rsidRDefault="00253348" w:rsidP="00253348">
      <w:pPr>
        <w:keepNext/>
        <w:spacing w:after="0" w:line="240" w:lineRule="auto"/>
        <w:ind w:firstLine="709"/>
        <w:jc w:val="both"/>
        <w:outlineLvl w:val="3"/>
        <w:rPr>
          <w:rFonts w:eastAsia="Calibri"/>
          <w:b/>
          <w:bCs/>
          <w:szCs w:val="28"/>
        </w:rPr>
      </w:pPr>
      <w:r w:rsidRPr="003D3E08">
        <w:rPr>
          <w:rFonts w:eastAsia="Times New Roman"/>
          <w:szCs w:val="28"/>
        </w:rPr>
        <w:t xml:space="preserve">На территории ценовой зоны теплоснабжения рабочий поселок Линево в соответствии с актуализированной на 2024 год Схемой теплоснабжения рабочего поселка Линево Искитимского района Новосибирской области, утвержденной постановлением администрации рабочего поселка Линево Искитимского района Новосибирской области от 28.06.2024 № 188,  расположена 1 система теплоснабжения, в которых осуществляет деятельность 1 ЕТО. </w:t>
      </w:r>
    </w:p>
    <w:p w:rsidR="00253348" w:rsidRPr="003D3E08" w:rsidRDefault="00253348" w:rsidP="00253348">
      <w:pPr>
        <w:keepNext/>
        <w:spacing w:after="0" w:line="240" w:lineRule="auto"/>
        <w:ind w:firstLine="709"/>
        <w:jc w:val="both"/>
        <w:outlineLvl w:val="3"/>
        <w:rPr>
          <w:rFonts w:eastAsia="Times New Roman"/>
          <w:szCs w:val="28"/>
        </w:rPr>
      </w:pPr>
      <w:r w:rsidRPr="003D3E08">
        <w:rPr>
          <w:rFonts w:eastAsia="Times New Roman"/>
          <w:szCs w:val="28"/>
        </w:rPr>
        <w:t xml:space="preserve">Индикативные предельные уровни цен на тепловую энергию (мощность), поставляемую потребителям в ценовой зоне теплоснабжения р.п. Линево на 2025 год,  утверждены приказом департамента от 12.11.2024 № 285-ТЭ с учетом особенностей, предусмотренных Главой V Правил №1562. </w:t>
      </w:r>
    </w:p>
    <w:p w:rsidR="00253348" w:rsidRPr="003D3E08" w:rsidRDefault="00253348" w:rsidP="00253348">
      <w:pPr>
        <w:keepNext/>
        <w:spacing w:after="0" w:line="240" w:lineRule="auto"/>
        <w:ind w:firstLine="709"/>
        <w:jc w:val="both"/>
        <w:outlineLvl w:val="3"/>
        <w:rPr>
          <w:rFonts w:eastAsia="Times New Roman"/>
          <w:szCs w:val="28"/>
        </w:rPr>
      </w:pPr>
      <w:r w:rsidRPr="003D3E08">
        <w:rPr>
          <w:rFonts w:eastAsia="Times New Roman"/>
          <w:szCs w:val="28"/>
        </w:rPr>
        <w:t>Приказом департамента от 12.11.2024 № 286-ТЭ/НПА на 2025 год с учетом особенностей, предусмотренных Главой V Правил №1562, утверждены предельные уровни цен на тепловую энергию (мощность), поставляемую потребителям в ценовой зоне теплоснабжения р.п. Линево.</w:t>
      </w:r>
      <w:bookmarkEnd w:id="53"/>
    </w:p>
    <w:p w:rsidR="00253348" w:rsidRPr="002D7FA0" w:rsidRDefault="00253348" w:rsidP="00253348">
      <w:pPr>
        <w:pStyle w:val="af9"/>
        <w:ind w:firstLine="709"/>
        <w:jc w:val="both"/>
        <w:rPr>
          <w:rFonts w:ascii="Times New Roman" w:eastAsia="Times New Roman" w:hAnsi="Times New Roman"/>
          <w:b/>
          <w:sz w:val="28"/>
          <w:szCs w:val="28"/>
          <w:highlight w:val="yellow"/>
          <w:u w:val="single"/>
          <w:lang w:eastAsia="ru-RU"/>
        </w:rPr>
      </w:pPr>
    </w:p>
    <w:p w:rsidR="00253348" w:rsidRPr="00897257" w:rsidRDefault="00253348" w:rsidP="00341C99">
      <w:pPr>
        <w:pStyle w:val="4"/>
        <w:rPr>
          <w:sz w:val="26"/>
          <w:szCs w:val="26"/>
        </w:rPr>
      </w:pPr>
      <w:bookmarkStart w:id="54" w:name="_Toc193810547"/>
      <w:r w:rsidRPr="00897257">
        <w:t>2.2.2. Тарифы в сфере теплоснабжения (за исключением ценовых зон теплоснабжения на территории Новосибирской области)</w:t>
      </w:r>
      <w:bookmarkEnd w:id="54"/>
    </w:p>
    <w:p w:rsidR="00341C99" w:rsidRDefault="00253348" w:rsidP="00253348">
      <w:pPr>
        <w:spacing w:after="0" w:line="240" w:lineRule="auto"/>
        <w:ind w:firstLine="709"/>
        <w:jc w:val="both"/>
        <w:rPr>
          <w:rFonts w:eastAsia="Calibri"/>
          <w:szCs w:val="28"/>
        </w:rPr>
      </w:pPr>
      <w:r w:rsidRPr="00DE023B">
        <w:rPr>
          <w:rFonts w:eastAsia="Calibri"/>
          <w:szCs w:val="28"/>
        </w:rPr>
        <w:t xml:space="preserve">Тарифы на тепловую энергию на 2025 год в муниципальных образованиях Новосибирской области департаментом </w:t>
      </w:r>
      <w:r w:rsidR="00341C99" w:rsidRPr="00DE023B">
        <w:rPr>
          <w:rFonts w:eastAsia="Calibri"/>
          <w:szCs w:val="28"/>
        </w:rPr>
        <w:t xml:space="preserve">установлены </w:t>
      </w:r>
      <w:r w:rsidR="00FF7032">
        <w:rPr>
          <w:rFonts w:eastAsia="Calibri"/>
          <w:szCs w:val="28"/>
        </w:rPr>
        <w:t xml:space="preserve">до 20 декабря 2024 года </w:t>
      </w:r>
      <w:r w:rsidR="00341C99">
        <w:rPr>
          <w:rFonts w:eastAsia="Calibri"/>
          <w:szCs w:val="28"/>
        </w:rPr>
        <w:t xml:space="preserve">в  соответствии с </w:t>
      </w:r>
      <w:r w:rsidR="00FF7032">
        <w:rPr>
          <w:rFonts w:eastAsia="Calibri"/>
          <w:szCs w:val="28"/>
        </w:rPr>
        <w:t xml:space="preserve">действующим </w:t>
      </w:r>
      <w:r w:rsidR="00341C99">
        <w:rPr>
          <w:rFonts w:eastAsia="Calibri"/>
          <w:szCs w:val="28"/>
        </w:rPr>
        <w:t>законодательством в сфере государственн</w:t>
      </w:r>
      <w:r w:rsidR="00FF7032">
        <w:rPr>
          <w:rFonts w:eastAsia="Calibri"/>
          <w:szCs w:val="28"/>
        </w:rPr>
        <w:t>ого регулирования цен (тарифов)</w:t>
      </w:r>
      <w:r w:rsidR="00341C99">
        <w:rPr>
          <w:rFonts w:eastAsia="Calibri"/>
          <w:szCs w:val="28"/>
        </w:rPr>
        <w:t>.</w:t>
      </w:r>
    </w:p>
    <w:p w:rsidR="00253348" w:rsidRPr="002D7FA0" w:rsidRDefault="00253348" w:rsidP="00253348">
      <w:pPr>
        <w:spacing w:after="0" w:line="240" w:lineRule="auto"/>
        <w:ind w:firstLine="709"/>
        <w:jc w:val="both"/>
        <w:rPr>
          <w:rFonts w:eastAsia="Times New Roman"/>
          <w:sz w:val="24"/>
          <w:highlight w:val="yellow"/>
        </w:rPr>
      </w:pPr>
      <w:r w:rsidRPr="00275DCE">
        <w:rPr>
          <w:rFonts w:eastAsia="Times New Roman"/>
          <w:szCs w:val="28"/>
        </w:rPr>
        <w:t xml:space="preserve">При проведении корректировки необходимой валовой выручки теплоснабжающих организаций </w:t>
      </w:r>
      <w:r w:rsidRPr="00275DCE">
        <w:rPr>
          <w:iCs/>
          <w:szCs w:val="28"/>
        </w:rPr>
        <w:t xml:space="preserve">(ТСО) </w:t>
      </w:r>
      <w:r w:rsidRPr="00275DCE">
        <w:rPr>
          <w:rFonts w:eastAsia="Times New Roman"/>
          <w:szCs w:val="28"/>
        </w:rPr>
        <w:t xml:space="preserve">и тарифов на тепловую энергию на 2025 год департамент руководствовался основными параметрами Прогноза социально-экономического развития Российской Федерации на 2025 год и на </w:t>
      </w:r>
      <w:r w:rsidRPr="00275DCE">
        <w:rPr>
          <w:rFonts w:eastAsia="Times New Roman"/>
          <w:szCs w:val="28"/>
        </w:rPr>
        <w:lastRenderedPageBreak/>
        <w:t>плановый период 2026 и 202</w:t>
      </w:r>
      <w:r>
        <w:rPr>
          <w:rFonts w:eastAsia="Times New Roman"/>
          <w:szCs w:val="28"/>
        </w:rPr>
        <w:t>7</w:t>
      </w:r>
      <w:r w:rsidRPr="00275DCE">
        <w:rPr>
          <w:rFonts w:eastAsia="Times New Roman"/>
          <w:szCs w:val="28"/>
        </w:rPr>
        <w:t xml:space="preserve"> годов, одобренного на заседании Правительства Российской Федерации 24 сентября 2024 г. (протокол № 28)</w:t>
      </w:r>
      <w:r w:rsidR="00FF7032">
        <w:rPr>
          <w:rFonts w:eastAsia="Times New Roman"/>
          <w:szCs w:val="28"/>
        </w:rPr>
        <w:t>(далее – Прогноз СЭР РФ)</w:t>
      </w:r>
      <w:r w:rsidRPr="00275DCE">
        <w:rPr>
          <w:rFonts w:eastAsia="Times New Roman"/>
          <w:szCs w:val="28"/>
        </w:rPr>
        <w:t>, в следующих размерах:</w:t>
      </w:r>
    </w:p>
    <w:p w:rsidR="00253348" w:rsidRPr="002D7FA0" w:rsidRDefault="00253348" w:rsidP="00253348">
      <w:pPr>
        <w:spacing w:after="0" w:line="240" w:lineRule="auto"/>
        <w:ind w:firstLine="709"/>
        <w:jc w:val="both"/>
        <w:rPr>
          <w:rFonts w:eastAsia="Times New Roman"/>
          <w:color w:val="FF0000"/>
          <w:sz w:val="16"/>
          <w:szCs w:val="16"/>
          <w:highlight w:val="yellow"/>
        </w:rPr>
      </w:pPr>
    </w:p>
    <w:tbl>
      <w:tblPr>
        <w:tblW w:w="926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839"/>
        <w:gridCol w:w="1173"/>
        <w:gridCol w:w="1433"/>
        <w:gridCol w:w="1433"/>
        <w:gridCol w:w="1695"/>
        <w:gridCol w:w="1694"/>
      </w:tblGrid>
      <w:tr w:rsidR="00253348" w:rsidRPr="002D7FA0" w:rsidTr="00FF7032">
        <w:trPr>
          <w:trHeight w:val="652"/>
        </w:trPr>
        <w:tc>
          <w:tcPr>
            <w:tcW w:w="1839"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after="0" w:line="240" w:lineRule="auto"/>
              <w:rPr>
                <w:rFonts w:eastAsia="Calibri"/>
              </w:rPr>
            </w:pPr>
            <w:r w:rsidRPr="00275DCE">
              <w:rPr>
                <w:rFonts w:eastAsia="Calibri"/>
              </w:rPr>
              <w:t>Индексы цен</w:t>
            </w:r>
          </w:p>
          <w:p w:rsidR="00253348" w:rsidRPr="00275DCE" w:rsidRDefault="00253348" w:rsidP="005A5E13">
            <w:pPr>
              <w:spacing w:after="0" w:line="240" w:lineRule="auto"/>
              <w:rPr>
                <w:rFonts w:eastAsia="Calibri"/>
              </w:rPr>
            </w:pPr>
            <w:r w:rsidRPr="00275DCE">
              <w:rPr>
                <w:rFonts w:eastAsia="Calibri"/>
              </w:rPr>
              <w:t>по Прогнозу</w:t>
            </w:r>
            <w:r w:rsidR="00FF7032">
              <w:rPr>
                <w:rFonts w:eastAsia="Calibri"/>
              </w:rPr>
              <w:t xml:space="preserve"> СЭР РФ</w:t>
            </w:r>
            <w:r w:rsidRPr="00275DCE">
              <w:rPr>
                <w:rFonts w:eastAsia="Calibri"/>
              </w:rPr>
              <w:t>, %</w:t>
            </w:r>
          </w:p>
        </w:tc>
        <w:tc>
          <w:tcPr>
            <w:tcW w:w="1173"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after="0" w:line="240" w:lineRule="auto"/>
              <w:rPr>
                <w:rFonts w:eastAsia="Calibri"/>
              </w:rPr>
            </w:pPr>
            <w:r w:rsidRPr="00275DCE">
              <w:rPr>
                <w:rFonts w:eastAsia="Calibri"/>
              </w:rPr>
              <w:t>ИПЦ</w:t>
            </w:r>
          </w:p>
        </w:tc>
        <w:tc>
          <w:tcPr>
            <w:tcW w:w="1433" w:type="dxa"/>
            <w:tcBorders>
              <w:top w:val="single" w:sz="4" w:space="0" w:color="auto"/>
              <w:left w:val="single" w:sz="4" w:space="0" w:color="auto"/>
              <w:bottom w:val="single" w:sz="4" w:space="0" w:color="auto"/>
              <w:right w:val="single" w:sz="4" w:space="0" w:color="auto"/>
            </w:tcBorders>
          </w:tcPr>
          <w:p w:rsidR="00253348" w:rsidRPr="00275DCE" w:rsidRDefault="00253348" w:rsidP="005A5E13">
            <w:pPr>
              <w:spacing w:before="120" w:after="0" w:line="240" w:lineRule="auto"/>
              <w:rPr>
                <w:rFonts w:eastAsia="Calibri"/>
                <w:lang w:eastAsia="ko-KR"/>
              </w:rPr>
            </w:pPr>
            <w:r w:rsidRPr="00275DCE">
              <w:rPr>
                <w:rFonts w:eastAsia="Calibri"/>
                <w:lang w:eastAsia="ko-KR"/>
              </w:rPr>
              <w:t>Природный газ (с 1 июля)</w:t>
            </w:r>
          </w:p>
        </w:tc>
        <w:tc>
          <w:tcPr>
            <w:tcW w:w="1433"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after="0" w:line="240" w:lineRule="auto"/>
              <w:rPr>
                <w:rFonts w:eastAsia="Calibri"/>
                <w:lang w:eastAsia="ko-KR"/>
              </w:rPr>
            </w:pPr>
            <w:r w:rsidRPr="00275DCE">
              <w:rPr>
                <w:rFonts w:eastAsia="Calibri"/>
                <w:lang w:eastAsia="ko-KR"/>
              </w:rPr>
              <w:t>Уголь</w:t>
            </w:r>
          </w:p>
        </w:tc>
        <w:tc>
          <w:tcPr>
            <w:tcW w:w="1695"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after="0" w:line="240" w:lineRule="auto"/>
              <w:rPr>
                <w:rFonts w:eastAsia="Calibri"/>
              </w:rPr>
            </w:pPr>
            <w:r w:rsidRPr="00275DCE">
              <w:rPr>
                <w:rFonts w:eastAsia="Calibri"/>
              </w:rPr>
              <w:t>Нефтепродукты</w:t>
            </w:r>
          </w:p>
        </w:tc>
        <w:tc>
          <w:tcPr>
            <w:tcW w:w="1694"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after="0" w:line="240" w:lineRule="auto"/>
              <w:rPr>
                <w:rFonts w:eastAsia="Calibri"/>
              </w:rPr>
            </w:pPr>
            <w:r w:rsidRPr="00275DCE">
              <w:rPr>
                <w:rFonts w:eastAsia="Calibri"/>
              </w:rPr>
              <w:t>Электроэнергия</w:t>
            </w:r>
          </w:p>
        </w:tc>
      </w:tr>
      <w:tr w:rsidR="00253348" w:rsidRPr="002D7FA0" w:rsidTr="00FF7032">
        <w:trPr>
          <w:trHeight w:val="446"/>
        </w:trPr>
        <w:tc>
          <w:tcPr>
            <w:tcW w:w="1839" w:type="dxa"/>
            <w:tcBorders>
              <w:top w:val="single" w:sz="4" w:space="0" w:color="auto"/>
              <w:left w:val="single" w:sz="4" w:space="0" w:color="auto"/>
              <w:bottom w:val="single" w:sz="4" w:space="0" w:color="auto"/>
              <w:right w:val="single" w:sz="4" w:space="0" w:color="auto"/>
            </w:tcBorders>
            <w:noWrap/>
            <w:vAlign w:val="center"/>
            <w:hideMark/>
          </w:tcPr>
          <w:p w:rsidR="00253348" w:rsidRPr="00275DCE" w:rsidRDefault="00253348" w:rsidP="005A5E13">
            <w:pPr>
              <w:spacing w:line="240" w:lineRule="auto"/>
              <w:jc w:val="both"/>
              <w:rPr>
                <w:rFonts w:eastAsia="Times New Roman"/>
                <w:b/>
              </w:rPr>
            </w:pPr>
            <w:r w:rsidRPr="00275DCE">
              <w:rPr>
                <w:rFonts w:eastAsia="Times New Roman"/>
                <w:b/>
              </w:rPr>
              <w:t>2025 год</w:t>
            </w:r>
          </w:p>
        </w:tc>
        <w:tc>
          <w:tcPr>
            <w:tcW w:w="1173" w:type="dxa"/>
            <w:tcBorders>
              <w:top w:val="single" w:sz="4" w:space="0" w:color="auto"/>
              <w:left w:val="single" w:sz="4" w:space="0" w:color="auto"/>
              <w:bottom w:val="single" w:sz="4" w:space="0" w:color="auto"/>
              <w:right w:val="single" w:sz="4" w:space="0" w:color="auto"/>
            </w:tcBorders>
            <w:noWrap/>
            <w:vAlign w:val="center"/>
            <w:hideMark/>
          </w:tcPr>
          <w:p w:rsidR="00253348" w:rsidRPr="002D7FA0" w:rsidRDefault="00253348" w:rsidP="005A5E13">
            <w:pPr>
              <w:spacing w:line="240" w:lineRule="auto"/>
              <w:rPr>
                <w:rFonts w:eastAsia="Times New Roman"/>
                <w:b/>
                <w:highlight w:val="yellow"/>
              </w:rPr>
            </w:pPr>
            <w:r w:rsidRPr="00275DCE">
              <w:rPr>
                <w:rFonts w:eastAsia="Times New Roman"/>
                <w:b/>
              </w:rPr>
              <w:t>105,8</w:t>
            </w:r>
          </w:p>
        </w:tc>
        <w:tc>
          <w:tcPr>
            <w:tcW w:w="1433" w:type="dxa"/>
            <w:tcBorders>
              <w:top w:val="single" w:sz="4" w:space="0" w:color="auto"/>
              <w:left w:val="single" w:sz="4" w:space="0" w:color="auto"/>
              <w:bottom w:val="single" w:sz="4" w:space="0" w:color="auto"/>
              <w:right w:val="single" w:sz="4" w:space="0" w:color="auto"/>
            </w:tcBorders>
          </w:tcPr>
          <w:p w:rsidR="00253348" w:rsidRPr="00275DCE" w:rsidRDefault="00253348" w:rsidP="005A5E13">
            <w:pPr>
              <w:spacing w:before="120" w:after="0" w:line="240" w:lineRule="auto"/>
              <w:rPr>
                <w:rFonts w:eastAsia="Times New Roman"/>
                <w:b/>
              </w:rPr>
            </w:pPr>
            <w:r w:rsidRPr="00275DCE">
              <w:rPr>
                <w:rFonts w:eastAsia="Times New Roman"/>
                <w:b/>
              </w:rPr>
              <w:t>121,3</w:t>
            </w:r>
          </w:p>
        </w:tc>
        <w:tc>
          <w:tcPr>
            <w:tcW w:w="1433"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line="240" w:lineRule="auto"/>
              <w:rPr>
                <w:rFonts w:eastAsia="Times New Roman"/>
                <w:b/>
                <w:lang w:eastAsia="ko-KR"/>
              </w:rPr>
            </w:pPr>
            <w:r w:rsidRPr="00275DCE">
              <w:rPr>
                <w:rFonts w:eastAsia="Times New Roman"/>
                <w:b/>
              </w:rPr>
              <w:t>104,0</w:t>
            </w:r>
          </w:p>
        </w:tc>
        <w:tc>
          <w:tcPr>
            <w:tcW w:w="1695" w:type="dxa"/>
            <w:tcBorders>
              <w:top w:val="single" w:sz="4" w:space="0" w:color="auto"/>
              <w:left w:val="single" w:sz="4" w:space="0" w:color="auto"/>
              <w:bottom w:val="single" w:sz="4" w:space="0" w:color="auto"/>
              <w:right w:val="single" w:sz="4" w:space="0" w:color="auto"/>
            </w:tcBorders>
            <w:vAlign w:val="center"/>
            <w:hideMark/>
          </w:tcPr>
          <w:p w:rsidR="00253348" w:rsidRPr="00275DCE" w:rsidRDefault="00253348" w:rsidP="005A5E13">
            <w:pPr>
              <w:spacing w:line="240" w:lineRule="auto"/>
              <w:ind w:firstLine="34"/>
              <w:rPr>
                <w:rFonts w:eastAsia="Times New Roman"/>
                <w:b/>
              </w:rPr>
            </w:pPr>
            <w:r w:rsidRPr="00275DCE">
              <w:rPr>
                <w:rFonts w:eastAsia="Times New Roman"/>
                <w:b/>
              </w:rPr>
              <w:t>106,0</w:t>
            </w:r>
          </w:p>
        </w:tc>
        <w:tc>
          <w:tcPr>
            <w:tcW w:w="1694" w:type="dxa"/>
            <w:tcBorders>
              <w:top w:val="single" w:sz="4" w:space="0" w:color="auto"/>
              <w:left w:val="single" w:sz="4" w:space="0" w:color="auto"/>
              <w:bottom w:val="single" w:sz="4" w:space="0" w:color="auto"/>
              <w:right w:val="single" w:sz="4" w:space="0" w:color="auto"/>
            </w:tcBorders>
            <w:noWrap/>
            <w:vAlign w:val="center"/>
            <w:hideMark/>
          </w:tcPr>
          <w:p w:rsidR="00253348" w:rsidRPr="00275DCE" w:rsidRDefault="00253348" w:rsidP="005A5E13">
            <w:pPr>
              <w:spacing w:line="240" w:lineRule="auto"/>
              <w:ind w:firstLine="34"/>
              <w:rPr>
                <w:rFonts w:eastAsia="Times New Roman"/>
                <w:b/>
              </w:rPr>
            </w:pPr>
            <w:r w:rsidRPr="00275DCE">
              <w:rPr>
                <w:rFonts w:eastAsia="Times New Roman"/>
                <w:b/>
              </w:rPr>
              <w:t>109,8</w:t>
            </w:r>
          </w:p>
        </w:tc>
      </w:tr>
    </w:tbl>
    <w:p w:rsidR="00253348" w:rsidRPr="00F93EF0" w:rsidRDefault="00253348" w:rsidP="00253348">
      <w:pPr>
        <w:adjustRightInd w:val="0"/>
        <w:spacing w:after="0" w:line="240" w:lineRule="auto"/>
        <w:ind w:firstLine="709"/>
        <w:jc w:val="both"/>
        <w:rPr>
          <w:iCs/>
          <w:szCs w:val="28"/>
        </w:rPr>
      </w:pPr>
      <w:r w:rsidRPr="00DA11AB">
        <w:rPr>
          <w:iCs/>
          <w:szCs w:val="28"/>
        </w:rPr>
        <w:t xml:space="preserve">Оптовые цены на природный газ (1-ое полугодие 2025 года), размер платы за снабженческо-сбытовые услуги и тарифы на услуги по транспортировке газа по газораспределительным сетям на 2025 год учтены в </w:t>
      </w:r>
      <w:r w:rsidRPr="00F93EF0">
        <w:rPr>
          <w:iCs/>
          <w:szCs w:val="28"/>
        </w:rPr>
        <w:t>соответствии с приказами ФАС России.</w:t>
      </w:r>
    </w:p>
    <w:p w:rsidR="00253348" w:rsidRPr="00F93EF0" w:rsidRDefault="00253348" w:rsidP="00253348">
      <w:pPr>
        <w:adjustRightInd w:val="0"/>
        <w:spacing w:after="0" w:line="240" w:lineRule="auto"/>
        <w:ind w:firstLine="709"/>
        <w:jc w:val="both"/>
        <w:rPr>
          <w:rFonts w:eastAsia="Times New Roman"/>
          <w:szCs w:val="28"/>
        </w:rPr>
      </w:pPr>
      <w:r w:rsidRPr="00F93EF0">
        <w:rPr>
          <w:iCs/>
          <w:szCs w:val="28"/>
        </w:rPr>
        <w:t>В 2024 году государственное регулирование тарифов на тепловую энергию, теплоноситель, горячую воду</w:t>
      </w:r>
      <w:r>
        <w:rPr>
          <w:iCs/>
          <w:szCs w:val="28"/>
        </w:rPr>
        <w:t xml:space="preserve"> (в открытой системе теплоснабжения)</w:t>
      </w:r>
      <w:r w:rsidRPr="00F93EF0">
        <w:rPr>
          <w:iCs/>
          <w:szCs w:val="28"/>
        </w:rPr>
        <w:t xml:space="preserve"> и на услуги по передаче тепловой энергии осуществлялось в отношении </w:t>
      </w:r>
      <w:r w:rsidRPr="00D729CE">
        <w:rPr>
          <w:b/>
          <w:iCs/>
          <w:szCs w:val="28"/>
        </w:rPr>
        <w:t>173</w:t>
      </w:r>
      <w:r w:rsidRPr="00F93EF0">
        <w:rPr>
          <w:b/>
          <w:iCs/>
          <w:szCs w:val="28"/>
        </w:rPr>
        <w:t xml:space="preserve"> </w:t>
      </w:r>
      <w:r w:rsidRPr="00F93EF0">
        <w:rPr>
          <w:iCs/>
          <w:szCs w:val="28"/>
        </w:rPr>
        <w:t xml:space="preserve">теплоснабжающих организаций </w:t>
      </w:r>
      <w:r w:rsidRPr="00F93EF0">
        <w:rPr>
          <w:rFonts w:eastAsia="Times New Roman"/>
          <w:szCs w:val="28"/>
        </w:rPr>
        <w:t>(за исключением организаций, осуществляющих деятельность в ценовых зонах теплоснабжения Новосибирской области)</w:t>
      </w:r>
      <w:r>
        <w:rPr>
          <w:rFonts w:eastAsia="Times New Roman"/>
          <w:szCs w:val="28"/>
        </w:rPr>
        <w:t>. Р</w:t>
      </w:r>
      <w:r w:rsidRPr="005B106E">
        <w:rPr>
          <w:rFonts w:eastAsia="Times New Roman"/>
          <w:szCs w:val="28"/>
        </w:rPr>
        <w:t>егулируем</w:t>
      </w:r>
      <w:r>
        <w:rPr>
          <w:rFonts w:eastAsia="Times New Roman"/>
          <w:szCs w:val="28"/>
        </w:rPr>
        <w:t>ая</w:t>
      </w:r>
      <w:r w:rsidRPr="005B106E">
        <w:rPr>
          <w:rFonts w:eastAsia="Times New Roman"/>
          <w:szCs w:val="28"/>
        </w:rPr>
        <w:t xml:space="preserve"> деятельность </w:t>
      </w:r>
      <w:r>
        <w:rPr>
          <w:rFonts w:eastAsia="Times New Roman"/>
          <w:szCs w:val="28"/>
        </w:rPr>
        <w:t xml:space="preserve">организаций </w:t>
      </w:r>
      <w:r w:rsidRPr="005B106E">
        <w:rPr>
          <w:rFonts w:eastAsia="Times New Roman"/>
          <w:szCs w:val="28"/>
        </w:rPr>
        <w:t xml:space="preserve">по производству тепловой энергии </w:t>
      </w:r>
      <w:r>
        <w:rPr>
          <w:rFonts w:eastAsia="Times New Roman"/>
          <w:szCs w:val="28"/>
        </w:rPr>
        <w:t xml:space="preserve">на территории Новосибирской области осуществляется </w:t>
      </w:r>
      <w:r w:rsidRPr="005B106E">
        <w:rPr>
          <w:rFonts w:eastAsia="Times New Roman"/>
          <w:szCs w:val="28"/>
        </w:rPr>
        <w:t xml:space="preserve">на </w:t>
      </w:r>
      <w:r w:rsidRPr="00AC5852">
        <w:rPr>
          <w:rFonts w:eastAsia="Times New Roman"/>
          <w:b/>
          <w:szCs w:val="28"/>
        </w:rPr>
        <w:t>716</w:t>
      </w:r>
      <w:r w:rsidRPr="005B106E">
        <w:rPr>
          <w:rFonts w:eastAsia="Times New Roman"/>
          <w:szCs w:val="28"/>
        </w:rPr>
        <w:t xml:space="preserve"> котельных</w:t>
      </w:r>
      <w:r>
        <w:rPr>
          <w:rFonts w:eastAsia="Times New Roman"/>
          <w:szCs w:val="28"/>
        </w:rPr>
        <w:t xml:space="preserve"> (</w:t>
      </w:r>
      <w:r w:rsidRPr="00861DC7">
        <w:rPr>
          <w:rFonts w:eastAsia="Times New Roman"/>
          <w:szCs w:val="28"/>
        </w:rPr>
        <w:t>за исключением организаций, осуществляющих деятельность в ценовых зонах теплоснабжения Новосибирской области</w:t>
      </w:r>
      <w:r>
        <w:rPr>
          <w:rFonts w:eastAsia="Times New Roman"/>
          <w:szCs w:val="28"/>
        </w:rPr>
        <w:t>)</w:t>
      </w:r>
      <w:r w:rsidRPr="005B106E">
        <w:rPr>
          <w:rFonts w:eastAsia="Times New Roman"/>
          <w:szCs w:val="28"/>
        </w:rPr>
        <w:t>.</w:t>
      </w:r>
    </w:p>
    <w:p w:rsidR="00253348" w:rsidRPr="008D129A" w:rsidRDefault="00253348" w:rsidP="00253348">
      <w:pPr>
        <w:spacing w:after="0" w:line="240" w:lineRule="auto"/>
        <w:ind w:firstLine="709"/>
        <w:jc w:val="both"/>
        <w:rPr>
          <w:szCs w:val="28"/>
        </w:rPr>
      </w:pPr>
      <w:r w:rsidRPr="008D129A">
        <w:rPr>
          <w:szCs w:val="28"/>
        </w:rPr>
        <w:t>Для указанных организаций в течение 2024 года департаментом установлено 402 тарифа (9 тарифов на 2024 год, 393 тарифа на 2025 год), в том числе:</w:t>
      </w:r>
    </w:p>
    <w:p w:rsidR="00253348" w:rsidRPr="002152F9" w:rsidRDefault="00253348" w:rsidP="00253348">
      <w:pPr>
        <w:pStyle w:val="af9"/>
        <w:ind w:firstLine="709"/>
        <w:jc w:val="both"/>
        <w:rPr>
          <w:rFonts w:ascii="Times New Roman" w:hAnsi="Times New Roman"/>
          <w:sz w:val="28"/>
          <w:szCs w:val="28"/>
        </w:rPr>
      </w:pPr>
      <w:r w:rsidRPr="002152F9">
        <w:rPr>
          <w:rFonts w:ascii="Times New Roman" w:hAnsi="Times New Roman"/>
          <w:sz w:val="28"/>
          <w:szCs w:val="28"/>
        </w:rPr>
        <w:t>- 358 тарифов на тепловую энергию (мощность);</w:t>
      </w:r>
    </w:p>
    <w:p w:rsidR="00253348" w:rsidRPr="002152F9" w:rsidRDefault="00253348" w:rsidP="00253348">
      <w:pPr>
        <w:pStyle w:val="af9"/>
        <w:ind w:firstLine="709"/>
        <w:jc w:val="both"/>
        <w:rPr>
          <w:rFonts w:ascii="Times New Roman" w:hAnsi="Times New Roman"/>
          <w:sz w:val="28"/>
          <w:szCs w:val="28"/>
        </w:rPr>
      </w:pPr>
      <w:r w:rsidRPr="002152F9">
        <w:rPr>
          <w:rFonts w:ascii="Times New Roman" w:hAnsi="Times New Roman"/>
          <w:sz w:val="28"/>
          <w:szCs w:val="28"/>
        </w:rPr>
        <w:t>- 10 тарифов на услуги по передаче тепловой энергии;</w:t>
      </w:r>
    </w:p>
    <w:p w:rsidR="00253348" w:rsidRPr="002152F9" w:rsidRDefault="00253348" w:rsidP="00253348">
      <w:pPr>
        <w:pStyle w:val="af9"/>
        <w:ind w:firstLine="709"/>
        <w:jc w:val="both"/>
        <w:rPr>
          <w:rFonts w:ascii="Times New Roman" w:hAnsi="Times New Roman"/>
          <w:sz w:val="28"/>
          <w:szCs w:val="28"/>
        </w:rPr>
      </w:pPr>
      <w:r w:rsidRPr="002152F9">
        <w:rPr>
          <w:rFonts w:ascii="Times New Roman" w:hAnsi="Times New Roman"/>
          <w:sz w:val="28"/>
          <w:szCs w:val="28"/>
        </w:rPr>
        <w:t>- 9 тарифов на горячую воду в открытой системе теплоснабжения;</w:t>
      </w:r>
    </w:p>
    <w:p w:rsidR="00253348" w:rsidRPr="002152F9" w:rsidRDefault="00253348" w:rsidP="00253348">
      <w:pPr>
        <w:pStyle w:val="af9"/>
        <w:ind w:firstLine="709"/>
        <w:jc w:val="both"/>
        <w:rPr>
          <w:rFonts w:ascii="Times New Roman" w:hAnsi="Times New Roman"/>
          <w:sz w:val="28"/>
          <w:szCs w:val="28"/>
        </w:rPr>
      </w:pPr>
      <w:r w:rsidRPr="002152F9">
        <w:rPr>
          <w:rFonts w:ascii="Times New Roman" w:hAnsi="Times New Roman"/>
          <w:sz w:val="28"/>
          <w:szCs w:val="28"/>
        </w:rPr>
        <w:t>- 18 тарифов на теплоноситель в виде воды;</w:t>
      </w:r>
    </w:p>
    <w:p w:rsidR="00253348" w:rsidRPr="002152F9" w:rsidRDefault="00253348" w:rsidP="00253348">
      <w:pPr>
        <w:pStyle w:val="af9"/>
        <w:ind w:firstLine="709"/>
        <w:jc w:val="both"/>
        <w:rPr>
          <w:rFonts w:ascii="Times New Roman" w:hAnsi="Times New Roman"/>
          <w:sz w:val="28"/>
          <w:szCs w:val="28"/>
        </w:rPr>
      </w:pPr>
      <w:r w:rsidRPr="002152F9">
        <w:rPr>
          <w:rFonts w:ascii="Times New Roman" w:hAnsi="Times New Roman"/>
          <w:sz w:val="28"/>
          <w:szCs w:val="28"/>
        </w:rPr>
        <w:t>- 7 плат на услуги по поддержанию резервной мощности.</w:t>
      </w:r>
    </w:p>
    <w:p w:rsidR="00253348" w:rsidRPr="00113195" w:rsidRDefault="00253348" w:rsidP="00253348">
      <w:pPr>
        <w:spacing w:after="0" w:line="240" w:lineRule="auto"/>
        <w:ind w:firstLine="709"/>
        <w:jc w:val="both"/>
        <w:rPr>
          <w:rFonts w:eastAsia="Times New Roman"/>
          <w:szCs w:val="28"/>
          <w:highlight w:val="yellow"/>
        </w:rPr>
      </w:pPr>
      <w:r w:rsidRPr="00113195">
        <w:rPr>
          <w:rFonts w:eastAsia="Times New Roman"/>
          <w:szCs w:val="28"/>
        </w:rPr>
        <w:t>Всего из установленных на 2025 год 393 тарифов в сфере теплоснабжения установлено:</w:t>
      </w:r>
    </w:p>
    <w:p w:rsidR="00253348" w:rsidRPr="00113195" w:rsidRDefault="00253348" w:rsidP="00253348">
      <w:pPr>
        <w:spacing w:after="0" w:line="240" w:lineRule="auto"/>
        <w:ind w:firstLine="709"/>
        <w:jc w:val="both"/>
        <w:rPr>
          <w:rFonts w:eastAsia="Times New Roman"/>
          <w:szCs w:val="28"/>
        </w:rPr>
      </w:pPr>
      <w:r w:rsidRPr="00113195">
        <w:rPr>
          <w:rFonts w:eastAsia="Times New Roman"/>
          <w:szCs w:val="28"/>
        </w:rPr>
        <w:t>- со снижением (с 1 января 2025 года): 6 тарифов (из них: 3 тарифа на услуги по передаче тепловой энергии, 3 платы на услуги по поддержанию резервной мощности);</w:t>
      </w:r>
    </w:p>
    <w:p w:rsidR="00253348" w:rsidRPr="00113195" w:rsidRDefault="00253348" w:rsidP="00253348">
      <w:pPr>
        <w:spacing w:after="0" w:line="240" w:lineRule="auto"/>
        <w:ind w:firstLine="709"/>
        <w:jc w:val="both"/>
        <w:rPr>
          <w:rFonts w:eastAsia="Times New Roman"/>
          <w:szCs w:val="28"/>
        </w:rPr>
      </w:pPr>
      <w:r w:rsidRPr="00113195">
        <w:rPr>
          <w:rFonts w:eastAsia="Times New Roman"/>
          <w:szCs w:val="28"/>
        </w:rPr>
        <w:t>- с ростом (с 1 июля 2025 года относительно 2024 года): 387 тарифов (из них: 337 тарифов с ростом 111,9%, 29 тарифов с ростом ниже 111,9%, 21 тариф с ростом выше 111,9% (из которых 1 тариф на тепловую энергию (мощность) для ООО «Криводановская теплогенерирующая компания» (Криводановский сельсовет Новосибирского района, в составе потребителей присутствует население), 12 тарифов на тепловую энергию (мощность) для организаций, в составе потребителей которых отсутствует население, 4 тарифа на услуги по передаче тепловой энергии, 2 тарифа на теплоноситель в виде воды, 2 платы на услуги по поддержанию резервной мощности).</w:t>
      </w:r>
    </w:p>
    <w:p w:rsidR="00253348" w:rsidRPr="00113195" w:rsidRDefault="00253348" w:rsidP="00253348">
      <w:pPr>
        <w:spacing w:after="0" w:line="240" w:lineRule="auto"/>
        <w:ind w:firstLine="709"/>
        <w:jc w:val="both"/>
        <w:rPr>
          <w:rFonts w:eastAsia="Calibri"/>
          <w:szCs w:val="28"/>
        </w:rPr>
      </w:pPr>
      <w:r w:rsidRPr="00113195">
        <w:rPr>
          <w:rFonts w:eastAsia="Calibri"/>
          <w:szCs w:val="28"/>
        </w:rPr>
        <w:lastRenderedPageBreak/>
        <w:t>Основные причины роста тарифов в сфере теплоснабжения:</w:t>
      </w:r>
    </w:p>
    <w:p w:rsidR="00253348" w:rsidRPr="00A6049D" w:rsidRDefault="00253348" w:rsidP="00253348">
      <w:pPr>
        <w:spacing w:after="0" w:line="240" w:lineRule="auto"/>
        <w:ind w:firstLine="709"/>
        <w:jc w:val="both"/>
        <w:rPr>
          <w:rFonts w:eastAsia="Calibri"/>
          <w:szCs w:val="28"/>
        </w:rPr>
      </w:pPr>
      <w:r w:rsidRPr="00A6049D">
        <w:rPr>
          <w:rFonts w:eastAsia="Calibri"/>
          <w:szCs w:val="28"/>
        </w:rPr>
        <w:t>- увеличение цен (тарифов) на топливо, иные энергоресурсы, материалы;</w:t>
      </w:r>
    </w:p>
    <w:p w:rsidR="00253348" w:rsidRPr="00A6049D" w:rsidRDefault="00253348" w:rsidP="00253348">
      <w:pPr>
        <w:spacing w:after="0" w:line="240" w:lineRule="auto"/>
        <w:ind w:firstLine="709"/>
        <w:jc w:val="both"/>
        <w:rPr>
          <w:rFonts w:eastAsia="Calibri"/>
          <w:szCs w:val="28"/>
        </w:rPr>
      </w:pPr>
      <w:r w:rsidRPr="00A6049D">
        <w:rPr>
          <w:rFonts w:eastAsia="Calibri"/>
          <w:szCs w:val="28"/>
        </w:rPr>
        <w:t xml:space="preserve">- рост минимального размера оплаты труда (МРОТ) согласно </w:t>
      </w:r>
      <w:r w:rsidR="00FF7032">
        <w:rPr>
          <w:rFonts w:eastAsia="Calibri"/>
          <w:szCs w:val="28"/>
        </w:rPr>
        <w:t>Ф</w:t>
      </w:r>
      <w:r w:rsidRPr="00A6049D">
        <w:rPr>
          <w:rFonts w:eastAsia="Calibri"/>
          <w:szCs w:val="28"/>
        </w:rPr>
        <w:t>едеральному закону от 19.06.2000 № 82-ФЗ (в редакции от 29.10.2024 № 365-ФЗ);</w:t>
      </w:r>
    </w:p>
    <w:p w:rsidR="00253348" w:rsidRPr="00113195" w:rsidRDefault="00253348" w:rsidP="00253348">
      <w:pPr>
        <w:spacing w:after="0" w:line="240" w:lineRule="auto"/>
        <w:ind w:firstLine="709"/>
        <w:jc w:val="both"/>
        <w:rPr>
          <w:rFonts w:eastAsia="Calibri"/>
          <w:szCs w:val="28"/>
        </w:rPr>
      </w:pPr>
      <w:r w:rsidRPr="00A6049D">
        <w:rPr>
          <w:rFonts w:eastAsia="Calibri"/>
          <w:szCs w:val="28"/>
        </w:rPr>
        <w:t>- предусмотренная законодательством в сфере регулирования цен (тарифов) индексация операционных расходов ресурсоснабжающих организаций, тарифы для которых установлены на долгосрочный период регулирования, в том числе: рост величины МРОТ</w:t>
      </w:r>
      <w:r w:rsidRPr="00113195">
        <w:rPr>
          <w:rFonts w:eastAsia="Calibri"/>
          <w:szCs w:val="28"/>
        </w:rPr>
        <w:t>.</w:t>
      </w:r>
    </w:p>
    <w:p w:rsidR="00253348" w:rsidRPr="00A00341" w:rsidRDefault="00253348" w:rsidP="00253348">
      <w:pPr>
        <w:spacing w:after="0" w:line="240" w:lineRule="auto"/>
        <w:ind w:firstLine="709"/>
        <w:jc w:val="both"/>
        <w:rPr>
          <w:iCs/>
          <w:szCs w:val="28"/>
        </w:rPr>
      </w:pPr>
      <w:r w:rsidRPr="00A00341">
        <w:rPr>
          <w:iCs/>
          <w:szCs w:val="28"/>
        </w:rPr>
        <w:t>Средневзвешенные тарифы на тепловую энергию, производимую теплоснабжающими организациями Новосибирской области, на 2025 год составили:</w:t>
      </w:r>
    </w:p>
    <w:p w:rsidR="00253348" w:rsidRPr="002D7FA0" w:rsidRDefault="00253348" w:rsidP="00253348">
      <w:pPr>
        <w:spacing w:after="0" w:line="240" w:lineRule="auto"/>
        <w:ind w:firstLine="709"/>
        <w:jc w:val="both"/>
        <w:rPr>
          <w:iCs/>
          <w:sz w:val="16"/>
          <w:szCs w:val="16"/>
          <w:highlight w:val="yellow"/>
        </w:rPr>
      </w:pPr>
    </w:p>
    <w:tbl>
      <w:tblPr>
        <w:tblW w:w="9513" w:type="dxa"/>
        <w:tblInd w:w="93" w:type="dxa"/>
        <w:tblLayout w:type="fixed"/>
        <w:tblLook w:val="04A0" w:firstRow="1" w:lastRow="0" w:firstColumn="1" w:lastColumn="0" w:noHBand="0" w:noVBand="1"/>
      </w:tblPr>
      <w:tblGrid>
        <w:gridCol w:w="1716"/>
        <w:gridCol w:w="1201"/>
        <w:gridCol w:w="1209"/>
        <w:gridCol w:w="1418"/>
        <w:gridCol w:w="1417"/>
        <w:gridCol w:w="1276"/>
        <w:gridCol w:w="1276"/>
      </w:tblGrid>
      <w:tr w:rsidR="00253348" w:rsidRPr="002D7FA0" w:rsidTr="005A5E13">
        <w:trPr>
          <w:trHeight w:val="1260"/>
        </w:trPr>
        <w:tc>
          <w:tcPr>
            <w:tcW w:w="1716" w:type="dxa"/>
            <w:tcBorders>
              <w:top w:val="single" w:sz="4" w:space="0" w:color="auto"/>
              <w:left w:val="single" w:sz="4" w:space="0" w:color="auto"/>
              <w:bottom w:val="nil"/>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Период:</w:t>
            </w:r>
          </w:p>
          <w:p w:rsidR="00253348" w:rsidRPr="00FF7032" w:rsidRDefault="00253348" w:rsidP="005A5E13">
            <w:pPr>
              <w:spacing w:after="0" w:line="240" w:lineRule="auto"/>
              <w:rPr>
                <w:rFonts w:eastAsia="Times New Roman"/>
                <w:sz w:val="24"/>
              </w:rPr>
            </w:pPr>
          </w:p>
        </w:tc>
        <w:tc>
          <w:tcPr>
            <w:tcW w:w="2410" w:type="dxa"/>
            <w:gridSpan w:val="2"/>
            <w:tcBorders>
              <w:top w:val="single" w:sz="4" w:space="0" w:color="auto"/>
              <w:left w:val="nil"/>
              <w:bottom w:val="single" w:sz="4" w:space="0" w:color="auto"/>
              <w:right w:val="single" w:sz="4" w:space="0" w:color="000000"/>
            </w:tcBorders>
            <w:shd w:val="clear" w:color="auto" w:fill="auto"/>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Средневзвешенный тариф по группе «Бюджетные потребители», руб./Гкал</w:t>
            </w:r>
          </w:p>
        </w:tc>
        <w:tc>
          <w:tcPr>
            <w:tcW w:w="2835" w:type="dxa"/>
            <w:gridSpan w:val="2"/>
            <w:tcBorders>
              <w:top w:val="single" w:sz="4" w:space="0" w:color="auto"/>
              <w:left w:val="nil"/>
              <w:bottom w:val="single" w:sz="4" w:space="0" w:color="auto"/>
              <w:right w:val="single" w:sz="4" w:space="0" w:color="000000"/>
            </w:tcBorders>
            <w:shd w:val="clear" w:color="auto" w:fill="auto"/>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 xml:space="preserve">Средневзвешенный тариф по группе «Прочие», </w:t>
            </w:r>
          </w:p>
          <w:p w:rsidR="00253348" w:rsidRPr="00FF7032" w:rsidRDefault="00253348" w:rsidP="005A5E13">
            <w:pPr>
              <w:spacing w:after="0" w:line="240" w:lineRule="auto"/>
              <w:rPr>
                <w:rFonts w:eastAsia="Times New Roman"/>
                <w:sz w:val="24"/>
              </w:rPr>
            </w:pPr>
            <w:r w:rsidRPr="00FF7032">
              <w:rPr>
                <w:rFonts w:eastAsia="Times New Roman"/>
                <w:sz w:val="24"/>
              </w:rPr>
              <w:t>руб./Гкал</w:t>
            </w:r>
          </w:p>
        </w:tc>
        <w:tc>
          <w:tcPr>
            <w:tcW w:w="2552" w:type="dxa"/>
            <w:gridSpan w:val="2"/>
            <w:tcBorders>
              <w:top w:val="single" w:sz="4" w:space="0" w:color="auto"/>
              <w:left w:val="nil"/>
              <w:bottom w:val="single" w:sz="4" w:space="0" w:color="auto"/>
              <w:right w:val="single" w:sz="4" w:space="0" w:color="000000"/>
            </w:tcBorders>
            <w:shd w:val="clear" w:color="auto" w:fill="auto"/>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Средневзвешенный тариф по группе «Население»,</w:t>
            </w:r>
          </w:p>
          <w:p w:rsidR="00253348" w:rsidRPr="00FF7032" w:rsidRDefault="00253348" w:rsidP="005A5E13">
            <w:pPr>
              <w:spacing w:after="0" w:line="240" w:lineRule="auto"/>
              <w:rPr>
                <w:iCs/>
                <w:sz w:val="24"/>
              </w:rPr>
            </w:pPr>
            <w:r w:rsidRPr="00FF7032">
              <w:rPr>
                <w:rFonts w:eastAsia="Times New Roman"/>
                <w:sz w:val="24"/>
              </w:rPr>
              <w:t>руб./Гкал</w:t>
            </w:r>
          </w:p>
          <w:p w:rsidR="00253348" w:rsidRPr="00FF7032" w:rsidRDefault="00253348" w:rsidP="005A5E13">
            <w:pPr>
              <w:spacing w:after="0" w:line="240" w:lineRule="auto"/>
              <w:rPr>
                <w:rFonts w:eastAsia="Times New Roman"/>
                <w:sz w:val="24"/>
              </w:rPr>
            </w:pPr>
          </w:p>
        </w:tc>
      </w:tr>
      <w:tr w:rsidR="00253348" w:rsidRPr="002D7FA0" w:rsidTr="005A5E13">
        <w:trPr>
          <w:trHeight w:val="315"/>
        </w:trPr>
        <w:tc>
          <w:tcPr>
            <w:tcW w:w="1716" w:type="dxa"/>
            <w:tcBorders>
              <w:top w:val="nil"/>
              <w:left w:val="single" w:sz="4" w:space="0" w:color="auto"/>
              <w:bottom w:val="single" w:sz="4" w:space="0" w:color="auto"/>
              <w:right w:val="single" w:sz="4" w:space="0" w:color="auto"/>
            </w:tcBorders>
            <w:shd w:val="clear" w:color="auto" w:fill="auto"/>
            <w:noWrap/>
            <w:vAlign w:val="bottom"/>
            <w:hideMark/>
          </w:tcPr>
          <w:p w:rsidR="00253348" w:rsidRPr="00FF7032" w:rsidRDefault="00253348" w:rsidP="005A5E13">
            <w:pPr>
              <w:spacing w:after="0" w:line="240" w:lineRule="auto"/>
              <w:rPr>
                <w:rFonts w:eastAsia="Times New Roman"/>
                <w:sz w:val="24"/>
              </w:rPr>
            </w:pPr>
            <w:r w:rsidRPr="00FF7032">
              <w:rPr>
                <w:rFonts w:eastAsia="Times New Roman"/>
                <w:sz w:val="24"/>
              </w:rPr>
              <w:t> </w:t>
            </w:r>
          </w:p>
        </w:tc>
        <w:tc>
          <w:tcPr>
            <w:tcW w:w="1201"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без НДС</w:t>
            </w:r>
          </w:p>
        </w:tc>
        <w:tc>
          <w:tcPr>
            <w:tcW w:w="1209"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 НДС</w:t>
            </w:r>
          </w:p>
        </w:tc>
        <w:tc>
          <w:tcPr>
            <w:tcW w:w="1418"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без НДС</w:t>
            </w:r>
          </w:p>
        </w:tc>
        <w:tc>
          <w:tcPr>
            <w:tcW w:w="1417"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 НДС</w:t>
            </w:r>
          </w:p>
        </w:tc>
        <w:tc>
          <w:tcPr>
            <w:tcW w:w="1276"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без НДС</w:t>
            </w:r>
          </w:p>
        </w:tc>
        <w:tc>
          <w:tcPr>
            <w:tcW w:w="1276" w:type="dxa"/>
            <w:tcBorders>
              <w:top w:val="nil"/>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 НДС</w:t>
            </w:r>
          </w:p>
        </w:tc>
      </w:tr>
      <w:tr w:rsidR="00253348" w:rsidRPr="002D7FA0" w:rsidTr="005A5E13">
        <w:trPr>
          <w:trHeight w:val="315"/>
        </w:trPr>
        <w:tc>
          <w:tcPr>
            <w:tcW w:w="1716" w:type="dxa"/>
            <w:tcBorders>
              <w:top w:val="nil"/>
              <w:left w:val="single" w:sz="4" w:space="0" w:color="auto"/>
              <w:bottom w:val="single" w:sz="4" w:space="0" w:color="auto"/>
              <w:right w:val="single" w:sz="4" w:space="0" w:color="auto"/>
            </w:tcBorders>
            <w:shd w:val="clear" w:color="auto" w:fill="auto"/>
            <w:noWrap/>
            <w:vAlign w:val="bottom"/>
          </w:tcPr>
          <w:p w:rsidR="00253348" w:rsidRPr="00FF7032" w:rsidRDefault="00253348" w:rsidP="005A5E13">
            <w:pPr>
              <w:spacing w:after="0" w:line="240" w:lineRule="auto"/>
              <w:rPr>
                <w:rFonts w:eastAsia="Times New Roman"/>
                <w:sz w:val="24"/>
              </w:rPr>
            </w:pPr>
            <w:r w:rsidRPr="00FF7032">
              <w:rPr>
                <w:rFonts w:eastAsia="Times New Roman"/>
                <w:sz w:val="24"/>
              </w:rPr>
              <w:t>с 01.01.2025 по 30.06.2025</w:t>
            </w:r>
          </w:p>
        </w:tc>
        <w:tc>
          <w:tcPr>
            <w:tcW w:w="1201"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2299,24</w:t>
            </w:r>
          </w:p>
        </w:tc>
        <w:tc>
          <w:tcPr>
            <w:tcW w:w="1209"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2557,44</w:t>
            </w:r>
          </w:p>
        </w:tc>
        <w:tc>
          <w:tcPr>
            <w:tcW w:w="1418"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2001,49</w:t>
            </w:r>
          </w:p>
        </w:tc>
        <w:tc>
          <w:tcPr>
            <w:tcW w:w="1417"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2321,38</w:t>
            </w:r>
          </w:p>
        </w:tc>
        <w:tc>
          <w:tcPr>
            <w:tcW w:w="1276"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2127,15</w:t>
            </w:r>
          </w:p>
        </w:tc>
        <w:tc>
          <w:tcPr>
            <w:tcW w:w="1276" w:type="dxa"/>
            <w:tcBorders>
              <w:top w:val="nil"/>
              <w:left w:val="nil"/>
              <w:bottom w:val="single" w:sz="4" w:space="0" w:color="auto"/>
              <w:right w:val="single" w:sz="4" w:space="0" w:color="auto"/>
            </w:tcBorders>
            <w:shd w:val="clear" w:color="auto" w:fill="auto"/>
            <w:noWrap/>
            <w:vAlign w:val="center"/>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2430,22</w:t>
            </w:r>
          </w:p>
        </w:tc>
      </w:tr>
      <w:tr w:rsidR="00253348" w:rsidRPr="002D7FA0" w:rsidTr="005A5E13">
        <w:trPr>
          <w:trHeight w:val="484"/>
        </w:trPr>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rPr>
            </w:pPr>
            <w:r w:rsidRPr="00FF7032">
              <w:rPr>
                <w:rFonts w:eastAsia="Times New Roman"/>
                <w:sz w:val="24"/>
              </w:rPr>
              <w:t>с 01.07.2025 по 31.12.2025</w:t>
            </w:r>
          </w:p>
        </w:tc>
        <w:tc>
          <w:tcPr>
            <w:tcW w:w="1201"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2576,65</w:t>
            </w:r>
          </w:p>
        </w:tc>
        <w:tc>
          <w:tcPr>
            <w:tcW w:w="1209"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2865,79</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2240,60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2598,90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2380,42</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253348" w:rsidRPr="00FF7032" w:rsidRDefault="00253348" w:rsidP="005A5E13">
            <w:pPr>
              <w:spacing w:after="0" w:line="240" w:lineRule="auto"/>
              <w:rPr>
                <w:rFonts w:eastAsia="Times New Roman"/>
                <w:sz w:val="24"/>
                <w:highlight w:val="yellow"/>
              </w:rPr>
            </w:pPr>
            <w:r w:rsidRPr="00FF7032">
              <w:rPr>
                <w:rFonts w:eastAsia="Times New Roman"/>
                <w:sz w:val="24"/>
              </w:rPr>
              <w:t>2719,72</w:t>
            </w:r>
          </w:p>
        </w:tc>
      </w:tr>
    </w:tbl>
    <w:p w:rsidR="00253348" w:rsidRPr="002E3834" w:rsidRDefault="00253348" w:rsidP="002E3834">
      <w:pPr>
        <w:pStyle w:val="4"/>
      </w:pPr>
      <w:bookmarkStart w:id="55" w:name="_Toc131067928"/>
      <w:bookmarkStart w:id="56" w:name="_Toc193810548"/>
      <w:r w:rsidRPr="002E3834">
        <w:t>2.2.3. Согласование долгосрочных параметров регулирования для заключения концессионных соглашений и долгосрочных договоров аренды</w:t>
      </w:r>
      <w:bookmarkEnd w:id="55"/>
      <w:bookmarkEnd w:id="56"/>
    </w:p>
    <w:p w:rsidR="00253348" w:rsidRPr="006172C3" w:rsidRDefault="00253348" w:rsidP="00FF7032">
      <w:pPr>
        <w:autoSpaceDE w:val="0"/>
        <w:autoSpaceDN w:val="0"/>
        <w:adjustRightInd w:val="0"/>
        <w:spacing w:after="0" w:line="240" w:lineRule="auto"/>
        <w:ind w:firstLine="709"/>
        <w:jc w:val="both"/>
        <w:rPr>
          <w:szCs w:val="28"/>
        </w:rPr>
      </w:pPr>
      <w:r w:rsidRPr="006172C3">
        <w:rPr>
          <w:szCs w:val="28"/>
        </w:rPr>
        <w:t xml:space="preserve">В соответствии </w:t>
      </w:r>
      <w:hyperlink r:id="rId63" w:history="1">
        <w:r w:rsidRPr="006172C3">
          <w:rPr>
            <w:szCs w:val="28"/>
          </w:rPr>
          <w:t>со статьёй 28.1</w:t>
        </w:r>
      </w:hyperlink>
      <w:r w:rsidRPr="006172C3">
        <w:rPr>
          <w:szCs w:val="28"/>
        </w:rPr>
        <w:t xml:space="preserve"> Федерального закона № 190-ФЗ, </w:t>
      </w:r>
      <w:hyperlink r:id="rId64" w:history="1">
        <w:r w:rsidRPr="006172C3">
          <w:rPr>
            <w:szCs w:val="28"/>
          </w:rPr>
          <w:t>статьёй 23</w:t>
        </w:r>
      </w:hyperlink>
      <w:r w:rsidRPr="006172C3">
        <w:rPr>
          <w:szCs w:val="28"/>
        </w:rPr>
        <w:t xml:space="preserve"> Федерального закона</w:t>
      </w:r>
      <w:r w:rsidR="00FF7032">
        <w:rPr>
          <w:szCs w:val="28"/>
        </w:rPr>
        <w:t xml:space="preserve"> </w:t>
      </w:r>
      <w:r w:rsidR="00FF7032" w:rsidRPr="00FF7032">
        <w:rPr>
          <w:rFonts w:eastAsiaTheme="minorHAnsi"/>
          <w:bCs/>
          <w:szCs w:val="28"/>
          <w:lang w:eastAsia="en-US"/>
        </w:rPr>
        <w:t xml:space="preserve">от 21.07.2005 </w:t>
      </w:r>
      <w:r w:rsidR="00FF7032">
        <w:rPr>
          <w:rFonts w:eastAsiaTheme="minorHAnsi"/>
          <w:bCs/>
          <w:szCs w:val="28"/>
          <w:lang w:eastAsia="en-US"/>
        </w:rPr>
        <w:t>№</w:t>
      </w:r>
      <w:r w:rsidR="00FF7032" w:rsidRPr="00FF7032">
        <w:rPr>
          <w:rFonts w:eastAsiaTheme="minorHAnsi"/>
          <w:bCs/>
          <w:szCs w:val="28"/>
          <w:lang w:eastAsia="en-US"/>
        </w:rPr>
        <w:t xml:space="preserve"> 115-ФЗ</w:t>
      </w:r>
      <w:r w:rsidR="00FF7032">
        <w:rPr>
          <w:rFonts w:eastAsiaTheme="minorHAnsi"/>
          <w:bCs/>
          <w:szCs w:val="28"/>
          <w:lang w:eastAsia="en-US"/>
        </w:rPr>
        <w:t xml:space="preserve"> </w:t>
      </w:r>
      <w:r w:rsidRPr="006172C3">
        <w:rPr>
          <w:szCs w:val="28"/>
        </w:rPr>
        <w:t xml:space="preserve">«О концессионных соглашениях», Главой </w:t>
      </w:r>
      <w:r w:rsidRPr="006172C3">
        <w:rPr>
          <w:szCs w:val="28"/>
          <w:lang w:val="en-US"/>
        </w:rPr>
        <w:t>IX</w:t>
      </w:r>
      <w:r w:rsidRPr="006172C3">
        <w:rPr>
          <w:szCs w:val="28"/>
        </w:rPr>
        <w:t xml:space="preserve"> Правил регулирования цен (тарифов) в сфере теплоснабжения, утвержденных постановлением Правительства РФ</w:t>
      </w:r>
      <w:r w:rsidR="00FF7032">
        <w:rPr>
          <w:szCs w:val="28"/>
        </w:rPr>
        <w:t xml:space="preserve"> </w:t>
      </w:r>
      <w:r w:rsidRPr="006172C3">
        <w:rPr>
          <w:szCs w:val="28"/>
        </w:rPr>
        <w:t xml:space="preserve">от 22.10.2012 № 1075, департаментом в 2024 году </w:t>
      </w:r>
      <w:r>
        <w:rPr>
          <w:szCs w:val="28"/>
        </w:rPr>
        <w:t xml:space="preserve">направлены предельные значения </w:t>
      </w:r>
      <w:r w:rsidRPr="006172C3">
        <w:rPr>
          <w:szCs w:val="28"/>
        </w:rPr>
        <w:t>долгосрочны</w:t>
      </w:r>
      <w:r>
        <w:rPr>
          <w:szCs w:val="28"/>
        </w:rPr>
        <w:t>х</w:t>
      </w:r>
      <w:r w:rsidRPr="006172C3">
        <w:rPr>
          <w:szCs w:val="28"/>
        </w:rPr>
        <w:t xml:space="preserve"> параметр</w:t>
      </w:r>
      <w:r>
        <w:rPr>
          <w:szCs w:val="28"/>
        </w:rPr>
        <w:t>ов</w:t>
      </w:r>
      <w:r w:rsidRPr="006172C3">
        <w:rPr>
          <w:szCs w:val="28"/>
        </w:rPr>
        <w:t xml:space="preserve"> регулирования и сведения о ценах, значениях и параметрах, подлежащих представлению органом регулирования организатору конкурса, для следующих муниципальных образований Новосибирской области:</w:t>
      </w:r>
    </w:p>
    <w:p w:rsidR="00253348" w:rsidRPr="0088447C" w:rsidRDefault="00253348" w:rsidP="00585C99">
      <w:pPr>
        <w:numPr>
          <w:ilvl w:val="0"/>
          <w:numId w:val="1"/>
        </w:numPr>
        <w:spacing w:after="0" w:line="240" w:lineRule="auto"/>
        <w:contextualSpacing/>
        <w:jc w:val="both"/>
        <w:rPr>
          <w:szCs w:val="28"/>
        </w:rPr>
      </w:pPr>
      <w:r w:rsidRPr="001A55F0">
        <w:rPr>
          <w:szCs w:val="28"/>
        </w:rPr>
        <w:t xml:space="preserve">Краснозерский район - </w:t>
      </w:r>
      <w:r w:rsidRPr="0088447C">
        <w:rPr>
          <w:szCs w:val="28"/>
        </w:rPr>
        <w:t>по 5 системам теплоснабжения;</w:t>
      </w:r>
    </w:p>
    <w:p w:rsidR="00253348" w:rsidRPr="0088447C" w:rsidRDefault="00253348" w:rsidP="00585C99">
      <w:pPr>
        <w:numPr>
          <w:ilvl w:val="0"/>
          <w:numId w:val="1"/>
        </w:numPr>
        <w:spacing w:after="0" w:line="240" w:lineRule="auto"/>
        <w:contextualSpacing/>
        <w:jc w:val="both"/>
        <w:rPr>
          <w:szCs w:val="28"/>
        </w:rPr>
      </w:pPr>
      <w:r w:rsidRPr="0088447C">
        <w:rPr>
          <w:szCs w:val="28"/>
        </w:rPr>
        <w:t>Черепановский район - по 3 системам теплоснабжения;</w:t>
      </w:r>
    </w:p>
    <w:p w:rsidR="00253348" w:rsidRPr="001A55F0" w:rsidRDefault="00253348" w:rsidP="00585C99">
      <w:pPr>
        <w:numPr>
          <w:ilvl w:val="0"/>
          <w:numId w:val="1"/>
        </w:numPr>
        <w:spacing w:after="0" w:line="240" w:lineRule="auto"/>
        <w:contextualSpacing/>
        <w:jc w:val="both"/>
        <w:rPr>
          <w:szCs w:val="28"/>
        </w:rPr>
      </w:pPr>
      <w:r w:rsidRPr="0088447C">
        <w:rPr>
          <w:szCs w:val="28"/>
        </w:rPr>
        <w:t>Чистозерный район – по 8 системам</w:t>
      </w:r>
      <w:r w:rsidRPr="001A55F0">
        <w:rPr>
          <w:szCs w:val="28"/>
        </w:rPr>
        <w:t xml:space="preserve"> теплоснабжения.</w:t>
      </w:r>
    </w:p>
    <w:p w:rsidR="00253348" w:rsidRPr="002E3834" w:rsidRDefault="00253348" w:rsidP="002E3834">
      <w:pPr>
        <w:pStyle w:val="4"/>
      </w:pPr>
      <w:bookmarkStart w:id="57" w:name="_Toc193810549"/>
      <w:r w:rsidRPr="002E3834">
        <w:t>2.2.4. Нормативы потребления коммунальных услуг по отоплению</w:t>
      </w:r>
      <w:bookmarkEnd w:id="57"/>
      <w:r w:rsidRPr="002E3834">
        <w:t xml:space="preserve"> </w:t>
      </w:r>
    </w:p>
    <w:p w:rsidR="00253348" w:rsidRPr="002C772A" w:rsidRDefault="00253348" w:rsidP="00253348">
      <w:pPr>
        <w:pStyle w:val="af9"/>
        <w:ind w:firstLine="709"/>
        <w:jc w:val="both"/>
        <w:rPr>
          <w:rFonts w:ascii="Times New Roman" w:hAnsi="Times New Roman"/>
          <w:sz w:val="28"/>
          <w:szCs w:val="28"/>
        </w:rPr>
      </w:pPr>
      <w:r w:rsidRPr="007A4133">
        <w:rPr>
          <w:rFonts w:ascii="Times New Roman" w:hAnsi="Times New Roman"/>
          <w:sz w:val="28"/>
          <w:szCs w:val="28"/>
        </w:rPr>
        <w:t xml:space="preserve">В связи с принятием новой редакции Правил установления и определения нормативов потребления коммунальных услуг и нормативов потребления коммунальных ресурсов, потребляемых при использовании и содержании общего имущества в многоквартирном доме, утвержденных постановлением Правительства РФ от 23.05.2006 № 306 (ред. от 13.09.2022 </w:t>
      </w:r>
      <w:r w:rsidRPr="007A4133">
        <w:rPr>
          <w:rFonts w:ascii="Times New Roman" w:hAnsi="Times New Roman"/>
          <w:sz w:val="28"/>
          <w:szCs w:val="28"/>
        </w:rPr>
        <w:lastRenderedPageBreak/>
        <w:t xml:space="preserve">№ 1598), в 2024 году </w:t>
      </w:r>
      <w:r>
        <w:rPr>
          <w:rFonts w:ascii="Times New Roman" w:hAnsi="Times New Roman"/>
          <w:sz w:val="28"/>
          <w:szCs w:val="28"/>
        </w:rPr>
        <w:t xml:space="preserve">департаментом проводилась работа по сбору, </w:t>
      </w:r>
      <w:r w:rsidRPr="002C772A">
        <w:rPr>
          <w:rFonts w:ascii="Times New Roman" w:hAnsi="Times New Roman"/>
          <w:sz w:val="28"/>
          <w:szCs w:val="28"/>
        </w:rPr>
        <w:t xml:space="preserve">систематизации, анализу сведений (запрошенных у 270-ти теплоснабжающих организаций в целях расчета нормативов потребления коммунальных услуг по отоплению) о результатах проведения теплоснабжающими организациями (в том числе с привлечением управляющих организаций) измерений объема (количества) потребления тепловой энергии приборами учета, установленными в многоквартирных домах и жилых домах на территории Новосибирской области, и снятия показаний таких приборов учета в течение отопительного периода 2023-2024 годов на основании </w:t>
      </w:r>
      <w:r w:rsidRPr="002C772A">
        <w:rPr>
          <w:rFonts w:ascii="Times New Roman" w:hAnsi="Times New Roman"/>
          <w:sz w:val="28"/>
          <w:szCs w:val="28"/>
          <w:lang w:eastAsia="x-none"/>
        </w:rPr>
        <w:t xml:space="preserve">утвержденного приказом департамента </w:t>
      </w:r>
      <w:r w:rsidRPr="002C772A">
        <w:rPr>
          <w:rFonts w:ascii="Times New Roman" w:hAnsi="Times New Roman"/>
          <w:sz w:val="28"/>
          <w:szCs w:val="28"/>
        </w:rPr>
        <w:t>плана проведения измерений объема (количества) потребления тепловой энергии приборами учета, установленными в многоквартирных домах и жилых домах на территории Новосибирской области, и снятия показаний таких приборов учета в течение отопительного периода 2023-2024 годов теплоснабжающими организациями (в том числе с привлечением управляющих организаций, товариществ собственников жилья, жилищных, жилищно-строительных или иных специализированных потребительских кооперативов либо их объединений).</w:t>
      </w:r>
    </w:p>
    <w:p w:rsidR="00253348" w:rsidRPr="002E3834" w:rsidRDefault="00253348" w:rsidP="002E3834">
      <w:pPr>
        <w:pStyle w:val="4"/>
      </w:pPr>
      <w:bookmarkStart w:id="58" w:name="_Toc131067923"/>
      <w:bookmarkStart w:id="59" w:name="_Toc193810550"/>
      <w:r w:rsidRPr="002E3834">
        <w:t>2.2.5. Нормативы удельных расходов топлива, нормативы создания запасов топлива и нормативы потерь тепловой энергии</w:t>
      </w:r>
      <w:bookmarkEnd w:id="58"/>
      <w:bookmarkEnd w:id="59"/>
    </w:p>
    <w:p w:rsidR="00253348" w:rsidRPr="00314B94" w:rsidRDefault="00253348" w:rsidP="00253348">
      <w:pPr>
        <w:spacing w:after="0" w:line="240" w:lineRule="auto"/>
        <w:ind w:firstLine="567"/>
        <w:jc w:val="both"/>
        <w:rPr>
          <w:szCs w:val="28"/>
        </w:rPr>
      </w:pPr>
      <w:r w:rsidRPr="00314B94">
        <w:rPr>
          <w:iCs/>
          <w:szCs w:val="28"/>
        </w:rPr>
        <w:t xml:space="preserve">В 2024 году </w:t>
      </w:r>
      <w:r w:rsidRPr="00314B94">
        <w:rPr>
          <w:szCs w:val="28"/>
        </w:rPr>
        <w:t xml:space="preserve">в соответствии с Федеральным законом № 190-ФЗ и приказом Минэнерго России от 10.08.2012 №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в том числе в целях государственного регулирования цен (тарифов) в сфере теплоснабжения» приказами департамента утверждены нормативы удельного расхода топлива при производстве тепловой энергии и нормативы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 а также </w:t>
      </w:r>
      <w:r w:rsidRPr="00314B94">
        <w:rPr>
          <w:iCs/>
          <w:szCs w:val="28"/>
        </w:rPr>
        <w:t>нормативы потерь тепловой энергии при её передаче по тепловым сетям</w:t>
      </w:r>
      <w:r w:rsidRPr="00314B94">
        <w:rPr>
          <w:szCs w:val="28"/>
        </w:rPr>
        <w:t xml:space="preserve"> теплоснабжающих организаций Новосибирской области.</w:t>
      </w:r>
    </w:p>
    <w:p w:rsidR="00253348" w:rsidRPr="00314B94" w:rsidRDefault="00253348" w:rsidP="00253348">
      <w:pPr>
        <w:autoSpaceDE w:val="0"/>
        <w:autoSpaceDN w:val="0"/>
        <w:adjustRightInd w:val="0"/>
        <w:spacing w:after="0" w:line="240" w:lineRule="auto"/>
        <w:ind w:firstLine="708"/>
        <w:jc w:val="both"/>
        <w:outlineLvl w:val="1"/>
        <w:rPr>
          <w:szCs w:val="28"/>
        </w:rPr>
      </w:pPr>
      <w:bookmarkStart w:id="60" w:name="_Toc130993316"/>
      <w:bookmarkStart w:id="61" w:name="_Toc130997800"/>
      <w:bookmarkStart w:id="62" w:name="_Toc131067930"/>
      <w:r w:rsidRPr="00314B94">
        <w:rPr>
          <w:szCs w:val="28"/>
        </w:rPr>
        <w:t>Указанные нормативы формировались:</w:t>
      </w:r>
      <w:bookmarkEnd w:id="60"/>
      <w:bookmarkEnd w:id="61"/>
      <w:bookmarkEnd w:id="62"/>
    </w:p>
    <w:p w:rsidR="00253348" w:rsidRPr="00314B94" w:rsidRDefault="00253348" w:rsidP="00253348">
      <w:pPr>
        <w:autoSpaceDE w:val="0"/>
        <w:autoSpaceDN w:val="0"/>
        <w:adjustRightInd w:val="0"/>
        <w:spacing w:after="0" w:line="240" w:lineRule="auto"/>
        <w:ind w:firstLine="708"/>
        <w:jc w:val="both"/>
        <w:rPr>
          <w:szCs w:val="28"/>
        </w:rPr>
      </w:pPr>
      <w:r w:rsidRPr="00314B94">
        <w:rPr>
          <w:szCs w:val="28"/>
        </w:rPr>
        <w:t>- для организаций в целом при возможности использования запасов топлива независимо от территориального расположения источников тепловой энергии и складов для хранения топлива;</w:t>
      </w:r>
    </w:p>
    <w:p w:rsidR="00253348" w:rsidRPr="00314B94" w:rsidRDefault="00253348" w:rsidP="00253348">
      <w:pPr>
        <w:autoSpaceDE w:val="0"/>
        <w:autoSpaceDN w:val="0"/>
        <w:adjustRightInd w:val="0"/>
        <w:spacing w:after="0" w:line="240" w:lineRule="auto"/>
        <w:ind w:firstLine="708"/>
        <w:jc w:val="both"/>
        <w:rPr>
          <w:szCs w:val="28"/>
        </w:rPr>
      </w:pPr>
      <w:r w:rsidRPr="00314B94">
        <w:rPr>
          <w:szCs w:val="28"/>
        </w:rPr>
        <w:t>- для обособленных подразделений (филиалов), территориально отдаленных от других подразделений организации.</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t>В 2024 году: принято 31 решение (приказ</w:t>
      </w:r>
      <w:r w:rsidR="002E3834">
        <w:rPr>
          <w:rFonts w:ascii="Times New Roman" w:hAnsi="Times New Roman"/>
          <w:sz w:val="28"/>
          <w:szCs w:val="28"/>
        </w:rPr>
        <w:t>а</w:t>
      </w:r>
      <w:r w:rsidRPr="00314B94">
        <w:rPr>
          <w:rFonts w:ascii="Times New Roman" w:hAnsi="Times New Roman"/>
          <w:sz w:val="28"/>
          <w:szCs w:val="28"/>
        </w:rPr>
        <w:t xml:space="preserve">) департамента об установлении на 2024-2025 год 332 нормативов, в том числе: </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lastRenderedPageBreak/>
        <w:t>- 43 норматива технологических потерь при передаче тепловой энергии, теплоносителя;</w:t>
      </w:r>
    </w:p>
    <w:p w:rsidR="00253348" w:rsidRPr="00314B94" w:rsidRDefault="00253348" w:rsidP="00253348">
      <w:pPr>
        <w:pStyle w:val="af9"/>
        <w:ind w:firstLine="709"/>
        <w:jc w:val="both"/>
        <w:rPr>
          <w:rFonts w:ascii="Times New Roman" w:hAnsi="Times New Roman"/>
          <w:sz w:val="28"/>
          <w:szCs w:val="28"/>
          <w:u w:val="single"/>
        </w:rPr>
      </w:pPr>
      <w:r w:rsidRPr="00314B94">
        <w:rPr>
          <w:rFonts w:ascii="Times New Roman" w:hAnsi="Times New Roman"/>
          <w:sz w:val="28"/>
          <w:szCs w:val="28"/>
        </w:rPr>
        <w:t>- 13 нормативов удельного расхода топлива;</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b/>
          <w:sz w:val="28"/>
          <w:szCs w:val="28"/>
        </w:rPr>
        <w:t xml:space="preserve">- </w:t>
      </w:r>
      <w:r w:rsidRPr="00314B94">
        <w:rPr>
          <w:rFonts w:ascii="Times New Roman" w:hAnsi="Times New Roman"/>
          <w:sz w:val="28"/>
          <w:szCs w:val="28"/>
        </w:rPr>
        <w:t>276</w:t>
      </w:r>
      <w:r w:rsidRPr="00314B94">
        <w:rPr>
          <w:rFonts w:ascii="Times New Roman" w:hAnsi="Times New Roman"/>
          <w:b/>
          <w:sz w:val="28"/>
          <w:szCs w:val="28"/>
        </w:rPr>
        <w:t xml:space="preserve"> </w:t>
      </w:r>
      <w:r w:rsidRPr="00314B94">
        <w:rPr>
          <w:rFonts w:ascii="Times New Roman" w:hAnsi="Times New Roman"/>
          <w:color w:val="000000"/>
          <w:sz w:val="28"/>
          <w:szCs w:val="28"/>
        </w:rPr>
        <w:t xml:space="preserve">нормативов </w:t>
      </w:r>
      <w:r w:rsidRPr="00314B94">
        <w:rPr>
          <w:rFonts w:ascii="Times New Roman" w:hAnsi="Times New Roman"/>
          <w:sz w:val="28"/>
          <w:szCs w:val="28"/>
        </w:rPr>
        <w:t>запасов топлива на источниках тепловой энергии.</w:t>
      </w:r>
    </w:p>
    <w:p w:rsidR="00253348" w:rsidRPr="002E3834" w:rsidRDefault="00253348" w:rsidP="002E3834">
      <w:pPr>
        <w:pStyle w:val="4"/>
        <w:rPr>
          <w:rStyle w:val="40"/>
          <w:b/>
          <w:bCs/>
        </w:rPr>
      </w:pPr>
      <w:bookmarkStart w:id="63" w:name="_Toc131067932"/>
      <w:bookmarkStart w:id="64" w:name="_Toc193810551"/>
      <w:r w:rsidRPr="002E3834">
        <w:t>2</w:t>
      </w:r>
      <w:r w:rsidRPr="002E3834">
        <w:rPr>
          <w:rStyle w:val="40"/>
          <w:b/>
          <w:bCs/>
        </w:rPr>
        <w:t>.2.6. Платы за технологическое присоединение к тепловым сетям</w:t>
      </w:r>
      <w:bookmarkEnd w:id="63"/>
      <w:bookmarkEnd w:id="64"/>
    </w:p>
    <w:p w:rsidR="00253348" w:rsidRPr="002D7FA0" w:rsidRDefault="00253348" w:rsidP="00253348">
      <w:pPr>
        <w:pStyle w:val="af9"/>
        <w:ind w:firstLine="709"/>
        <w:jc w:val="both"/>
        <w:rPr>
          <w:rFonts w:ascii="Times New Roman" w:hAnsi="Times New Roman"/>
          <w:sz w:val="28"/>
          <w:szCs w:val="28"/>
          <w:highlight w:val="yellow"/>
        </w:rPr>
      </w:pPr>
      <w:r w:rsidRPr="00B177D0">
        <w:rPr>
          <w:rFonts w:ascii="Times New Roman" w:hAnsi="Times New Roman"/>
          <w:sz w:val="28"/>
          <w:szCs w:val="28"/>
        </w:rPr>
        <w:t xml:space="preserve">В </w:t>
      </w:r>
      <w:r w:rsidRPr="001811AE">
        <w:rPr>
          <w:rFonts w:ascii="Times New Roman" w:hAnsi="Times New Roman"/>
          <w:sz w:val="28"/>
          <w:szCs w:val="28"/>
        </w:rPr>
        <w:t>2024</w:t>
      </w:r>
      <w:r>
        <w:rPr>
          <w:rFonts w:ascii="Times New Roman" w:hAnsi="Times New Roman"/>
          <w:sz w:val="28"/>
          <w:szCs w:val="28"/>
        </w:rPr>
        <w:t xml:space="preserve"> году: принято 20 решений (приказов</w:t>
      </w:r>
      <w:r w:rsidRPr="001811AE">
        <w:rPr>
          <w:rFonts w:ascii="Times New Roman" w:hAnsi="Times New Roman"/>
          <w:sz w:val="28"/>
          <w:szCs w:val="28"/>
        </w:rPr>
        <w:t xml:space="preserve">) департамента об установлении на 2024-2025 годы: </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t xml:space="preserve">- 12 плат за технологическое присоединение к тепловым сетям в расчете на единицу мощности подключаемой тепловой нагрузки; </w:t>
      </w:r>
    </w:p>
    <w:p w:rsidR="00253348" w:rsidRPr="00314B94" w:rsidRDefault="00253348" w:rsidP="00253348">
      <w:pPr>
        <w:pStyle w:val="af9"/>
        <w:ind w:firstLine="709"/>
        <w:jc w:val="both"/>
        <w:rPr>
          <w:rFonts w:ascii="Times New Roman" w:hAnsi="Times New Roman"/>
          <w:sz w:val="28"/>
          <w:szCs w:val="28"/>
        </w:rPr>
      </w:pPr>
      <w:r w:rsidRPr="00314B94">
        <w:rPr>
          <w:rFonts w:ascii="Times New Roman" w:hAnsi="Times New Roman"/>
          <w:sz w:val="28"/>
          <w:szCs w:val="28"/>
        </w:rPr>
        <w:t xml:space="preserve">- 8 плат за технологическое присоединение к тепловым сетям по индивидуальным проектам. </w:t>
      </w:r>
    </w:p>
    <w:p w:rsidR="00253348" w:rsidRPr="002E3834" w:rsidRDefault="00253348" w:rsidP="002E3834">
      <w:pPr>
        <w:pStyle w:val="4"/>
        <w:rPr>
          <w:rStyle w:val="40"/>
          <w:b/>
          <w:bCs/>
        </w:rPr>
      </w:pPr>
      <w:bookmarkStart w:id="65" w:name="_Toc131067935"/>
      <w:bookmarkStart w:id="66" w:name="_Toc193810552"/>
      <w:r w:rsidRPr="002E3834">
        <w:t>2</w:t>
      </w:r>
      <w:r w:rsidRPr="002E3834">
        <w:rPr>
          <w:rStyle w:val="40"/>
          <w:b/>
          <w:bCs/>
        </w:rPr>
        <w:t>.2.7. Инвестиционные программы в сфере теплоснабжения</w:t>
      </w:r>
      <w:bookmarkEnd w:id="65"/>
      <w:bookmarkEnd w:id="66"/>
    </w:p>
    <w:p w:rsidR="00253348" w:rsidRPr="00D83251" w:rsidRDefault="00253348" w:rsidP="00253348">
      <w:pPr>
        <w:spacing w:after="0" w:line="240" w:lineRule="auto"/>
        <w:ind w:firstLine="567"/>
        <w:jc w:val="both"/>
        <w:rPr>
          <w:rFonts w:eastAsia="Calibri"/>
          <w:szCs w:val="28"/>
        </w:rPr>
      </w:pPr>
      <w:r w:rsidRPr="00D83251">
        <w:rPr>
          <w:rFonts w:eastAsia="Calibri"/>
          <w:szCs w:val="28"/>
        </w:rPr>
        <w:t>В 202</w:t>
      </w:r>
      <w:r>
        <w:rPr>
          <w:rFonts w:eastAsia="Calibri"/>
          <w:szCs w:val="28"/>
        </w:rPr>
        <w:t>4</w:t>
      </w:r>
      <w:r w:rsidRPr="00D83251">
        <w:rPr>
          <w:rFonts w:eastAsia="Calibri"/>
          <w:szCs w:val="28"/>
        </w:rPr>
        <w:t xml:space="preserve"> году действовали </w:t>
      </w:r>
      <w:r>
        <w:rPr>
          <w:rFonts w:eastAsia="Calibri"/>
          <w:szCs w:val="28"/>
        </w:rPr>
        <w:t>две</w:t>
      </w:r>
      <w:r w:rsidRPr="00D83251">
        <w:rPr>
          <w:rFonts w:eastAsia="Calibri"/>
          <w:szCs w:val="28"/>
        </w:rPr>
        <w:t xml:space="preserve"> инвестиционные программы в сфере теплоснабжения для:</w:t>
      </w:r>
    </w:p>
    <w:p w:rsidR="00253348" w:rsidRPr="00D83251" w:rsidRDefault="00253348" w:rsidP="00253348">
      <w:pPr>
        <w:spacing w:after="0" w:line="240" w:lineRule="auto"/>
        <w:ind w:firstLine="567"/>
        <w:jc w:val="both"/>
        <w:rPr>
          <w:rFonts w:eastAsia="Calibri"/>
          <w:szCs w:val="28"/>
        </w:rPr>
      </w:pPr>
      <w:r w:rsidRPr="00D83251">
        <w:rPr>
          <w:rFonts w:eastAsia="Calibri"/>
          <w:szCs w:val="28"/>
        </w:rPr>
        <w:t xml:space="preserve">- Муниципального унитарного предприятия «Комбинат бытовых услуг»: (приказ департамента </w:t>
      </w:r>
      <w:r>
        <w:rPr>
          <w:rFonts w:eastAsia="Calibri"/>
          <w:szCs w:val="28"/>
        </w:rPr>
        <w:t xml:space="preserve">от </w:t>
      </w:r>
      <w:r w:rsidRPr="00D83251">
        <w:rPr>
          <w:rFonts w:eastAsia="Calibri"/>
          <w:szCs w:val="28"/>
        </w:rPr>
        <w:t>31.10.2022</w:t>
      </w:r>
      <w:r>
        <w:rPr>
          <w:rFonts w:eastAsia="Calibri"/>
          <w:szCs w:val="28"/>
        </w:rPr>
        <w:t xml:space="preserve"> </w:t>
      </w:r>
      <w:r w:rsidRPr="00D83251">
        <w:rPr>
          <w:rFonts w:eastAsia="Calibri"/>
          <w:szCs w:val="28"/>
        </w:rPr>
        <w:t>№ 268-ТЭ);</w:t>
      </w:r>
    </w:p>
    <w:p w:rsidR="00253348" w:rsidRPr="00D83251" w:rsidRDefault="00253348" w:rsidP="00253348">
      <w:pPr>
        <w:spacing w:after="0" w:line="240" w:lineRule="auto"/>
        <w:ind w:firstLine="567"/>
        <w:jc w:val="both"/>
        <w:rPr>
          <w:rFonts w:eastAsia="Calibri"/>
          <w:szCs w:val="28"/>
        </w:rPr>
      </w:pPr>
      <w:r w:rsidRPr="00D83251">
        <w:rPr>
          <w:rFonts w:eastAsia="Calibri"/>
          <w:szCs w:val="28"/>
        </w:rPr>
        <w:t>- Акционерного общества «Энергетик»</w:t>
      </w:r>
      <w:r w:rsidRPr="00D83251">
        <w:rPr>
          <w:rFonts w:ascii="Calibri" w:eastAsia="Calibri" w:hAnsi="Calibri"/>
        </w:rPr>
        <w:t xml:space="preserve"> </w:t>
      </w:r>
      <w:r w:rsidRPr="00D83251">
        <w:rPr>
          <w:rFonts w:eastAsia="Calibri"/>
          <w:szCs w:val="28"/>
        </w:rPr>
        <w:t xml:space="preserve">(приказ департамента </w:t>
      </w:r>
      <w:r>
        <w:rPr>
          <w:rFonts w:eastAsia="Calibri"/>
          <w:szCs w:val="28"/>
        </w:rPr>
        <w:t xml:space="preserve">от </w:t>
      </w:r>
      <w:r w:rsidRPr="00D83251">
        <w:rPr>
          <w:rFonts w:eastAsia="Calibri"/>
          <w:szCs w:val="28"/>
        </w:rPr>
        <w:t>10.08.2021 № 128-ТЭ).</w:t>
      </w:r>
    </w:p>
    <w:p w:rsidR="00253348" w:rsidRPr="00D83251" w:rsidRDefault="00253348" w:rsidP="00253348">
      <w:pPr>
        <w:tabs>
          <w:tab w:val="center" w:pos="4153"/>
          <w:tab w:val="right" w:pos="8306"/>
        </w:tabs>
        <w:spacing w:after="0" w:line="240" w:lineRule="auto"/>
        <w:ind w:firstLine="708"/>
        <w:jc w:val="both"/>
        <w:rPr>
          <w:rFonts w:eastAsia="Times New Roman"/>
          <w:szCs w:val="28"/>
        </w:rPr>
      </w:pPr>
      <w:r w:rsidRPr="00D83251">
        <w:rPr>
          <w:rFonts w:eastAsia="Times New Roman"/>
          <w:szCs w:val="28"/>
        </w:rPr>
        <w:t>Департаментом в 202</w:t>
      </w:r>
      <w:r>
        <w:rPr>
          <w:rFonts w:eastAsia="Times New Roman"/>
          <w:szCs w:val="28"/>
        </w:rPr>
        <w:t>4</w:t>
      </w:r>
      <w:r w:rsidRPr="00D83251">
        <w:rPr>
          <w:rFonts w:eastAsia="Times New Roman"/>
          <w:szCs w:val="28"/>
        </w:rPr>
        <w:t xml:space="preserve"> году осуществлялся </w:t>
      </w:r>
      <w:r w:rsidR="002E3834">
        <w:rPr>
          <w:rFonts w:eastAsia="Times New Roman"/>
          <w:szCs w:val="28"/>
        </w:rPr>
        <w:t xml:space="preserve">мониторинг </w:t>
      </w:r>
      <w:r w:rsidRPr="00D83251">
        <w:rPr>
          <w:rFonts w:eastAsia="Times New Roman"/>
          <w:szCs w:val="28"/>
        </w:rPr>
        <w:t xml:space="preserve">за фактическим исполнением указанных инвестиционных программ. </w:t>
      </w:r>
    </w:p>
    <w:p w:rsidR="00253348" w:rsidRPr="00B177D0" w:rsidRDefault="00253348" w:rsidP="002E3834">
      <w:pPr>
        <w:pStyle w:val="4"/>
      </w:pPr>
      <w:bookmarkStart w:id="67" w:name="_Toc131067931"/>
      <w:bookmarkStart w:id="68" w:name="_Toc193810553"/>
      <w:r w:rsidRPr="00B177D0">
        <w:t>2.2.8. Энергосбережение и энергетическая эффективность организаций</w:t>
      </w:r>
      <w:bookmarkEnd w:id="67"/>
      <w:bookmarkEnd w:id="68"/>
    </w:p>
    <w:p w:rsidR="00253348" w:rsidRPr="001811AE" w:rsidRDefault="00253348" w:rsidP="00253348">
      <w:pPr>
        <w:autoSpaceDE w:val="0"/>
        <w:autoSpaceDN w:val="0"/>
        <w:adjustRightInd w:val="0"/>
        <w:spacing w:after="0" w:line="240" w:lineRule="auto"/>
        <w:ind w:firstLine="709"/>
        <w:jc w:val="both"/>
        <w:rPr>
          <w:szCs w:val="28"/>
        </w:rPr>
      </w:pPr>
      <w:r w:rsidRPr="00B177D0">
        <w:rPr>
          <w:szCs w:val="28"/>
        </w:rPr>
        <w:t xml:space="preserve">В соответствии </w:t>
      </w:r>
      <w:r w:rsidRPr="00B177D0">
        <w:rPr>
          <w:bCs/>
          <w:szCs w:val="28"/>
        </w:rPr>
        <w:t xml:space="preserve">с </w:t>
      </w:r>
      <w:r w:rsidRPr="00B177D0">
        <w:rPr>
          <w:szCs w:val="28"/>
        </w:rPr>
        <w:t xml:space="preserve">Федеральным законом от 23.11.2009 № 261-ФЗ </w:t>
      </w:r>
      <w:r w:rsidRPr="00B177D0">
        <w:rPr>
          <w:szCs w:val="28"/>
        </w:rPr>
        <w:br/>
        <w:t xml:space="preserve">«Об энергосбережении и о повышении энергетической эффективности и о внесении изменений в отдельные законодательные акты Российской Федерации», </w:t>
      </w:r>
      <w:r w:rsidRPr="001811AE">
        <w:rPr>
          <w:szCs w:val="28"/>
        </w:rPr>
        <w:t xml:space="preserve">постановлением Правительства РФ от 15.05.2010 № 340 «О порядке установления требований к программам в области энергосбережения и повышения энергетической эффективности организаций, осуществляющих </w:t>
      </w:r>
      <w:r w:rsidRPr="00C60CCF">
        <w:rPr>
          <w:szCs w:val="28"/>
        </w:rPr>
        <w:t xml:space="preserve">регулируемые виды деятельности», приказом департамента от 30.03.2021 </w:t>
      </w:r>
      <w:r w:rsidRPr="00C60CCF">
        <w:rPr>
          <w:szCs w:val="28"/>
        </w:rPr>
        <w:br/>
        <w:t xml:space="preserve">№42-ТЭ </w:t>
      </w:r>
      <w:r w:rsidRPr="00C60CCF">
        <w:rPr>
          <w:bCs/>
          <w:szCs w:val="28"/>
        </w:rPr>
        <w:t xml:space="preserve">установлены </w:t>
      </w:r>
      <w:r w:rsidRPr="00C60CCF">
        <w:rPr>
          <w:szCs w:val="28"/>
        </w:rPr>
        <w:t>на период 2022-2024 годов перечень обязательных</w:t>
      </w:r>
      <w:r w:rsidRPr="001811AE">
        <w:rPr>
          <w:szCs w:val="28"/>
        </w:rPr>
        <w:t xml:space="preserve"> мероприятий по энергосбережению и повышению энергетической эффективности, подлежащих включению в программы в области энергосбережения и повышения энергетической эффективности теплоснабжающих организаций </w:t>
      </w:r>
      <w:r w:rsidRPr="001811AE">
        <w:rPr>
          <w:bCs/>
          <w:szCs w:val="28"/>
        </w:rPr>
        <w:t xml:space="preserve">и теплосетевых </w:t>
      </w:r>
      <w:r w:rsidRPr="001811AE">
        <w:rPr>
          <w:szCs w:val="28"/>
        </w:rPr>
        <w:t>организаций Новосибирской области,  и сроки их проведения.</w:t>
      </w:r>
    </w:p>
    <w:p w:rsidR="00253348" w:rsidRPr="001811AE" w:rsidRDefault="00253348" w:rsidP="00253348">
      <w:pPr>
        <w:tabs>
          <w:tab w:val="center" w:pos="4153"/>
          <w:tab w:val="right" w:pos="8306"/>
        </w:tabs>
        <w:spacing w:after="0" w:line="240" w:lineRule="auto"/>
        <w:ind w:firstLine="708"/>
        <w:jc w:val="both"/>
        <w:rPr>
          <w:rFonts w:eastAsia="Times New Roman"/>
          <w:szCs w:val="28"/>
        </w:rPr>
      </w:pPr>
      <w:r w:rsidRPr="001811AE">
        <w:rPr>
          <w:rFonts w:eastAsia="Times New Roman"/>
          <w:szCs w:val="28"/>
        </w:rPr>
        <w:t xml:space="preserve">Департаментом в 2024 году осуществлялся контроль за фактическим исполнением установленных требований к программам в области энергосбережения и повышения энергетической эффективности. </w:t>
      </w:r>
    </w:p>
    <w:p w:rsidR="00253348" w:rsidRPr="001811AE" w:rsidRDefault="00253348" w:rsidP="002E3834">
      <w:pPr>
        <w:pStyle w:val="4"/>
      </w:pPr>
      <w:bookmarkStart w:id="69" w:name="_Toc131067936"/>
      <w:bookmarkStart w:id="70" w:name="_Toc193810554"/>
      <w:r w:rsidRPr="001811AE">
        <w:t>2.2.9. Мониторинг цен (тарифов) в сфере теплоснабжения</w:t>
      </w:r>
      <w:bookmarkEnd w:id="69"/>
      <w:bookmarkEnd w:id="70"/>
    </w:p>
    <w:p w:rsidR="00253348" w:rsidRDefault="00253348" w:rsidP="00253348">
      <w:pPr>
        <w:spacing w:after="0" w:line="240" w:lineRule="auto"/>
        <w:ind w:firstLine="567"/>
        <w:jc w:val="both"/>
        <w:rPr>
          <w:rFonts w:eastAsia="Calibri"/>
          <w:spacing w:val="2"/>
          <w:szCs w:val="28"/>
          <w:highlight w:val="yellow"/>
        </w:rPr>
      </w:pPr>
      <w:r w:rsidRPr="00DC3260">
        <w:rPr>
          <w:rFonts w:eastAsia="Calibri"/>
          <w:szCs w:val="28"/>
        </w:rPr>
        <w:t xml:space="preserve">В течение 2024 года департаментом сформирована и направлена в установленные сроки в ФАС России </w:t>
      </w:r>
      <w:r w:rsidR="00867D80">
        <w:rPr>
          <w:rFonts w:eastAsia="Calibri"/>
          <w:spacing w:val="2"/>
          <w:szCs w:val="28"/>
        </w:rPr>
        <w:t>по системе ЕИАС</w:t>
      </w:r>
      <w:r w:rsidR="00867D80" w:rsidRPr="00DC3260">
        <w:rPr>
          <w:rFonts w:eastAsia="Calibri"/>
          <w:spacing w:val="2"/>
          <w:szCs w:val="28"/>
        </w:rPr>
        <w:t xml:space="preserve"> </w:t>
      </w:r>
      <w:r w:rsidRPr="00DC3260">
        <w:rPr>
          <w:rFonts w:eastAsia="Calibri"/>
          <w:spacing w:val="2"/>
          <w:szCs w:val="28"/>
        </w:rPr>
        <w:t xml:space="preserve">информация по </w:t>
      </w:r>
      <w:r w:rsidRPr="00DC3260">
        <w:rPr>
          <w:rFonts w:eastAsia="Calibri"/>
          <w:spacing w:val="2"/>
          <w:szCs w:val="28"/>
        </w:rPr>
        <w:lastRenderedPageBreak/>
        <w:t>теплоснабжающим орг</w:t>
      </w:r>
      <w:r>
        <w:rPr>
          <w:rFonts w:eastAsia="Calibri"/>
          <w:spacing w:val="2"/>
          <w:szCs w:val="28"/>
        </w:rPr>
        <w:t>анизациям Новосибирской области</w:t>
      </w:r>
      <w:r w:rsidR="00867D80">
        <w:rPr>
          <w:rFonts w:eastAsia="Calibri"/>
          <w:spacing w:val="2"/>
          <w:szCs w:val="28"/>
        </w:rPr>
        <w:t xml:space="preserve"> 517</w:t>
      </w:r>
      <w:r w:rsidRPr="00DC3260">
        <w:rPr>
          <w:rFonts w:eastAsia="Calibri"/>
          <w:spacing w:val="2"/>
          <w:szCs w:val="28"/>
        </w:rPr>
        <w:t xml:space="preserve"> элект</w:t>
      </w:r>
      <w:r>
        <w:rPr>
          <w:rFonts w:eastAsia="Calibri"/>
          <w:spacing w:val="2"/>
          <w:szCs w:val="28"/>
        </w:rPr>
        <w:t>ронных шаблонов</w:t>
      </w:r>
      <w:r w:rsidR="00867D80">
        <w:rPr>
          <w:rFonts w:eastAsia="Calibri"/>
          <w:spacing w:val="2"/>
          <w:szCs w:val="28"/>
        </w:rPr>
        <w:t>.</w:t>
      </w:r>
    </w:p>
    <w:p w:rsidR="00253348" w:rsidRPr="003D5F60" w:rsidRDefault="00253348" w:rsidP="00867D80">
      <w:pPr>
        <w:pStyle w:val="4"/>
      </w:pPr>
      <w:r>
        <w:rPr>
          <w:lang w:eastAsia="zh-CN"/>
        </w:rPr>
        <w:t xml:space="preserve">    </w:t>
      </w:r>
      <w:bookmarkStart w:id="71" w:name="_Toc162431946"/>
      <w:bookmarkStart w:id="72" w:name="_Toc193810555"/>
      <w:r w:rsidRPr="003D5F60">
        <w:t>2.2.</w:t>
      </w:r>
      <w:r w:rsidR="009F6392">
        <w:t>10</w:t>
      </w:r>
      <w:r w:rsidRPr="003D5F60">
        <w:t xml:space="preserve">. Стандарты раскрытия информации в сфере </w:t>
      </w:r>
      <w:bookmarkEnd w:id="71"/>
      <w:r w:rsidRPr="003D5F60">
        <w:t>теплоснабжения</w:t>
      </w:r>
      <w:bookmarkEnd w:id="72"/>
    </w:p>
    <w:p w:rsidR="00253348" w:rsidRPr="004C0742" w:rsidRDefault="00253348" w:rsidP="00253348">
      <w:pPr>
        <w:spacing w:after="0" w:line="240" w:lineRule="auto"/>
        <w:ind w:firstLine="567"/>
        <w:jc w:val="both"/>
        <w:rPr>
          <w:szCs w:val="28"/>
          <w:highlight w:val="yellow"/>
        </w:rPr>
      </w:pPr>
      <w:r w:rsidRPr="004C0742">
        <w:rPr>
          <w:szCs w:val="28"/>
        </w:rPr>
        <w:t xml:space="preserve">В соответствии с пунктом 1 части 3 статьи 56, частью 2 статьи 57, частью 1 статьи 58, статьями 74, 90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10.03.2022 № 336 «Об особенностях организации и осуществления государственного контроля (надзора), муниципального контроля», постановлением Правительства Новосибирской области от 28.09.2021 № 384-п «О региональном государственном контроле (надзоре) в области государственного регулирования цен (тарифов)», подпунктом 4 пункта 7 Положения о департаменте по тарифам Новосибирской области, утвержденного постановлением Правительства Новосибирской области от 25.02.2013 № 74-п специалистами отдела проводились наблюдения за соблюдением организациями, осуществляющими на территории Новосибирской области </w:t>
      </w:r>
      <w:r w:rsidRPr="000E4837">
        <w:rPr>
          <w:szCs w:val="28"/>
        </w:rPr>
        <w:t>деятельность в сфере теплоснабжения</w:t>
      </w:r>
      <w:r w:rsidRPr="004C0742">
        <w:rPr>
          <w:szCs w:val="28"/>
        </w:rPr>
        <w:t xml:space="preserve">, стандартов раскрытия информации в сфере </w:t>
      </w:r>
      <w:r w:rsidRPr="000E4837">
        <w:rPr>
          <w:szCs w:val="28"/>
        </w:rPr>
        <w:t>теплоснабжения</w:t>
      </w:r>
      <w:r w:rsidRPr="004C0742">
        <w:rPr>
          <w:szCs w:val="28"/>
        </w:rPr>
        <w:t>.</w:t>
      </w:r>
    </w:p>
    <w:p w:rsidR="00253348" w:rsidRPr="004C0742" w:rsidRDefault="00253348" w:rsidP="00253348">
      <w:pPr>
        <w:spacing w:after="0" w:line="240" w:lineRule="auto"/>
        <w:ind w:firstLine="567"/>
        <w:jc w:val="both"/>
        <w:rPr>
          <w:szCs w:val="28"/>
        </w:rPr>
      </w:pPr>
      <w:r w:rsidRPr="004C0742">
        <w:rPr>
          <w:szCs w:val="28"/>
        </w:rPr>
        <w:t xml:space="preserve">По результатам проведенных наблюдений, в случае выявления нарушений контролируемыми лицами обязательных требований стандартов раскрытия информации в сфере </w:t>
      </w:r>
      <w:r w:rsidRPr="000E4837">
        <w:rPr>
          <w:szCs w:val="28"/>
        </w:rPr>
        <w:t>теплоснабжения</w:t>
      </w:r>
      <w:r w:rsidRPr="004C0742">
        <w:rPr>
          <w:szCs w:val="28"/>
        </w:rPr>
        <w:t xml:space="preserve">, специалистами отдела направлялись руководителю департамента мотивированные представления об объявлении предостережений контролируемым лицам о недопустимости нарушений обязательных требований стандартов раскрытия информации в сфере </w:t>
      </w:r>
      <w:r w:rsidRPr="000E4837">
        <w:rPr>
          <w:szCs w:val="28"/>
        </w:rPr>
        <w:t>теплоснабжения</w:t>
      </w:r>
      <w:r w:rsidRPr="004C0742">
        <w:rPr>
          <w:szCs w:val="28"/>
        </w:rPr>
        <w:t>.</w:t>
      </w:r>
    </w:p>
    <w:p w:rsidR="00253348" w:rsidRPr="004C0742" w:rsidRDefault="00253348" w:rsidP="00253348">
      <w:pPr>
        <w:autoSpaceDE w:val="0"/>
        <w:autoSpaceDN w:val="0"/>
        <w:adjustRightInd w:val="0"/>
        <w:spacing w:after="0" w:line="240" w:lineRule="auto"/>
        <w:ind w:firstLine="540"/>
        <w:jc w:val="both"/>
        <w:rPr>
          <w:szCs w:val="28"/>
        </w:rPr>
      </w:pPr>
      <w:r w:rsidRPr="004C0742">
        <w:rPr>
          <w:szCs w:val="28"/>
        </w:rPr>
        <w:t xml:space="preserve">Раскрытие информации в сфере </w:t>
      </w:r>
      <w:r w:rsidRPr="000E4837">
        <w:rPr>
          <w:szCs w:val="28"/>
        </w:rPr>
        <w:t>теплоснабжения</w:t>
      </w:r>
      <w:r w:rsidRPr="004C0742">
        <w:rPr>
          <w:szCs w:val="28"/>
        </w:rPr>
        <w:t xml:space="preserve"> с 01.09.2023 года осуществляется на основании постановления Правительства Российской Федерации от 26.01.2023 № </w:t>
      </w:r>
      <w:r w:rsidRPr="000E4837">
        <w:rPr>
          <w:szCs w:val="28"/>
        </w:rPr>
        <w:t>110</w:t>
      </w:r>
      <w:r w:rsidRPr="004C0742">
        <w:rPr>
          <w:szCs w:val="28"/>
        </w:rPr>
        <w:t xml:space="preserve"> «</w:t>
      </w:r>
      <w:r w:rsidRPr="000E4837">
        <w:rPr>
          <w:szCs w:val="28"/>
        </w:rPr>
        <w:t>О стандартах раскрытия информации теплоснабжающими организациями, теплосетевыми организациями и органами регулирования тарифов в сфере теплоснабжения</w:t>
      </w:r>
      <w:r w:rsidRPr="004C0742">
        <w:rPr>
          <w:szCs w:val="28"/>
        </w:rPr>
        <w:t xml:space="preserve">». Раскрываемая информация в сфере </w:t>
      </w:r>
      <w:r w:rsidRPr="000E4837">
        <w:rPr>
          <w:szCs w:val="28"/>
        </w:rPr>
        <w:t xml:space="preserve">теплоснабжения </w:t>
      </w:r>
      <w:r w:rsidRPr="004C0742">
        <w:rPr>
          <w:szCs w:val="28"/>
        </w:rPr>
        <w:t>отражается на сайте департамента.</w:t>
      </w:r>
    </w:p>
    <w:p w:rsidR="00253348" w:rsidRPr="002D7FA0" w:rsidRDefault="00253348" w:rsidP="00253348">
      <w:pPr>
        <w:spacing w:after="0" w:line="240" w:lineRule="auto"/>
        <w:ind w:firstLine="567"/>
        <w:jc w:val="both"/>
        <w:rPr>
          <w:rFonts w:eastAsia="Calibri"/>
          <w:spacing w:val="2"/>
          <w:szCs w:val="28"/>
          <w:highlight w:val="yellow"/>
        </w:rPr>
      </w:pPr>
    </w:p>
    <w:p w:rsidR="00253348" w:rsidRDefault="00253348"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867D80" w:rsidRDefault="00867D80" w:rsidP="00A712E1">
      <w:pPr>
        <w:spacing w:after="0" w:line="240" w:lineRule="auto"/>
        <w:ind w:firstLine="709"/>
        <w:jc w:val="both"/>
        <w:rPr>
          <w:rFonts w:eastAsia="Times New Roman"/>
          <w:szCs w:val="28"/>
        </w:rPr>
      </w:pPr>
    </w:p>
    <w:p w:rsidR="00A91269" w:rsidRPr="003D5F60" w:rsidRDefault="00426FBD" w:rsidP="00426FBD">
      <w:pPr>
        <w:pStyle w:val="20231"/>
      </w:pPr>
      <w:bookmarkStart w:id="73" w:name="_Toc131067937"/>
      <w:bookmarkStart w:id="74" w:name="_Toc162431928"/>
      <w:bookmarkStart w:id="75" w:name="_Toc193810556"/>
      <w:r>
        <w:t>2.</w:t>
      </w:r>
      <w:r w:rsidR="00A91269" w:rsidRPr="003D5F60">
        <w:t>3. Газоснабжение</w:t>
      </w:r>
      <w:bookmarkEnd w:id="73"/>
      <w:bookmarkEnd w:id="74"/>
      <w:bookmarkEnd w:id="75"/>
    </w:p>
    <w:p w:rsidR="00A91269" w:rsidRDefault="00A91269" w:rsidP="00A91269">
      <w:pPr>
        <w:spacing w:after="0" w:line="240" w:lineRule="auto"/>
        <w:ind w:firstLine="709"/>
        <w:jc w:val="both"/>
        <w:rPr>
          <w:rFonts w:eastAsia="Calibri"/>
          <w:szCs w:val="28"/>
        </w:rPr>
      </w:pPr>
      <w:r>
        <w:rPr>
          <w:rFonts w:eastAsia="Calibri"/>
          <w:szCs w:val="28"/>
        </w:rPr>
        <w:t>В сфере газоснабжения департамент осуществляет полномочия по государственному регулированию цен (тарифов, платы, надбавок) в соответствии с требованиями Федерального закона от 31.03.1999 № 69-ФЗ «О газоснабжении в Российской Федерации», постановления Правительства Российской Федерации от 29.12.2000 № 1021, иных законодательных актов РФ.</w:t>
      </w:r>
    </w:p>
    <w:p w:rsidR="00A91269" w:rsidRDefault="00A91269" w:rsidP="003D5F60">
      <w:pPr>
        <w:pStyle w:val="4"/>
      </w:pPr>
      <w:bookmarkStart w:id="76" w:name="_Toc131067938"/>
      <w:bookmarkStart w:id="77" w:name="_Toc193810557"/>
      <w:r>
        <w:t>2.3.1. Услуги по транспортировке газа по региональным газораспределительным сетям</w:t>
      </w:r>
      <w:bookmarkEnd w:id="76"/>
      <w:r>
        <w:t xml:space="preserve"> газораспределительных организаций (ГРО)</w:t>
      </w:r>
      <w:bookmarkEnd w:id="77"/>
    </w:p>
    <w:p w:rsidR="00A91269" w:rsidRDefault="00A91269" w:rsidP="00A91269">
      <w:pPr>
        <w:spacing w:after="0" w:line="240" w:lineRule="auto"/>
        <w:ind w:firstLine="709"/>
        <w:jc w:val="both"/>
        <w:rPr>
          <w:rFonts w:eastAsia="Calibri"/>
          <w:szCs w:val="28"/>
        </w:rPr>
      </w:pPr>
      <w:r>
        <w:rPr>
          <w:rFonts w:eastAsia="Calibri"/>
          <w:szCs w:val="28"/>
        </w:rPr>
        <w:t xml:space="preserve">На территории Новосибирской области в 2024 году услуги по транспортировке газа по региональным газораспределительным сетям осуществляли 18 газораспределительных организаций (далее - ГРО), включая ООО «Газпром газораспределение Томск», осуществляющее деятельность по трем зонам тарифного регулирования. Для 16-ти ГРО приказами ФАС России (с участием департамента) установлены тарифы на транспортировку газа по газораспределительным сетям. </w:t>
      </w:r>
    </w:p>
    <w:p w:rsidR="00A91269" w:rsidRDefault="00A91269" w:rsidP="00A91269">
      <w:pPr>
        <w:spacing w:after="0" w:line="240" w:lineRule="auto"/>
        <w:ind w:firstLine="709"/>
        <w:jc w:val="both"/>
        <w:rPr>
          <w:rFonts w:eastAsia="Calibri"/>
          <w:szCs w:val="28"/>
        </w:rPr>
      </w:pPr>
      <w:r>
        <w:rPr>
          <w:rFonts w:eastAsia="Calibri"/>
          <w:szCs w:val="28"/>
          <w:highlight w:val="white"/>
        </w:rPr>
        <w:t xml:space="preserve">В течение 2024 года департаментом </w:t>
      </w:r>
      <w:r>
        <w:rPr>
          <w:szCs w:val="28"/>
          <w:highlight w:val="white"/>
        </w:rPr>
        <w:t>р</w:t>
      </w:r>
      <w:r>
        <w:rPr>
          <w:color w:val="000000"/>
          <w:szCs w:val="28"/>
          <w:highlight w:val="white"/>
        </w:rPr>
        <w:t>ассмотрено в установленном порядке (включая проведение технико-экономической экспертизы, анализа документальной и экономической обоснованности) предложений (заявлений), представленных ООО «Митра» и ООО «Промгазсервис» для установления (изменения) тарифов на транспортировку газа. Экспертные заключения об обоснованности предложений (заявлений) указанных ГРО, подготовленные департаментом по результатам рассмотрения материалов дел, направлены в ФАС России для установления тарифов на услуги по транспортировке газа.</w:t>
      </w:r>
    </w:p>
    <w:p w:rsidR="00A91269" w:rsidRDefault="00A91269" w:rsidP="003D5F60">
      <w:pPr>
        <w:pStyle w:val="4"/>
      </w:pPr>
      <w:bookmarkStart w:id="78" w:name="_Toc131067939"/>
      <w:bookmarkStart w:id="79" w:name="_Toc193810558"/>
      <w:r>
        <w:t>2.3.2. Специальные надбавки к тарифам на услуги по транспортировке природного газ</w:t>
      </w:r>
      <w:bookmarkEnd w:id="78"/>
      <w:r>
        <w:t>а по газораспределительным сетям, предназначенные для финансирования программы газификации</w:t>
      </w:r>
      <w:bookmarkEnd w:id="79"/>
    </w:p>
    <w:p w:rsidR="00A91269" w:rsidRDefault="00A91269" w:rsidP="00A91269">
      <w:pPr>
        <w:spacing w:after="0" w:line="240" w:lineRule="auto"/>
        <w:ind w:firstLine="851"/>
        <w:jc w:val="both"/>
        <w:rPr>
          <w:rFonts w:eastAsia="Calibri"/>
          <w:szCs w:val="28"/>
        </w:rPr>
      </w:pPr>
      <w:r>
        <w:rPr>
          <w:rFonts w:eastAsia="Calibri"/>
          <w:szCs w:val="28"/>
        </w:rPr>
        <w:t xml:space="preserve">Специальные надбавки к тарифам на услуги по транспортировке газа по газораспределительным сетям на 2025 год утверждены приказами департамента для 9-ти газораспределительных организаций. </w:t>
      </w:r>
    </w:p>
    <w:p w:rsidR="00A91269" w:rsidRDefault="00A91269" w:rsidP="00A91269">
      <w:pPr>
        <w:spacing w:after="0" w:line="240" w:lineRule="auto"/>
        <w:ind w:firstLine="851"/>
        <w:jc w:val="both"/>
        <w:rPr>
          <w:rFonts w:eastAsia="Calibri"/>
          <w:szCs w:val="28"/>
        </w:rPr>
      </w:pPr>
      <w:r>
        <w:rPr>
          <w:rFonts w:eastAsia="Calibri"/>
          <w:szCs w:val="28"/>
        </w:rPr>
        <w:lastRenderedPageBreak/>
        <w:t>Размеры утвержденных специальных надбавок к тарифам на транспортировку газа по газораспределительным сетям на территории Новосибирской области на 2024 год, а также соответствующие им приказы департамента приведены  в следующей таблице.</w:t>
      </w:r>
    </w:p>
    <w:p w:rsidR="003D5F60" w:rsidRDefault="003D5F60" w:rsidP="00A91269">
      <w:pPr>
        <w:spacing w:after="0" w:line="240" w:lineRule="auto"/>
        <w:ind w:firstLine="851"/>
        <w:jc w:val="both"/>
        <w:rPr>
          <w:rFonts w:eastAsia="Calibri"/>
          <w:szCs w:val="28"/>
        </w:rPr>
      </w:pPr>
    </w:p>
    <w:p w:rsidR="003D5F60" w:rsidRDefault="003D5F60" w:rsidP="00A91269">
      <w:pPr>
        <w:spacing w:after="0" w:line="240" w:lineRule="auto"/>
        <w:ind w:firstLine="851"/>
        <w:jc w:val="both"/>
        <w:rPr>
          <w:rFonts w:eastAsia="Calibri"/>
          <w:szCs w:val="28"/>
        </w:rPr>
      </w:pPr>
    </w:p>
    <w:p w:rsidR="003D5F60" w:rsidRDefault="003D5F60" w:rsidP="00A91269">
      <w:pPr>
        <w:spacing w:after="0" w:line="240" w:lineRule="auto"/>
        <w:ind w:firstLine="851"/>
        <w:jc w:val="both"/>
        <w:rPr>
          <w:rFonts w:eastAsia="Calibri"/>
          <w:szCs w:val="28"/>
        </w:rPr>
      </w:pPr>
    </w:p>
    <w:p w:rsidR="00A91269" w:rsidRDefault="00A91269" w:rsidP="00A91269">
      <w:pPr>
        <w:spacing w:after="0" w:line="240" w:lineRule="auto"/>
        <w:ind w:firstLine="851"/>
        <w:jc w:val="right"/>
        <w:rPr>
          <w:rFonts w:eastAsia="Calibri"/>
          <w:sz w:val="24"/>
        </w:rPr>
      </w:pPr>
    </w:p>
    <w:tbl>
      <w:tblPr>
        <w:tblW w:w="9327" w:type="dxa"/>
        <w:tblInd w:w="93" w:type="dxa"/>
        <w:tblLook w:val="04A0" w:firstRow="1" w:lastRow="0" w:firstColumn="1" w:lastColumn="0" w:noHBand="0" w:noVBand="1"/>
      </w:tblPr>
      <w:tblGrid>
        <w:gridCol w:w="4693"/>
        <w:gridCol w:w="1684"/>
        <w:gridCol w:w="301"/>
        <w:gridCol w:w="2413"/>
        <w:gridCol w:w="236"/>
      </w:tblGrid>
      <w:tr w:rsidR="00A91269" w:rsidRPr="003D5F60" w:rsidTr="003D5F60">
        <w:trPr>
          <w:trHeight w:val="1470"/>
        </w:trPr>
        <w:tc>
          <w:tcPr>
            <w:tcW w:w="4693"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b/>
                <w:bCs/>
                <w:sz w:val="20"/>
                <w:szCs w:val="20"/>
              </w:rPr>
            </w:pPr>
            <w:r w:rsidRPr="003D5F60">
              <w:rPr>
                <w:rFonts w:eastAsia="Times New Roman"/>
                <w:b/>
                <w:bCs/>
                <w:sz w:val="20"/>
                <w:szCs w:val="20"/>
              </w:rPr>
              <w:t>Наименование ГРО</w:t>
            </w:r>
          </w:p>
        </w:tc>
        <w:tc>
          <w:tcPr>
            <w:tcW w:w="1985"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b/>
                <w:bCs/>
                <w:sz w:val="20"/>
                <w:szCs w:val="20"/>
              </w:rPr>
            </w:pPr>
            <w:r w:rsidRPr="003D5F60">
              <w:rPr>
                <w:rFonts w:eastAsia="Times New Roman"/>
                <w:b/>
                <w:bCs/>
                <w:sz w:val="20"/>
                <w:szCs w:val="20"/>
              </w:rPr>
              <w:t>Размер специальной надбавки, руб. за 1000 куб. м                                       (без учета НДС)</w:t>
            </w:r>
          </w:p>
        </w:tc>
        <w:tc>
          <w:tcPr>
            <w:tcW w:w="2649"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b/>
                <w:bCs/>
                <w:sz w:val="20"/>
                <w:szCs w:val="20"/>
              </w:rPr>
            </w:pPr>
            <w:r w:rsidRPr="003D5F60">
              <w:rPr>
                <w:rFonts w:eastAsia="Times New Roman"/>
                <w:b/>
                <w:bCs/>
                <w:sz w:val="20"/>
                <w:szCs w:val="20"/>
              </w:rPr>
              <w:t>Приказ департамента  (номер, дата утверждения)</w:t>
            </w:r>
          </w:p>
        </w:tc>
      </w:tr>
      <w:tr w:rsidR="00A91269" w:rsidRPr="003D5F60" w:rsidTr="003D5F60">
        <w:trPr>
          <w:trHeight w:val="617"/>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 ООО «Газпром газораспределение Томск» по трём зонам:</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674-Г/НПА от 24.12.2024</w:t>
            </w:r>
          </w:p>
        </w:tc>
      </w:tr>
      <w:tr w:rsidR="00A91269" w:rsidRPr="003D5F60" w:rsidTr="003D5F60">
        <w:trPr>
          <w:trHeight w:val="699"/>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1.1. для потребителей в зоне обслуживания ООО «Газпром газораспределение Томск»</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179,56</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rPr>
                <w:sz w:val="20"/>
                <w:szCs w:val="20"/>
              </w:rPr>
            </w:pPr>
          </w:p>
        </w:tc>
      </w:tr>
      <w:tr w:rsidR="00A91269" w:rsidRPr="003D5F60" w:rsidTr="003D5F60">
        <w:trPr>
          <w:trHeight w:val="978"/>
        </w:trPr>
        <w:tc>
          <w:tcPr>
            <w:tcW w:w="4693"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1.2. для потребителей, которые до 1 июля 2016 года находились в зоне обслуживания АО «Сибирьгазсервис»</w:t>
            </w:r>
          </w:p>
        </w:tc>
        <w:tc>
          <w:tcPr>
            <w:tcW w:w="1985" w:type="dxa"/>
            <w:gridSpan w:val="2"/>
            <w:tcBorders>
              <w:top w:val="none" w:sz="4" w:space="0" w:color="000000"/>
              <w:left w:val="none" w:sz="4" w:space="0" w:color="000000"/>
              <w:bottom w:val="single" w:sz="4" w:space="0" w:color="000000"/>
              <w:right w:val="single" w:sz="4" w:space="0" w:color="000000"/>
            </w:tcBorders>
            <w:shd w:val="clear" w:color="FFFFFF" w:fill="FFFFFF"/>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140,54</w:t>
            </w:r>
          </w:p>
        </w:tc>
        <w:tc>
          <w:tcPr>
            <w:tcW w:w="2649" w:type="dxa"/>
            <w:gridSpan w:val="2"/>
            <w:tcBorders>
              <w:top w:val="none" w:sz="4" w:space="0" w:color="000000"/>
              <w:left w:val="none" w:sz="4" w:space="0" w:color="000000"/>
              <w:bottom w:val="single" w:sz="4" w:space="0" w:color="000000"/>
              <w:right w:val="single" w:sz="4" w:space="0" w:color="000000"/>
            </w:tcBorders>
            <w:shd w:val="clear" w:color="FFFFFF" w:fill="FFFFFF"/>
            <w:vAlign w:val="center"/>
          </w:tcPr>
          <w:p w:rsidR="00A91269" w:rsidRPr="003D5F60" w:rsidRDefault="00A91269" w:rsidP="005A5E13">
            <w:pPr>
              <w:rPr>
                <w:sz w:val="20"/>
                <w:szCs w:val="20"/>
              </w:rPr>
            </w:pPr>
          </w:p>
        </w:tc>
      </w:tr>
      <w:tr w:rsidR="00A91269" w:rsidRPr="003D5F60" w:rsidTr="003D5F60">
        <w:trPr>
          <w:trHeight w:val="845"/>
        </w:trPr>
        <w:tc>
          <w:tcPr>
            <w:tcW w:w="4693"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1.3. для потребителей, которые до 1 октября 2017 года находились в зоне обслуживания АО «ГазТрансКом»</w:t>
            </w:r>
          </w:p>
        </w:tc>
        <w:tc>
          <w:tcPr>
            <w:tcW w:w="1985"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154,26</w:t>
            </w:r>
          </w:p>
        </w:tc>
        <w:tc>
          <w:tcPr>
            <w:tcW w:w="2649"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rPr>
                <w:sz w:val="20"/>
                <w:szCs w:val="20"/>
              </w:rPr>
            </w:pPr>
          </w:p>
        </w:tc>
      </w:tr>
      <w:tr w:rsidR="00A91269" w:rsidRPr="003D5F60" w:rsidTr="003D5F60">
        <w:trPr>
          <w:trHeight w:val="419"/>
        </w:trPr>
        <w:tc>
          <w:tcPr>
            <w:tcW w:w="4693"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2. АО «Городские газовые сети»</w:t>
            </w:r>
          </w:p>
        </w:tc>
        <w:tc>
          <w:tcPr>
            <w:tcW w:w="1985"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141,67&lt;***&gt;</w:t>
            </w:r>
          </w:p>
        </w:tc>
        <w:tc>
          <w:tcPr>
            <w:tcW w:w="2649" w:type="dxa"/>
            <w:gridSpan w:val="2"/>
            <w:tcBorders>
              <w:top w:val="single" w:sz="4" w:space="0" w:color="auto"/>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675-Г/НПА от 24.12.2024</w:t>
            </w:r>
          </w:p>
        </w:tc>
      </w:tr>
      <w:tr w:rsidR="00A91269" w:rsidRPr="003D5F60" w:rsidTr="003D5F60">
        <w:trPr>
          <w:trHeight w:val="553"/>
        </w:trPr>
        <w:tc>
          <w:tcPr>
            <w:tcW w:w="4693"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3. ООО «АльфаГазСтройСервис»</w:t>
            </w:r>
          </w:p>
        </w:tc>
        <w:tc>
          <w:tcPr>
            <w:tcW w:w="1985" w:type="dxa"/>
            <w:gridSpan w:val="2"/>
            <w:tcBorders>
              <w:top w:val="none" w:sz="4" w:space="0" w:color="000000"/>
              <w:left w:val="none" w:sz="4" w:space="0" w:color="000000"/>
              <w:bottom w:val="single" w:sz="4" w:space="0" w:color="000000"/>
              <w:right w:val="single" w:sz="4" w:space="0" w:color="000000"/>
            </w:tcBorders>
            <w:shd w:val="clear" w:color="FFFFFF" w:fill="FFFFFF"/>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72,34</w:t>
            </w:r>
          </w:p>
        </w:tc>
        <w:tc>
          <w:tcPr>
            <w:tcW w:w="2649" w:type="dxa"/>
            <w:gridSpan w:val="2"/>
            <w:tcBorders>
              <w:top w:val="none" w:sz="4" w:space="0" w:color="000000"/>
              <w:left w:val="none" w:sz="4" w:space="0" w:color="000000"/>
              <w:bottom w:val="single" w:sz="4" w:space="0" w:color="000000"/>
              <w:right w:val="single" w:sz="4" w:space="0" w:color="000000"/>
            </w:tcBorders>
            <w:shd w:val="clear" w:color="FFFFFF" w:fill="FFFFFF"/>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676-Г/НПА от 24.12.2024</w:t>
            </w:r>
          </w:p>
        </w:tc>
      </w:tr>
      <w:tr w:rsidR="00A91269" w:rsidRPr="003D5F60" w:rsidTr="003D5F60">
        <w:trPr>
          <w:trHeight w:val="553"/>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4. ООО «Новосибирскоблгаз»</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302,83 &lt;***&gt;</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680-Г/НПА от 24.12.2024</w:t>
            </w:r>
          </w:p>
        </w:tc>
      </w:tr>
      <w:tr w:rsidR="00A91269" w:rsidRPr="003D5F60" w:rsidTr="003D5F60">
        <w:trPr>
          <w:trHeight w:val="703"/>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5. ООО «НПП «Сибирский энергетический центр»</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194,51&lt;***&gt;</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679-Г/НПА от 24.12.2024</w:t>
            </w:r>
          </w:p>
        </w:tc>
      </w:tr>
      <w:tr w:rsidR="00A91269" w:rsidRPr="003D5F60" w:rsidTr="003D5F60">
        <w:trPr>
          <w:trHeight w:val="415"/>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6. ООО «ТеплоГазСервис» &lt;*&gt;</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129,42</w:t>
            </w:r>
            <w:r w:rsidRPr="003D5F60">
              <w:rPr>
                <w:rFonts w:eastAsia="Times New Roman"/>
                <w:i/>
                <w:sz w:val="20"/>
                <w:szCs w:val="20"/>
              </w:rPr>
              <w:t>&lt;***&gt;</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682-Г/НПА от 24.12.2024</w:t>
            </w:r>
          </w:p>
        </w:tc>
      </w:tr>
      <w:tr w:rsidR="00A91269" w:rsidRPr="003D5F60" w:rsidTr="003D5F60">
        <w:trPr>
          <w:trHeight w:val="480"/>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xml:space="preserve">7. ООО «Техногаз» </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444,89&lt;***&gt;</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678-Г/НПА от 24.12.2024</w:t>
            </w:r>
          </w:p>
        </w:tc>
      </w:tr>
      <w:tr w:rsidR="00A91269" w:rsidRPr="003D5F60" w:rsidTr="003D5F60">
        <w:trPr>
          <w:trHeight w:val="480"/>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8. ООО «Стимул»</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399,08</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681-Г/НПА от 24.12.2024</w:t>
            </w:r>
          </w:p>
        </w:tc>
      </w:tr>
      <w:tr w:rsidR="00A91269" w:rsidRPr="003D5F60" w:rsidTr="003D5F60">
        <w:trPr>
          <w:trHeight w:val="480"/>
        </w:trPr>
        <w:tc>
          <w:tcPr>
            <w:tcW w:w="4693" w:type="dxa"/>
            <w:tcBorders>
              <w:top w:val="none" w:sz="4" w:space="0" w:color="000000"/>
              <w:left w:val="single" w:sz="4" w:space="0" w:color="auto"/>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9. ООО «Фортуна+» &lt;**&gt;</w:t>
            </w:r>
          </w:p>
        </w:tc>
        <w:tc>
          <w:tcPr>
            <w:tcW w:w="1985"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393,01</w:t>
            </w:r>
          </w:p>
        </w:tc>
        <w:tc>
          <w:tcPr>
            <w:tcW w:w="2649"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677-Г/НПА от 24.12.2024</w:t>
            </w:r>
          </w:p>
        </w:tc>
      </w:tr>
      <w:tr w:rsidR="00A91269" w:rsidRPr="003D5F60" w:rsidTr="003D5F60">
        <w:trPr>
          <w:trHeight w:val="750"/>
        </w:trPr>
        <w:tc>
          <w:tcPr>
            <w:tcW w:w="9327" w:type="dxa"/>
            <w:gridSpan w:val="5"/>
            <w:tcBorders>
              <w:top w:val="none" w:sz="4" w:space="0" w:color="000000"/>
              <w:left w:val="none" w:sz="4" w:space="0" w:color="000000"/>
              <w:bottom w:val="none" w:sz="4" w:space="0" w:color="000000"/>
              <w:right w:val="none" w:sz="4" w:space="0" w:color="000000"/>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&lt;*&gt;  С 1 января 2025 года, организация, применяющая упрощенную систему налогообложения, уплачивает налог на добавленную стоимость по налоговой ставке в размере 5%.</w:t>
            </w:r>
          </w:p>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xml:space="preserve">&lt;**&gt; НДС не предусмотрен (в отношении организации применяется упрощённая система </w:t>
            </w:r>
          </w:p>
          <w:p w:rsidR="00A91269" w:rsidRPr="003D5F60" w:rsidRDefault="00A91269" w:rsidP="005A5E13">
            <w:pPr>
              <w:spacing w:after="0" w:line="240" w:lineRule="auto"/>
              <w:rPr>
                <w:rFonts w:eastAsia="Times New Roman"/>
                <w:sz w:val="20"/>
                <w:szCs w:val="20"/>
              </w:rPr>
            </w:pPr>
            <w:r w:rsidRPr="003D5F60">
              <w:rPr>
                <w:rFonts w:eastAsia="Times New Roman"/>
                <w:sz w:val="20"/>
                <w:szCs w:val="20"/>
              </w:rPr>
              <w:t>налогообложения в соответствии с главой 26.2 Налогового кодекса Российской Федерации).</w:t>
            </w:r>
          </w:p>
        </w:tc>
      </w:tr>
      <w:tr w:rsidR="00A91269" w:rsidRPr="003D5F60" w:rsidTr="003D5F60">
        <w:trPr>
          <w:trHeight w:val="465"/>
        </w:trPr>
        <w:tc>
          <w:tcPr>
            <w:tcW w:w="6377" w:type="dxa"/>
            <w:gridSpan w:val="2"/>
            <w:tcBorders>
              <w:top w:val="none" w:sz="4" w:space="0" w:color="000000"/>
              <w:left w:val="none" w:sz="4" w:space="0" w:color="000000"/>
              <w:bottom w:val="none" w:sz="4" w:space="0" w:color="000000"/>
              <w:right w:val="none" w:sz="4" w:space="0" w:color="000000"/>
            </w:tcBorders>
            <w:shd w:val="clear" w:color="auto" w:fill="auto"/>
            <w:vAlign w:val="center"/>
          </w:tcPr>
          <w:p w:rsidR="00A91269" w:rsidRPr="003D5F60" w:rsidRDefault="00A91269" w:rsidP="005A5E13">
            <w:pPr>
              <w:spacing w:after="0" w:line="240" w:lineRule="auto"/>
              <w:rPr>
                <w:rFonts w:eastAsia="Times New Roman"/>
                <w:sz w:val="20"/>
                <w:szCs w:val="20"/>
              </w:rPr>
            </w:pPr>
            <w:r w:rsidRPr="003D5F60">
              <w:rPr>
                <w:rFonts w:eastAsia="Times New Roman"/>
                <w:sz w:val="20"/>
                <w:szCs w:val="20"/>
              </w:rPr>
              <w:t xml:space="preserve">&lt;***&gt; Указан средний размер специальной надбавки. </w:t>
            </w:r>
          </w:p>
        </w:tc>
        <w:tc>
          <w:tcPr>
            <w:tcW w:w="2714" w:type="dxa"/>
            <w:gridSpan w:val="2"/>
            <w:tcBorders>
              <w:top w:val="none" w:sz="4" w:space="0" w:color="000000"/>
              <w:left w:val="none" w:sz="4" w:space="0" w:color="000000"/>
              <w:bottom w:val="none" w:sz="4" w:space="0" w:color="000000"/>
              <w:right w:val="none" w:sz="4" w:space="0" w:color="000000"/>
            </w:tcBorders>
            <w:shd w:val="clear" w:color="auto" w:fill="auto"/>
            <w:vAlign w:val="center"/>
          </w:tcPr>
          <w:p w:rsidR="00A91269" w:rsidRPr="003D5F60" w:rsidRDefault="00A91269" w:rsidP="005A5E13">
            <w:pPr>
              <w:spacing w:after="0" w:line="240" w:lineRule="auto"/>
              <w:rPr>
                <w:rFonts w:eastAsia="Times New Roman"/>
                <w:sz w:val="20"/>
                <w:szCs w:val="20"/>
              </w:rPr>
            </w:pPr>
          </w:p>
        </w:tc>
        <w:tc>
          <w:tcPr>
            <w:tcW w:w="236" w:type="dxa"/>
            <w:tcBorders>
              <w:top w:val="none" w:sz="4" w:space="0" w:color="000000"/>
              <w:left w:val="none" w:sz="4" w:space="0" w:color="000000"/>
              <w:bottom w:val="none" w:sz="4" w:space="0" w:color="000000"/>
              <w:right w:val="none" w:sz="4" w:space="0" w:color="000000"/>
            </w:tcBorders>
            <w:shd w:val="clear" w:color="auto" w:fill="auto"/>
            <w:vAlign w:val="center"/>
          </w:tcPr>
          <w:p w:rsidR="00A91269" w:rsidRPr="003D5F60" w:rsidRDefault="00A91269" w:rsidP="005A5E13">
            <w:pPr>
              <w:spacing w:after="0" w:line="240" w:lineRule="auto"/>
              <w:rPr>
                <w:rFonts w:eastAsia="Times New Roman"/>
                <w:sz w:val="20"/>
                <w:szCs w:val="20"/>
              </w:rPr>
            </w:pPr>
          </w:p>
        </w:tc>
      </w:tr>
    </w:tbl>
    <w:p w:rsidR="00A91269" w:rsidRDefault="00A91269" w:rsidP="00A91269">
      <w:pPr>
        <w:spacing w:after="0" w:line="240" w:lineRule="auto"/>
        <w:ind w:firstLine="709"/>
        <w:jc w:val="both"/>
        <w:rPr>
          <w:rFonts w:eastAsia="Calibri"/>
          <w:szCs w:val="28"/>
        </w:rPr>
      </w:pPr>
      <w:r>
        <w:rPr>
          <w:rFonts w:eastAsia="Calibri"/>
          <w:szCs w:val="28"/>
        </w:rPr>
        <w:t>Средства, полученные от применения специальных надбавок</w:t>
      </w:r>
      <w:r>
        <w:rPr>
          <w:rFonts w:ascii="Calibri" w:eastAsia="Times New Roman" w:hAnsi="Calibri"/>
        </w:rPr>
        <w:t xml:space="preserve"> </w:t>
      </w:r>
      <w:r>
        <w:rPr>
          <w:rFonts w:eastAsia="Calibri"/>
          <w:szCs w:val="28"/>
        </w:rPr>
        <w:t>к тарифам на услуги по транспортировке газа по газораспределительным сетям,</w:t>
      </w:r>
      <w:r>
        <w:rPr>
          <w:rFonts w:ascii="Calibri" w:eastAsia="Calibri" w:hAnsi="Calibri"/>
          <w:b/>
        </w:rPr>
        <w:t xml:space="preserve"> </w:t>
      </w:r>
      <w:r>
        <w:rPr>
          <w:rFonts w:eastAsia="Times New Roman"/>
          <w:szCs w:val="28"/>
        </w:rPr>
        <w:t xml:space="preserve">предназначены для финансирования Региональной программы газификации жилищно-коммунального хозяйства, промышленных и иных организаций на </w:t>
      </w:r>
      <w:r>
        <w:rPr>
          <w:rFonts w:eastAsia="Times New Roman"/>
          <w:szCs w:val="28"/>
        </w:rPr>
        <w:lastRenderedPageBreak/>
        <w:t>территории Новосибирской области, утвержденной постановлением Правительства Новосибирской области от 30.03.2022 № 144-п.</w:t>
      </w:r>
    </w:p>
    <w:p w:rsidR="00A91269" w:rsidRDefault="00A91269" w:rsidP="00A91269">
      <w:pPr>
        <w:spacing w:after="0" w:line="240" w:lineRule="auto"/>
        <w:ind w:firstLine="709"/>
        <w:jc w:val="both"/>
        <w:rPr>
          <w:rFonts w:eastAsia="Calibri"/>
          <w:szCs w:val="28"/>
        </w:rPr>
      </w:pPr>
      <w:r>
        <w:rPr>
          <w:rFonts w:eastAsia="Calibri"/>
          <w:szCs w:val="28"/>
        </w:rPr>
        <w:t xml:space="preserve">Специальные надбавки, утвержденные департаментом, не применяются к тарифам на услуги по транспортировке газа для населения и к тарифам на услуги по транспортировке газа в транзитном потоке. </w:t>
      </w:r>
    </w:p>
    <w:p w:rsidR="00A91269" w:rsidRDefault="00A91269" w:rsidP="003D5F60">
      <w:pPr>
        <w:pStyle w:val="4"/>
      </w:pPr>
      <w:r>
        <w:rPr>
          <w:color w:val="FF0000"/>
        </w:rPr>
        <w:t xml:space="preserve"> </w:t>
      </w:r>
      <w:bookmarkStart w:id="80" w:name="_Toc131067940"/>
      <w:bookmarkStart w:id="81" w:name="_Toc193810559"/>
      <w:r>
        <w:t>2.3.3. Розничные цены на газ для населения</w:t>
      </w:r>
      <w:bookmarkEnd w:id="80"/>
      <w:bookmarkEnd w:id="81"/>
    </w:p>
    <w:p w:rsidR="00A91269" w:rsidRDefault="00A91269" w:rsidP="00A91269">
      <w:pPr>
        <w:spacing w:after="0" w:line="240" w:lineRule="auto"/>
        <w:ind w:firstLine="709"/>
        <w:jc w:val="both"/>
        <w:rPr>
          <w:rFonts w:eastAsia="Calibri"/>
          <w:szCs w:val="28"/>
        </w:rPr>
      </w:pPr>
      <w:r>
        <w:rPr>
          <w:rFonts w:eastAsia="Calibri"/>
          <w:szCs w:val="28"/>
        </w:rPr>
        <w:t xml:space="preserve">Розничные цены на газ природный и сжиженный, реализуемый населению, на 2025 год установлены департаментом при соблюдении требований </w:t>
      </w:r>
      <w:hyperlink r:id="rId65" w:tooltip="consultantplus://offline/ref=2C69E2858C4C65B810ED2DD260DC91D665181F9BEFB2D3C1F140BE605514BAF75C84AE4561779346AA25CE2324D53B05E159X2J" w:history="1">
        <w:r>
          <w:rPr>
            <w:rStyle w:val="a3"/>
            <w:szCs w:val="28"/>
          </w:rPr>
          <w:t>постановлени</w:t>
        </w:r>
      </w:hyperlink>
      <w:r>
        <w:rPr>
          <w:szCs w:val="28"/>
        </w:rPr>
        <w:t>я Губернатора Новосибирской области от 28.12.2024 № 261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2025 год»</w:t>
      </w:r>
      <w:r>
        <w:rPr>
          <w:rFonts w:eastAsia="Calibri"/>
          <w:szCs w:val="28"/>
        </w:rPr>
        <w:t xml:space="preserve"> (согласно распоряжению Правительства Российской Федерации от 15.11.2024 № 3287-р, которым установлены индексы изменения размера вносимой гражданами  платы за коммунальные услуги по Новосибирской области на 2025 год в размерах: с 1 января 2025 года – 0 %; с 1 июля 2025 года - 11,9 %).</w:t>
      </w:r>
    </w:p>
    <w:p w:rsidR="00A91269" w:rsidRDefault="00A91269" w:rsidP="003D5F60">
      <w:pPr>
        <w:pStyle w:val="4"/>
      </w:pPr>
      <w:bookmarkStart w:id="82" w:name="_Toc193810560"/>
      <w:r>
        <w:t>2.3.3.1. Розничные цены на природный  газ для населения</w:t>
      </w:r>
      <w:bookmarkEnd w:id="82"/>
    </w:p>
    <w:p w:rsidR="00A91269" w:rsidRDefault="00A91269" w:rsidP="00A91269">
      <w:pPr>
        <w:pStyle w:val="af9"/>
        <w:ind w:firstLine="709"/>
        <w:jc w:val="both"/>
        <w:rPr>
          <w:rFonts w:ascii="Times New Roman" w:hAnsi="Times New Roman"/>
          <w:sz w:val="28"/>
          <w:szCs w:val="28"/>
        </w:rPr>
      </w:pPr>
      <w:r>
        <w:rPr>
          <w:rFonts w:ascii="Times New Roman" w:hAnsi="Times New Roman"/>
          <w:sz w:val="28"/>
          <w:szCs w:val="28"/>
        </w:rPr>
        <w:t xml:space="preserve">Природный газ реализуется населению, проживающему на территории Новосибирской области, региональной компанией по реализации природного газа ООО «Газпром межрегионгаз Новосибирск». </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Розничные цены на газ на 2025 год сформированы департаментом в соответствии с Методическими указаниями по регулированию розничных цен на газ, реализуемый населению, утвержденными приказом ФСТ России от 27.10.2011 № 252-э/2, исходя из следующих  составляющих:</w:t>
      </w:r>
    </w:p>
    <w:p w:rsidR="00A91269" w:rsidRDefault="00A91269" w:rsidP="00585C99">
      <w:pPr>
        <w:pStyle w:val="af9"/>
        <w:numPr>
          <w:ilvl w:val="0"/>
          <w:numId w:val="3"/>
        </w:numPr>
        <w:ind w:left="0" w:firstLine="709"/>
        <w:jc w:val="both"/>
        <w:rPr>
          <w:rFonts w:ascii="Times New Roman" w:eastAsia="Times New Roman" w:hAnsi="Times New Roman"/>
          <w:sz w:val="28"/>
          <w:szCs w:val="28"/>
        </w:rPr>
      </w:pPr>
      <w:r>
        <w:rPr>
          <w:rFonts w:ascii="Times New Roman" w:eastAsia="Times New Roman" w:hAnsi="Times New Roman"/>
          <w:sz w:val="28"/>
          <w:szCs w:val="28"/>
        </w:rPr>
        <w:t xml:space="preserve">Оптовая цена на природный газ для населения  на 2025 год, которая учтена в соответствии с приказом ФАС России от 28.11.2023 № 908/23, с учётом  проекта приказа ФАС России «Об утверждении оптовых цен на газ, добываемый ПАО «Газпром» и его аффилированными лицами, предназначенный для последующей реализации населению» (опубликован на официальном сайте Федерального портала проектов нормативных правовых актов: </w:t>
      </w:r>
      <w:r>
        <w:rPr>
          <w:rFonts w:ascii="Times New Roman" w:eastAsia="Times New Roman" w:hAnsi="Times New Roman"/>
          <w:sz w:val="28"/>
          <w:szCs w:val="28"/>
          <w:u w:val="single"/>
          <w:lang w:val="en-US"/>
        </w:rPr>
        <w:t>regulation</w:t>
      </w:r>
      <w:r>
        <w:rPr>
          <w:rFonts w:ascii="Times New Roman" w:eastAsia="Times New Roman" w:hAnsi="Times New Roman"/>
          <w:sz w:val="28"/>
          <w:szCs w:val="28"/>
          <w:u w:val="single"/>
        </w:rPr>
        <w:t>.</w:t>
      </w:r>
      <w:r>
        <w:rPr>
          <w:rFonts w:ascii="Times New Roman" w:eastAsia="Times New Roman" w:hAnsi="Times New Roman"/>
          <w:sz w:val="28"/>
          <w:szCs w:val="28"/>
          <w:u w:val="single"/>
          <w:lang w:val="en-US"/>
        </w:rPr>
        <w:t>gov</w:t>
      </w:r>
      <w:r>
        <w:rPr>
          <w:rFonts w:ascii="Times New Roman" w:eastAsia="Times New Roman" w:hAnsi="Times New Roman"/>
          <w:sz w:val="28"/>
          <w:szCs w:val="28"/>
          <w:u w:val="single"/>
        </w:rPr>
        <w:t>.</w:t>
      </w:r>
      <w:r>
        <w:rPr>
          <w:rFonts w:ascii="Times New Roman" w:eastAsia="Times New Roman" w:hAnsi="Times New Roman"/>
          <w:sz w:val="28"/>
          <w:szCs w:val="28"/>
          <w:u w:val="single"/>
          <w:lang w:val="en-US"/>
        </w:rPr>
        <w:t>ru</w:t>
      </w:r>
      <w:r>
        <w:rPr>
          <w:rFonts w:ascii="Times New Roman" w:eastAsia="Times New Roman" w:hAnsi="Times New Roman"/>
          <w:sz w:val="28"/>
          <w:szCs w:val="28"/>
        </w:rPr>
        <w:t xml:space="preserve">). </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2) Средняя региональная составляющая розничной цены на природный газ, учитывающая:</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 плановые объемы транспортировки газа по сетям ГРО, осуществляющих  на территории Новосибирской области деятельность по транспортировке газа по группе потребителей «население», в соответствии с предложением ООО «Газпром межрегионгаз Новосибирск» исходя из соответствующих договоров с ГРО;</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 xml:space="preserve">- тарифы на услуги по транспортировке газа по газораспределительным сетям региональных ГРО по группе потребителей «население» и в транзитном потоке в соответствии с приказами ФАС России (проектами приказов ФАС России об установлении тарифов для ГРО, опубликованными </w:t>
      </w:r>
      <w:r>
        <w:rPr>
          <w:rFonts w:ascii="Times New Roman" w:eastAsia="Times New Roman" w:hAnsi="Times New Roman"/>
          <w:sz w:val="28"/>
          <w:szCs w:val="28"/>
        </w:rPr>
        <w:lastRenderedPageBreak/>
        <w:t xml:space="preserve">на официальном сайте Федерального портала проектов нормативных правовых актов </w:t>
      </w:r>
      <w:r>
        <w:rPr>
          <w:rFonts w:ascii="Times New Roman" w:eastAsia="Times New Roman" w:hAnsi="Times New Roman"/>
          <w:sz w:val="28"/>
          <w:szCs w:val="28"/>
          <w:u w:val="single"/>
          <w:lang w:val="en-US"/>
        </w:rPr>
        <w:t>regulation</w:t>
      </w:r>
      <w:r>
        <w:rPr>
          <w:rFonts w:ascii="Times New Roman" w:eastAsia="Times New Roman" w:hAnsi="Times New Roman"/>
          <w:sz w:val="28"/>
          <w:szCs w:val="28"/>
          <w:u w:val="single"/>
        </w:rPr>
        <w:t>.</w:t>
      </w:r>
      <w:r>
        <w:rPr>
          <w:rFonts w:ascii="Times New Roman" w:eastAsia="Times New Roman" w:hAnsi="Times New Roman"/>
          <w:sz w:val="28"/>
          <w:szCs w:val="28"/>
          <w:u w:val="single"/>
          <w:lang w:val="en-US"/>
        </w:rPr>
        <w:t>gov</w:t>
      </w:r>
      <w:r>
        <w:rPr>
          <w:rFonts w:ascii="Times New Roman" w:eastAsia="Times New Roman" w:hAnsi="Times New Roman"/>
          <w:sz w:val="28"/>
          <w:szCs w:val="28"/>
          <w:u w:val="single"/>
        </w:rPr>
        <w:t>.</w:t>
      </w:r>
      <w:r>
        <w:rPr>
          <w:rFonts w:ascii="Times New Roman" w:eastAsia="Times New Roman" w:hAnsi="Times New Roman"/>
          <w:sz w:val="28"/>
          <w:szCs w:val="28"/>
          <w:u w:val="single"/>
          <w:lang w:val="en-US"/>
        </w:rPr>
        <w:t>ru</w:t>
      </w:r>
      <w:r>
        <w:rPr>
          <w:rFonts w:ascii="Times New Roman" w:eastAsia="Times New Roman" w:hAnsi="Times New Roman"/>
          <w:sz w:val="28"/>
          <w:szCs w:val="28"/>
        </w:rPr>
        <w:t>);</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 плату за снабженческо-сбытовые услуги, оказываемые ООО «Газпром межрегионгаз Новосибирск» на территории Новосибирской области, в размере, утвержденном приказом ФАС России от 31.10.2022 № 775/22.</w:t>
      </w:r>
    </w:p>
    <w:p w:rsidR="00A91269" w:rsidRDefault="00A91269" w:rsidP="00A91269">
      <w:pPr>
        <w:pStyle w:val="af9"/>
        <w:ind w:firstLine="709"/>
        <w:jc w:val="both"/>
        <w:rPr>
          <w:rFonts w:ascii="Times New Roman" w:hAnsi="Times New Roman"/>
          <w:sz w:val="28"/>
          <w:szCs w:val="28"/>
        </w:rPr>
      </w:pPr>
      <w:r>
        <w:rPr>
          <w:rFonts w:ascii="Times New Roman" w:eastAsia="Times New Roman" w:hAnsi="Times New Roman"/>
          <w:sz w:val="28"/>
          <w:szCs w:val="28"/>
        </w:rPr>
        <w:t xml:space="preserve">Розничные цены на природный газ для населения установлены приказом департамента от 20.12.2024 № 602-Г/НПА: с </w:t>
      </w:r>
      <w:r>
        <w:rPr>
          <w:rFonts w:ascii="Times New Roman" w:hAnsi="Times New Roman"/>
          <w:sz w:val="28"/>
          <w:szCs w:val="28"/>
        </w:rPr>
        <w:t>календарной разбивкой по полугодиям, с дифференциацией по направлениям использования газа  (с ростом: с 1 января 2025 года – 0 %; с 1 июля 2025 года - 11,9 %) в следующих размерах:</w:t>
      </w:r>
    </w:p>
    <w:p w:rsidR="00A91269" w:rsidRDefault="00A91269" w:rsidP="00A91269">
      <w:pPr>
        <w:pStyle w:val="af9"/>
        <w:ind w:firstLine="567"/>
        <w:jc w:val="both"/>
        <w:rPr>
          <w:rFonts w:ascii="Times New Roman" w:hAnsi="Times New Roman"/>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71"/>
        <w:gridCol w:w="1275"/>
        <w:gridCol w:w="1276"/>
      </w:tblGrid>
      <w:tr w:rsidR="00A91269" w:rsidRPr="003D5F60" w:rsidTr="003D5F60">
        <w:trPr>
          <w:trHeight w:val="756"/>
        </w:trPr>
        <w:tc>
          <w:tcPr>
            <w:tcW w:w="6771" w:type="dxa"/>
            <w:vMerge w:val="restart"/>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rPr>
                <w:rFonts w:eastAsia="Calibri"/>
                <w:sz w:val="20"/>
                <w:szCs w:val="20"/>
              </w:rPr>
            </w:pPr>
            <w:r w:rsidRPr="003D5F60">
              <w:rPr>
                <w:rFonts w:eastAsia="Calibri"/>
                <w:sz w:val="20"/>
                <w:szCs w:val="20"/>
              </w:rPr>
              <w:t xml:space="preserve">Направления использования газа </w:t>
            </w:r>
          </w:p>
        </w:tc>
        <w:tc>
          <w:tcPr>
            <w:tcW w:w="2551" w:type="dxa"/>
            <w:gridSpan w:val="2"/>
            <w:tcBorders>
              <w:top w:val="single" w:sz="4" w:space="0" w:color="auto"/>
              <w:left w:val="single" w:sz="4" w:space="0" w:color="auto"/>
              <w:bottom w:val="single" w:sz="4" w:space="0" w:color="auto"/>
              <w:right w:val="single" w:sz="4" w:space="0" w:color="auto"/>
            </w:tcBorders>
          </w:tcPr>
          <w:p w:rsidR="00A91269" w:rsidRPr="003D5F60" w:rsidRDefault="00A91269" w:rsidP="005A5E13">
            <w:pPr>
              <w:spacing w:after="0"/>
              <w:rPr>
                <w:rFonts w:eastAsia="Calibri"/>
                <w:sz w:val="20"/>
                <w:szCs w:val="20"/>
              </w:rPr>
            </w:pPr>
            <w:r w:rsidRPr="003D5F60">
              <w:rPr>
                <w:rFonts w:eastAsia="Calibri"/>
                <w:sz w:val="20"/>
                <w:szCs w:val="20"/>
              </w:rPr>
              <w:t>Розничные цены на природный газ, реализуемый населению (с учётом НДС</w:t>
            </w:r>
            <w:r w:rsidRPr="003D5F60">
              <w:rPr>
                <w:i/>
                <w:sz w:val="20"/>
                <w:szCs w:val="20"/>
              </w:rPr>
              <w:t>&lt;*&gt;</w:t>
            </w:r>
            <w:r w:rsidRPr="003D5F60">
              <w:rPr>
                <w:rFonts w:eastAsia="Calibri"/>
                <w:sz w:val="20"/>
                <w:szCs w:val="20"/>
              </w:rPr>
              <w:t>), руб./1000 м</w:t>
            </w:r>
            <w:r w:rsidRPr="003D5F60">
              <w:rPr>
                <w:rFonts w:eastAsia="Calibri"/>
                <w:sz w:val="20"/>
                <w:szCs w:val="20"/>
                <w:vertAlign w:val="superscript"/>
              </w:rPr>
              <w:t>3</w:t>
            </w:r>
          </w:p>
          <w:p w:rsidR="00A91269" w:rsidRPr="003D5F60" w:rsidRDefault="00A91269" w:rsidP="005A5E13">
            <w:pPr>
              <w:spacing w:after="0"/>
              <w:rPr>
                <w:rFonts w:eastAsia="Calibri"/>
                <w:sz w:val="20"/>
                <w:szCs w:val="20"/>
              </w:rPr>
            </w:pPr>
            <w:r w:rsidRPr="003D5F60">
              <w:rPr>
                <w:rFonts w:eastAsia="Calibri"/>
                <w:i/>
                <w:sz w:val="20"/>
                <w:szCs w:val="20"/>
              </w:rPr>
              <w:t>индекс роста цены к предыдущей цене</w:t>
            </w:r>
          </w:p>
        </w:tc>
      </w:tr>
      <w:tr w:rsidR="00A91269" w:rsidRPr="003D5F60" w:rsidTr="003D5F60">
        <w:trPr>
          <w:trHeight w:val="645"/>
        </w:trPr>
        <w:tc>
          <w:tcPr>
            <w:tcW w:w="6771" w:type="dxa"/>
            <w:vMerge/>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sz w:val="20"/>
                <w:szCs w:val="20"/>
                <w:lang w:eastAsia="zh-CN"/>
              </w:rPr>
            </w:pPr>
          </w:p>
        </w:tc>
        <w:tc>
          <w:tcPr>
            <w:tcW w:w="1275"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rFonts w:eastAsia="Calibri"/>
                <w:sz w:val="20"/>
                <w:szCs w:val="20"/>
              </w:rPr>
            </w:pPr>
            <w:r w:rsidRPr="003D5F60">
              <w:rPr>
                <w:rFonts w:eastAsia="Calibri"/>
                <w:sz w:val="20"/>
                <w:szCs w:val="20"/>
              </w:rPr>
              <w:t xml:space="preserve">с 01.01.2025 </w:t>
            </w:r>
          </w:p>
          <w:p w:rsidR="00A91269" w:rsidRPr="003D5F60" w:rsidRDefault="00A91269" w:rsidP="005A5E13">
            <w:pPr>
              <w:spacing w:after="0" w:line="240" w:lineRule="auto"/>
              <w:rPr>
                <w:rFonts w:eastAsia="Calibri"/>
                <w:sz w:val="20"/>
                <w:szCs w:val="20"/>
              </w:rPr>
            </w:pPr>
            <w:r w:rsidRPr="003D5F60">
              <w:rPr>
                <w:rFonts w:eastAsia="Calibri"/>
                <w:sz w:val="20"/>
                <w:szCs w:val="20"/>
              </w:rPr>
              <w:t>по 30.06.2025</w:t>
            </w:r>
          </w:p>
        </w:tc>
        <w:tc>
          <w:tcPr>
            <w:tcW w:w="1276"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rFonts w:eastAsia="Calibri"/>
                <w:sz w:val="20"/>
                <w:szCs w:val="20"/>
              </w:rPr>
            </w:pPr>
            <w:r w:rsidRPr="003D5F60">
              <w:rPr>
                <w:rFonts w:eastAsia="Calibri"/>
                <w:sz w:val="20"/>
                <w:szCs w:val="20"/>
              </w:rPr>
              <w:t>с 01.07.2025</w:t>
            </w:r>
          </w:p>
          <w:p w:rsidR="00A91269" w:rsidRPr="003D5F60" w:rsidRDefault="00A91269" w:rsidP="005A5E13">
            <w:pPr>
              <w:spacing w:after="0"/>
              <w:rPr>
                <w:rFonts w:eastAsia="Calibri"/>
                <w:sz w:val="20"/>
                <w:szCs w:val="20"/>
              </w:rPr>
            </w:pPr>
            <w:r w:rsidRPr="003D5F60">
              <w:rPr>
                <w:rFonts w:eastAsia="Calibri"/>
                <w:sz w:val="20"/>
                <w:szCs w:val="20"/>
              </w:rPr>
              <w:t xml:space="preserve">по 31.12.2025 </w:t>
            </w:r>
          </w:p>
        </w:tc>
      </w:tr>
      <w:tr w:rsidR="00A91269" w:rsidRPr="003D5F60" w:rsidTr="003D5F60">
        <w:trPr>
          <w:trHeight w:val="2322"/>
        </w:trPr>
        <w:tc>
          <w:tcPr>
            <w:tcW w:w="6771" w:type="dxa"/>
            <w:tcBorders>
              <w:top w:val="single" w:sz="4" w:space="0" w:color="auto"/>
              <w:left w:val="single" w:sz="4" w:space="0" w:color="auto"/>
              <w:bottom w:val="single" w:sz="4" w:space="0" w:color="auto"/>
              <w:right w:val="single" w:sz="4" w:space="0" w:color="auto"/>
            </w:tcBorders>
          </w:tcPr>
          <w:p w:rsidR="00A91269" w:rsidRPr="003D5F60" w:rsidRDefault="00A91269" w:rsidP="005A5E13">
            <w:pPr>
              <w:spacing w:after="0"/>
              <w:rPr>
                <w:rFonts w:eastAsia="Calibri"/>
                <w:sz w:val="20"/>
                <w:szCs w:val="20"/>
              </w:rPr>
            </w:pPr>
            <w:r w:rsidRPr="003D5F60">
              <w:rPr>
                <w:rFonts w:eastAsia="Calibri"/>
                <w:sz w:val="20"/>
                <w:szCs w:val="20"/>
              </w:rPr>
              <w:t>- на приготовление пищи и нагрев воды с использованием газовой плиты (в отсутствие других направлений использования газа).</w:t>
            </w:r>
          </w:p>
          <w:p w:rsidR="00A91269" w:rsidRPr="003D5F60" w:rsidRDefault="00A91269" w:rsidP="005A5E13">
            <w:pPr>
              <w:spacing w:after="0"/>
              <w:rPr>
                <w:rFonts w:eastAsia="Calibri"/>
                <w:sz w:val="20"/>
                <w:szCs w:val="20"/>
              </w:rPr>
            </w:pPr>
            <w:r w:rsidRPr="003D5F60">
              <w:rPr>
                <w:rFonts w:eastAsia="Calibri"/>
                <w:sz w:val="20"/>
                <w:szCs w:val="20"/>
              </w:rPr>
              <w:t>- на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p w:rsidR="00A91269" w:rsidRPr="003D5F60" w:rsidRDefault="00A91269" w:rsidP="005A5E13">
            <w:pPr>
              <w:spacing w:after="0"/>
              <w:rPr>
                <w:rFonts w:eastAsia="Calibri"/>
                <w:sz w:val="20"/>
                <w:szCs w:val="20"/>
              </w:rPr>
            </w:pPr>
            <w:r w:rsidRPr="003D5F60">
              <w:rPr>
                <w:rFonts w:eastAsia="Calibri"/>
                <w:sz w:val="20"/>
                <w:szCs w:val="20"/>
              </w:rPr>
              <w:t>- 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1275"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rPr>
                <w:rFonts w:eastAsia="Calibri"/>
                <w:b/>
                <w:sz w:val="20"/>
                <w:szCs w:val="20"/>
              </w:rPr>
            </w:pPr>
            <w:r w:rsidRPr="003D5F60">
              <w:rPr>
                <w:rFonts w:eastAsia="Calibri"/>
                <w:sz w:val="20"/>
                <w:szCs w:val="20"/>
              </w:rPr>
              <w:t>8139,0</w:t>
            </w:r>
          </w:p>
        </w:tc>
        <w:tc>
          <w:tcPr>
            <w:tcW w:w="1276"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rPr>
                <w:rFonts w:eastAsia="Calibri"/>
                <w:sz w:val="20"/>
                <w:szCs w:val="20"/>
              </w:rPr>
            </w:pPr>
            <w:r w:rsidRPr="003D5F60">
              <w:rPr>
                <w:rFonts w:eastAsia="Calibri"/>
                <w:sz w:val="20"/>
                <w:szCs w:val="20"/>
              </w:rPr>
              <w:t>9107,0</w:t>
            </w:r>
          </w:p>
        </w:tc>
      </w:tr>
      <w:tr w:rsidR="00A91269" w:rsidRPr="003D5F60" w:rsidTr="003D5F60">
        <w:trPr>
          <w:trHeight w:val="671"/>
        </w:trPr>
        <w:tc>
          <w:tcPr>
            <w:tcW w:w="6771" w:type="dxa"/>
            <w:tcBorders>
              <w:top w:val="single" w:sz="4" w:space="0" w:color="auto"/>
              <w:left w:val="single" w:sz="4" w:space="0" w:color="auto"/>
              <w:bottom w:val="single" w:sz="4" w:space="0" w:color="auto"/>
              <w:right w:val="single" w:sz="4" w:space="0" w:color="auto"/>
            </w:tcBorders>
          </w:tcPr>
          <w:p w:rsidR="00A91269" w:rsidRPr="003D5F60" w:rsidRDefault="00A91269" w:rsidP="005A5E13">
            <w:pPr>
              <w:spacing w:after="0"/>
              <w:rPr>
                <w:rFonts w:eastAsia="Calibri"/>
                <w:sz w:val="20"/>
                <w:szCs w:val="20"/>
              </w:rPr>
            </w:pPr>
            <w:r w:rsidRPr="003D5F60">
              <w:rPr>
                <w:rFonts w:eastAsia="Calibri"/>
                <w:sz w:val="20"/>
                <w:szCs w:val="20"/>
              </w:rPr>
              <w:t xml:space="preserve">- на отопление с одновременным использованием газа на другие цели (кроме отопления и (или) выработки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 </w:t>
            </w:r>
          </w:p>
          <w:p w:rsidR="00A91269" w:rsidRPr="003D5F60" w:rsidRDefault="00A91269" w:rsidP="005A5E13">
            <w:pPr>
              <w:spacing w:after="0"/>
              <w:rPr>
                <w:rFonts w:eastAsia="Calibri"/>
                <w:sz w:val="20"/>
                <w:szCs w:val="20"/>
              </w:rPr>
            </w:pPr>
            <w:r w:rsidRPr="003D5F60">
              <w:rPr>
                <w:rFonts w:eastAsia="Calibri"/>
                <w:sz w:val="20"/>
                <w:szCs w:val="20"/>
              </w:rPr>
              <w:t>- на отопление и (или) выработку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w:t>
            </w:r>
          </w:p>
        </w:tc>
        <w:tc>
          <w:tcPr>
            <w:tcW w:w="1275"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rPr>
                <w:rFonts w:eastAsia="Calibri"/>
                <w:sz w:val="20"/>
                <w:szCs w:val="20"/>
              </w:rPr>
            </w:pPr>
          </w:p>
          <w:p w:rsidR="00A91269" w:rsidRPr="003D5F60" w:rsidRDefault="00A91269" w:rsidP="005A5E13">
            <w:pPr>
              <w:spacing w:after="0"/>
              <w:rPr>
                <w:rFonts w:eastAsia="Calibri"/>
                <w:sz w:val="20"/>
                <w:szCs w:val="20"/>
              </w:rPr>
            </w:pPr>
            <w:r w:rsidRPr="003D5F60">
              <w:rPr>
                <w:rFonts w:eastAsia="Calibri"/>
                <w:sz w:val="20"/>
                <w:szCs w:val="20"/>
              </w:rPr>
              <w:t>7010,0</w:t>
            </w:r>
          </w:p>
          <w:p w:rsidR="00A91269" w:rsidRPr="003D5F60" w:rsidRDefault="00A91269" w:rsidP="005A5E13">
            <w:pPr>
              <w:spacing w:after="0"/>
              <w:rPr>
                <w:rFonts w:eastAsia="Calibri"/>
                <w:i/>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rPr>
                <w:rFonts w:eastAsia="Calibri"/>
                <w:sz w:val="20"/>
                <w:szCs w:val="20"/>
              </w:rPr>
            </w:pPr>
          </w:p>
          <w:p w:rsidR="00A91269" w:rsidRPr="003D5F60" w:rsidRDefault="00A91269" w:rsidP="005A5E13">
            <w:pPr>
              <w:spacing w:after="0"/>
              <w:rPr>
                <w:rFonts w:eastAsia="Calibri"/>
                <w:sz w:val="20"/>
                <w:szCs w:val="20"/>
              </w:rPr>
            </w:pPr>
            <w:r w:rsidRPr="003D5F60">
              <w:rPr>
                <w:rFonts w:eastAsia="Calibri"/>
                <w:sz w:val="20"/>
                <w:szCs w:val="20"/>
              </w:rPr>
              <w:t>7844,0</w:t>
            </w:r>
          </w:p>
          <w:p w:rsidR="00A91269" w:rsidRPr="003D5F60" w:rsidRDefault="00A91269" w:rsidP="005A5E13">
            <w:pPr>
              <w:spacing w:after="0"/>
              <w:rPr>
                <w:rFonts w:eastAsia="Calibri"/>
                <w:i/>
                <w:sz w:val="20"/>
                <w:szCs w:val="20"/>
              </w:rPr>
            </w:pPr>
          </w:p>
        </w:tc>
      </w:tr>
    </w:tbl>
    <w:p w:rsidR="00A91269" w:rsidRDefault="00A91269" w:rsidP="00A91269">
      <w:pPr>
        <w:jc w:val="both"/>
        <w:rPr>
          <w:bCs/>
          <w:i/>
          <w:sz w:val="24"/>
        </w:rPr>
      </w:pPr>
      <w:r>
        <w:rPr>
          <w:i/>
        </w:rPr>
        <w:t>&lt;*&gt;</w:t>
      </w:r>
      <w:r>
        <w:rPr>
          <w:rFonts w:eastAsia="Times New Roman"/>
          <w:i/>
          <w:iCs/>
          <w:sz w:val="24"/>
        </w:rPr>
        <w:t>Налог на добавленную стоимость (НДС) в размере 20 % учтён в соответствии с пунктом 3 статьи 164 НК РФ (часть вторая).</w:t>
      </w:r>
    </w:p>
    <w:p w:rsidR="00A91269" w:rsidRDefault="00A91269" w:rsidP="00A91269">
      <w:pPr>
        <w:jc w:val="both"/>
        <w:rPr>
          <w:rFonts w:eastAsia="Times New Roman"/>
          <w:sz w:val="24"/>
        </w:rPr>
      </w:pPr>
      <w:r>
        <w:rPr>
          <w:rFonts w:eastAsia="Times New Roman"/>
          <w:sz w:val="24"/>
        </w:rPr>
        <w:t xml:space="preserve">Примечание. При расчёте розничных цен на газ, реализуемый населению, не предусмотрены расходы на содержание и ремонт внутриквартирного и внутридомового газового оборудования. </w:t>
      </w:r>
    </w:p>
    <w:p w:rsidR="00A91269" w:rsidRDefault="00A91269" w:rsidP="00A91269">
      <w:pPr>
        <w:keepNext/>
        <w:keepLines/>
        <w:spacing w:before="200" w:after="0"/>
        <w:ind w:firstLine="709"/>
        <w:jc w:val="both"/>
        <w:outlineLvl w:val="1"/>
        <w:rPr>
          <w:rFonts w:eastAsiaTheme="majorEastAsia" w:cstheme="majorBidi"/>
          <w:b/>
          <w:bCs/>
          <w:szCs w:val="28"/>
        </w:rPr>
      </w:pPr>
      <w:bookmarkStart w:id="83" w:name="_Toc131067942"/>
      <w:r>
        <w:rPr>
          <w:rFonts w:eastAsiaTheme="majorEastAsia" w:cstheme="majorBidi"/>
          <w:b/>
          <w:bCs/>
          <w:szCs w:val="26"/>
        </w:rPr>
        <w:t>2.3.3.2. Розничные цены на сжиженный газ для населения</w:t>
      </w:r>
      <w:bookmarkEnd w:id="83"/>
    </w:p>
    <w:p w:rsidR="00A91269" w:rsidRDefault="00A91269" w:rsidP="00A91269">
      <w:pPr>
        <w:spacing w:after="0" w:line="240" w:lineRule="auto"/>
        <w:ind w:firstLine="709"/>
        <w:jc w:val="both"/>
        <w:rPr>
          <w:rFonts w:eastAsia="Calibri"/>
          <w:szCs w:val="28"/>
        </w:rPr>
      </w:pPr>
      <w:r>
        <w:rPr>
          <w:rFonts w:eastAsia="Calibri"/>
          <w:szCs w:val="28"/>
        </w:rPr>
        <w:t xml:space="preserve">Сжиженный газ реализуется населению, проживающему на территории Новосибирской области, региональной газораспределительной организацией ООО «Новосибирскоблгаз», уполномоченной реализовывать сжиженный углеводородный газ для бытовых нужд населения. </w:t>
      </w:r>
    </w:p>
    <w:p w:rsidR="00A91269" w:rsidRDefault="00A91269" w:rsidP="00A91269">
      <w:pPr>
        <w:spacing w:after="0" w:line="240" w:lineRule="auto"/>
        <w:ind w:firstLine="709"/>
        <w:jc w:val="both"/>
        <w:rPr>
          <w:rFonts w:eastAsia="Times New Roman"/>
          <w:szCs w:val="28"/>
        </w:rPr>
      </w:pPr>
      <w:r>
        <w:rPr>
          <w:rFonts w:eastAsia="Times New Roman"/>
          <w:szCs w:val="28"/>
        </w:rPr>
        <w:lastRenderedPageBreak/>
        <w:t>Розничные цены на сжиженный газ для населения на 2025 год:</w:t>
      </w:r>
    </w:p>
    <w:p w:rsidR="00A91269" w:rsidRDefault="00A91269" w:rsidP="00A91269">
      <w:pPr>
        <w:spacing w:after="0" w:line="240" w:lineRule="auto"/>
        <w:ind w:firstLine="709"/>
        <w:jc w:val="both"/>
        <w:rPr>
          <w:rFonts w:eastAsia="Times New Roman"/>
          <w:szCs w:val="28"/>
        </w:rPr>
      </w:pPr>
      <w:r>
        <w:rPr>
          <w:rFonts w:eastAsia="Times New Roman"/>
          <w:szCs w:val="28"/>
        </w:rPr>
        <w:t>- сформированы в соответствии с Методическими указаниями по регулированию розничных цен на сжиженный газ, реализуемый населению для бытовых нужд, утвержденными приказом ФАС России от 07.08.2019 № 1072/19;</w:t>
      </w:r>
    </w:p>
    <w:p w:rsidR="00A91269" w:rsidRDefault="00A91269" w:rsidP="00A91269">
      <w:pPr>
        <w:spacing w:after="0" w:line="240" w:lineRule="auto"/>
        <w:ind w:firstLine="709"/>
        <w:jc w:val="both"/>
        <w:rPr>
          <w:szCs w:val="28"/>
        </w:rPr>
      </w:pPr>
      <w:r>
        <w:rPr>
          <w:rFonts w:eastAsia="Times New Roman"/>
          <w:szCs w:val="28"/>
        </w:rPr>
        <w:t xml:space="preserve">- установлены приказом департамента от 10.12.2024 № 340-Г/НПА с </w:t>
      </w:r>
      <w:r>
        <w:rPr>
          <w:szCs w:val="28"/>
        </w:rPr>
        <w:t>календарной разбивкой по полугодиям, с дифференциацией по направлениям использования газа</w:t>
      </w:r>
      <w:r>
        <w:rPr>
          <w:rFonts w:eastAsia="Calibri"/>
          <w:szCs w:val="28"/>
        </w:rPr>
        <w:t xml:space="preserve"> </w:t>
      </w:r>
      <w:r>
        <w:rPr>
          <w:szCs w:val="28"/>
        </w:rPr>
        <w:t xml:space="preserve"> (с ростом: </w:t>
      </w:r>
      <w:r>
        <w:rPr>
          <w:rFonts w:eastAsia="Calibri"/>
          <w:szCs w:val="28"/>
        </w:rPr>
        <w:t xml:space="preserve">с 1 января 2025 года – 0 %; с 1 июля 2025 года - 11,9 %) </w:t>
      </w:r>
      <w:r>
        <w:rPr>
          <w:szCs w:val="28"/>
        </w:rPr>
        <w:t>в следующих размерах:</w:t>
      </w:r>
    </w:p>
    <w:p w:rsidR="00A91269" w:rsidRDefault="00A91269" w:rsidP="00A91269">
      <w:pPr>
        <w:spacing w:after="0" w:line="240" w:lineRule="auto"/>
        <w:ind w:firstLine="851"/>
        <w:jc w:val="right"/>
        <w:rPr>
          <w:rFonts w:eastAsia="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9"/>
        <w:gridCol w:w="1417"/>
        <w:gridCol w:w="1984"/>
        <w:gridCol w:w="2410"/>
      </w:tblGrid>
      <w:tr w:rsidR="00A91269" w:rsidRPr="003D5F60" w:rsidTr="005A5E13">
        <w:tc>
          <w:tcPr>
            <w:tcW w:w="3969" w:type="dxa"/>
            <w:vMerge w:val="restart"/>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ab/>
              <w:t>Категории</w:t>
            </w:r>
          </w:p>
        </w:tc>
        <w:tc>
          <w:tcPr>
            <w:tcW w:w="1417" w:type="dxa"/>
            <w:vMerge w:val="restart"/>
            <w:tcBorders>
              <w:top w:val="single" w:sz="4" w:space="0" w:color="000000"/>
              <w:left w:val="single" w:sz="4" w:space="0" w:color="000000"/>
              <w:bottom w:val="single" w:sz="4" w:space="0" w:color="000000"/>
              <w:right w:val="single" w:sz="4" w:space="0" w:color="000000"/>
            </w:tcBorders>
            <w:vAlign w:val="center"/>
          </w:tcPr>
          <w:p w:rsidR="00A91269" w:rsidRPr="003D5F60" w:rsidRDefault="00A91269" w:rsidP="005A5E13">
            <w:pPr>
              <w:rPr>
                <w:rFonts w:eastAsia="Calibri"/>
                <w:sz w:val="22"/>
                <w:szCs w:val="22"/>
              </w:rPr>
            </w:pPr>
            <w:r w:rsidRPr="003D5F60">
              <w:rPr>
                <w:rFonts w:eastAsia="Calibri"/>
                <w:sz w:val="22"/>
                <w:szCs w:val="22"/>
              </w:rPr>
              <w:t xml:space="preserve">Ед-ца </w:t>
            </w:r>
          </w:p>
          <w:p w:rsidR="00A91269" w:rsidRPr="003D5F60" w:rsidRDefault="00A91269" w:rsidP="005A5E13">
            <w:pPr>
              <w:rPr>
                <w:rFonts w:eastAsia="Calibri"/>
                <w:sz w:val="22"/>
                <w:szCs w:val="22"/>
              </w:rPr>
            </w:pPr>
            <w:r w:rsidRPr="003D5F60">
              <w:rPr>
                <w:rFonts w:eastAsia="Calibri"/>
                <w:sz w:val="22"/>
                <w:szCs w:val="22"/>
              </w:rPr>
              <w:t>измер.</w:t>
            </w:r>
          </w:p>
        </w:tc>
        <w:tc>
          <w:tcPr>
            <w:tcW w:w="4394" w:type="dxa"/>
            <w:gridSpan w:val="2"/>
            <w:tcBorders>
              <w:top w:val="single" w:sz="4" w:space="0" w:color="auto"/>
              <w:left w:val="single" w:sz="4" w:space="0" w:color="auto"/>
              <w:bottom w:val="single" w:sz="4" w:space="0" w:color="auto"/>
              <w:right w:val="single" w:sz="4" w:space="0" w:color="auto"/>
            </w:tcBorders>
          </w:tcPr>
          <w:p w:rsidR="00A91269" w:rsidRPr="003D5F60" w:rsidRDefault="00A91269" w:rsidP="005A5E13">
            <w:pPr>
              <w:rPr>
                <w:sz w:val="22"/>
                <w:szCs w:val="22"/>
              </w:rPr>
            </w:pPr>
            <w:r w:rsidRPr="003D5F60">
              <w:rPr>
                <w:sz w:val="22"/>
                <w:szCs w:val="22"/>
              </w:rPr>
              <w:t>Предельные максимальные уровни розничных цен на сжиженный газ для бытовых нужд (с НДС)</w:t>
            </w:r>
            <w:r w:rsidRPr="003D5F60">
              <w:rPr>
                <w:i/>
                <w:sz w:val="22"/>
                <w:szCs w:val="22"/>
              </w:rPr>
              <w:t>&lt;*&gt;</w:t>
            </w:r>
          </w:p>
        </w:tc>
      </w:tr>
      <w:tr w:rsidR="00A91269" w:rsidRPr="003D5F60" w:rsidTr="005A5E13">
        <w:trPr>
          <w:trHeight w:val="430"/>
        </w:trPr>
        <w:tc>
          <w:tcPr>
            <w:tcW w:w="3969" w:type="dxa"/>
            <w:vMerge/>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sz w:val="22"/>
                <w:szCs w:val="22"/>
              </w:rPr>
            </w:pPr>
          </w:p>
        </w:tc>
        <w:tc>
          <w:tcPr>
            <w:tcW w:w="1417" w:type="dxa"/>
            <w:vMerge/>
            <w:tcBorders>
              <w:top w:val="single" w:sz="4" w:space="0" w:color="000000"/>
              <w:left w:val="single" w:sz="4" w:space="0" w:color="000000"/>
              <w:bottom w:val="single" w:sz="4" w:space="0" w:color="000000"/>
              <w:right w:val="single" w:sz="4" w:space="0" w:color="000000"/>
            </w:tcBorders>
          </w:tcPr>
          <w:p w:rsidR="00A91269" w:rsidRPr="003D5F60" w:rsidRDefault="00A91269" w:rsidP="005A5E13">
            <w:pPr>
              <w:rPr>
                <w:sz w:val="22"/>
                <w:szCs w:val="22"/>
              </w:rPr>
            </w:pPr>
          </w:p>
        </w:tc>
        <w:tc>
          <w:tcPr>
            <w:tcW w:w="1984" w:type="dxa"/>
            <w:tcBorders>
              <w:top w:val="single" w:sz="4" w:space="0" w:color="auto"/>
              <w:left w:val="single" w:sz="4" w:space="0" w:color="auto"/>
              <w:bottom w:val="single" w:sz="4" w:space="0" w:color="auto"/>
              <w:right w:val="single" w:sz="4" w:space="0" w:color="auto"/>
            </w:tcBorders>
          </w:tcPr>
          <w:p w:rsidR="00A91269" w:rsidRPr="003D5F60" w:rsidRDefault="00A91269" w:rsidP="005A5E13">
            <w:pPr>
              <w:spacing w:after="0" w:line="240" w:lineRule="auto"/>
              <w:rPr>
                <w:rFonts w:eastAsia="Calibri"/>
                <w:sz w:val="22"/>
                <w:szCs w:val="22"/>
              </w:rPr>
            </w:pPr>
            <w:r w:rsidRPr="003D5F60">
              <w:rPr>
                <w:rFonts w:eastAsia="Calibri"/>
                <w:sz w:val="22"/>
                <w:szCs w:val="22"/>
              </w:rPr>
              <w:t xml:space="preserve">с 01.01.2025 </w:t>
            </w:r>
          </w:p>
          <w:p w:rsidR="00A91269" w:rsidRPr="003D5F60" w:rsidRDefault="00A91269" w:rsidP="005A5E13">
            <w:pPr>
              <w:spacing w:after="0" w:line="240" w:lineRule="auto"/>
              <w:rPr>
                <w:rFonts w:eastAsia="Calibri"/>
                <w:sz w:val="22"/>
                <w:szCs w:val="22"/>
              </w:rPr>
            </w:pPr>
            <w:r w:rsidRPr="003D5F60">
              <w:rPr>
                <w:rFonts w:eastAsia="Calibri"/>
                <w:sz w:val="22"/>
                <w:szCs w:val="22"/>
              </w:rPr>
              <w:t>по 30.06.2025</w:t>
            </w:r>
          </w:p>
        </w:tc>
        <w:tc>
          <w:tcPr>
            <w:tcW w:w="2409" w:type="dxa"/>
            <w:tcBorders>
              <w:top w:val="single" w:sz="4" w:space="0" w:color="auto"/>
              <w:left w:val="single" w:sz="4" w:space="0" w:color="auto"/>
              <w:bottom w:val="single" w:sz="4" w:space="0" w:color="auto"/>
              <w:right w:val="single" w:sz="4" w:space="0" w:color="auto"/>
            </w:tcBorders>
          </w:tcPr>
          <w:p w:rsidR="00A91269" w:rsidRPr="003D5F60" w:rsidRDefault="00A91269" w:rsidP="005A5E13">
            <w:pPr>
              <w:spacing w:after="0" w:line="240" w:lineRule="auto"/>
              <w:rPr>
                <w:rFonts w:eastAsia="Calibri"/>
                <w:sz w:val="22"/>
                <w:szCs w:val="22"/>
              </w:rPr>
            </w:pPr>
            <w:r w:rsidRPr="003D5F60">
              <w:rPr>
                <w:rFonts w:eastAsia="Calibri"/>
                <w:sz w:val="22"/>
                <w:szCs w:val="22"/>
              </w:rPr>
              <w:t>с 01.07.2025</w:t>
            </w:r>
          </w:p>
          <w:p w:rsidR="00A91269" w:rsidRPr="003D5F60" w:rsidRDefault="00A91269" w:rsidP="005A5E13">
            <w:pPr>
              <w:spacing w:after="0"/>
              <w:rPr>
                <w:rFonts w:eastAsia="Calibri"/>
                <w:sz w:val="22"/>
                <w:szCs w:val="22"/>
              </w:rPr>
            </w:pPr>
            <w:r w:rsidRPr="003D5F60">
              <w:rPr>
                <w:rFonts w:eastAsia="Calibri"/>
                <w:sz w:val="22"/>
                <w:szCs w:val="22"/>
              </w:rPr>
              <w:t xml:space="preserve">по 31.12.2025 </w:t>
            </w:r>
          </w:p>
        </w:tc>
      </w:tr>
      <w:tr w:rsidR="00A91269" w:rsidRPr="003D5F60" w:rsidTr="005A5E13">
        <w:trPr>
          <w:trHeight w:val="719"/>
        </w:trPr>
        <w:tc>
          <w:tcPr>
            <w:tcW w:w="396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rFonts w:eastAsia="Times New Roman"/>
                <w:sz w:val="22"/>
                <w:szCs w:val="22"/>
              </w:rPr>
            </w:pPr>
            <w:r w:rsidRPr="003D5F60">
              <w:rPr>
                <w:sz w:val="22"/>
                <w:szCs w:val="22"/>
              </w:rPr>
              <w:t>Реализация сжиженного газа в баллонах без доставки до потребителя</w:t>
            </w:r>
          </w:p>
        </w:tc>
        <w:tc>
          <w:tcPr>
            <w:tcW w:w="1417" w:type="dxa"/>
            <w:tcBorders>
              <w:top w:val="single" w:sz="4" w:space="0" w:color="000000"/>
              <w:left w:val="single" w:sz="4" w:space="0" w:color="000000"/>
              <w:bottom w:val="single" w:sz="4" w:space="0" w:color="000000"/>
              <w:right w:val="single" w:sz="4" w:space="0" w:color="000000"/>
            </w:tcBorders>
            <w:vAlign w:val="center"/>
          </w:tcPr>
          <w:p w:rsidR="00A91269" w:rsidRPr="003D5F60" w:rsidRDefault="00A91269" w:rsidP="005A5E13">
            <w:pPr>
              <w:rPr>
                <w:b/>
                <w:bCs/>
                <w:sz w:val="22"/>
                <w:szCs w:val="22"/>
              </w:rPr>
            </w:pPr>
            <w:r w:rsidRPr="003D5F60">
              <w:rPr>
                <w:sz w:val="22"/>
                <w:szCs w:val="22"/>
              </w:rPr>
              <w:t>руб./кг</w:t>
            </w:r>
          </w:p>
        </w:tc>
        <w:tc>
          <w:tcPr>
            <w:tcW w:w="1984"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47,21</w:t>
            </w:r>
          </w:p>
        </w:tc>
        <w:tc>
          <w:tcPr>
            <w:tcW w:w="240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52,82</w:t>
            </w:r>
          </w:p>
        </w:tc>
      </w:tr>
      <w:tr w:rsidR="00A91269" w:rsidRPr="003D5F60" w:rsidTr="005A5E13">
        <w:trPr>
          <w:trHeight w:val="699"/>
        </w:trPr>
        <w:tc>
          <w:tcPr>
            <w:tcW w:w="396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rFonts w:eastAsia="Times New Roman"/>
                <w:sz w:val="22"/>
                <w:szCs w:val="22"/>
              </w:rPr>
            </w:pPr>
            <w:r w:rsidRPr="003D5F60">
              <w:rPr>
                <w:sz w:val="22"/>
                <w:szCs w:val="22"/>
              </w:rPr>
              <w:t>Реализация сжиженного газа в баллонах с доставкой до потребителя</w:t>
            </w:r>
          </w:p>
        </w:tc>
        <w:tc>
          <w:tcPr>
            <w:tcW w:w="1417" w:type="dxa"/>
            <w:tcBorders>
              <w:top w:val="single" w:sz="4" w:space="0" w:color="000000"/>
              <w:left w:val="single" w:sz="4" w:space="0" w:color="000000"/>
              <w:bottom w:val="single" w:sz="4" w:space="0" w:color="000000"/>
              <w:right w:val="single" w:sz="4" w:space="0" w:color="000000"/>
            </w:tcBorders>
            <w:vAlign w:val="center"/>
          </w:tcPr>
          <w:p w:rsidR="00A91269" w:rsidRPr="003D5F60" w:rsidRDefault="00A91269" w:rsidP="005A5E13">
            <w:pPr>
              <w:rPr>
                <w:b/>
                <w:bCs/>
                <w:sz w:val="22"/>
                <w:szCs w:val="22"/>
              </w:rPr>
            </w:pPr>
            <w:r w:rsidRPr="003D5F60">
              <w:rPr>
                <w:sz w:val="22"/>
                <w:szCs w:val="22"/>
              </w:rPr>
              <w:t>руб./кг</w:t>
            </w:r>
          </w:p>
        </w:tc>
        <w:tc>
          <w:tcPr>
            <w:tcW w:w="1984"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61,77</w:t>
            </w:r>
          </w:p>
        </w:tc>
        <w:tc>
          <w:tcPr>
            <w:tcW w:w="240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69,12</w:t>
            </w:r>
          </w:p>
        </w:tc>
      </w:tr>
      <w:tr w:rsidR="00A91269" w:rsidRPr="003D5F60" w:rsidTr="005A5E13">
        <w:trPr>
          <w:trHeight w:val="840"/>
        </w:trPr>
        <w:tc>
          <w:tcPr>
            <w:tcW w:w="396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sz w:val="22"/>
                <w:szCs w:val="22"/>
              </w:rPr>
            </w:pPr>
            <w:r w:rsidRPr="003D5F60">
              <w:rPr>
                <w:sz w:val="22"/>
                <w:szCs w:val="22"/>
              </w:rPr>
              <w:t>Реализация сжиженного газа из групповых газовых резервуарных установок</w:t>
            </w:r>
          </w:p>
        </w:tc>
        <w:tc>
          <w:tcPr>
            <w:tcW w:w="1417" w:type="dxa"/>
            <w:tcBorders>
              <w:top w:val="single" w:sz="4" w:space="0" w:color="000000"/>
              <w:left w:val="single" w:sz="4" w:space="0" w:color="000000"/>
              <w:bottom w:val="single" w:sz="4" w:space="0" w:color="000000"/>
              <w:right w:val="single" w:sz="4" w:space="0" w:color="000000"/>
            </w:tcBorders>
            <w:vAlign w:val="center"/>
          </w:tcPr>
          <w:p w:rsidR="00A91269" w:rsidRPr="003D5F60" w:rsidRDefault="00A91269" w:rsidP="005A5E13">
            <w:pPr>
              <w:rPr>
                <w:b/>
                <w:bCs/>
                <w:sz w:val="22"/>
                <w:szCs w:val="22"/>
              </w:rPr>
            </w:pPr>
            <w:r w:rsidRPr="003D5F60">
              <w:rPr>
                <w:sz w:val="22"/>
                <w:szCs w:val="22"/>
              </w:rPr>
              <w:t>руб./кг</w:t>
            </w:r>
          </w:p>
        </w:tc>
        <w:tc>
          <w:tcPr>
            <w:tcW w:w="1984"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52,42</w:t>
            </w:r>
          </w:p>
        </w:tc>
        <w:tc>
          <w:tcPr>
            <w:tcW w:w="240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58,65</w:t>
            </w:r>
          </w:p>
        </w:tc>
      </w:tr>
      <w:tr w:rsidR="00A91269" w:rsidRPr="003D5F60" w:rsidTr="005A5E13">
        <w:trPr>
          <w:trHeight w:val="840"/>
        </w:trPr>
        <w:tc>
          <w:tcPr>
            <w:tcW w:w="396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spacing w:after="0" w:line="240" w:lineRule="auto"/>
              <w:rPr>
                <w:rFonts w:eastAsia="Times New Roman"/>
                <w:sz w:val="22"/>
                <w:szCs w:val="22"/>
              </w:rPr>
            </w:pPr>
            <w:r w:rsidRPr="003D5F60">
              <w:rPr>
                <w:sz w:val="22"/>
                <w:szCs w:val="22"/>
              </w:rPr>
              <w:t xml:space="preserve">Реализация сжиженного газа из групповых газовых резервуарных установок </w:t>
            </w:r>
          </w:p>
        </w:tc>
        <w:tc>
          <w:tcPr>
            <w:tcW w:w="1417" w:type="dxa"/>
            <w:tcBorders>
              <w:top w:val="single" w:sz="4" w:space="0" w:color="000000"/>
              <w:left w:val="single" w:sz="4" w:space="0" w:color="000000"/>
              <w:bottom w:val="single" w:sz="4" w:space="0" w:color="000000"/>
              <w:right w:val="single" w:sz="4" w:space="0" w:color="000000"/>
            </w:tcBorders>
            <w:vAlign w:val="center"/>
          </w:tcPr>
          <w:p w:rsidR="00A91269" w:rsidRPr="003D5F60" w:rsidRDefault="00A91269" w:rsidP="005A5E13">
            <w:pPr>
              <w:rPr>
                <w:b/>
                <w:bCs/>
                <w:sz w:val="22"/>
                <w:szCs w:val="22"/>
              </w:rPr>
            </w:pPr>
            <w:r w:rsidRPr="003D5F60">
              <w:rPr>
                <w:sz w:val="22"/>
                <w:szCs w:val="22"/>
              </w:rPr>
              <w:t>руб./куб.м</w:t>
            </w:r>
          </w:p>
        </w:tc>
        <w:tc>
          <w:tcPr>
            <w:tcW w:w="1984"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115,31</w:t>
            </w:r>
            <w:r w:rsidRPr="003D5F60">
              <w:rPr>
                <w:i/>
                <w:sz w:val="22"/>
                <w:szCs w:val="22"/>
              </w:rPr>
              <w:t>&lt;**&gt;</w:t>
            </w:r>
          </w:p>
        </w:tc>
        <w:tc>
          <w:tcPr>
            <w:tcW w:w="2409" w:type="dxa"/>
            <w:tcBorders>
              <w:top w:val="single" w:sz="4" w:space="0" w:color="auto"/>
              <w:left w:val="single" w:sz="4" w:space="0" w:color="auto"/>
              <w:bottom w:val="single" w:sz="4" w:space="0" w:color="auto"/>
              <w:right w:val="single" w:sz="4" w:space="0" w:color="auto"/>
            </w:tcBorders>
            <w:vAlign w:val="center"/>
          </w:tcPr>
          <w:p w:rsidR="00A91269" w:rsidRPr="003D5F60" w:rsidRDefault="00A91269" w:rsidP="005A5E13">
            <w:pPr>
              <w:rPr>
                <w:sz w:val="22"/>
                <w:szCs w:val="22"/>
              </w:rPr>
            </w:pPr>
            <w:r w:rsidRPr="003D5F60">
              <w:rPr>
                <w:sz w:val="22"/>
                <w:szCs w:val="22"/>
              </w:rPr>
              <w:t>129,03</w:t>
            </w:r>
            <w:r w:rsidRPr="003D5F60">
              <w:rPr>
                <w:i/>
                <w:sz w:val="22"/>
                <w:szCs w:val="22"/>
              </w:rPr>
              <w:t>&lt;**&gt;</w:t>
            </w:r>
          </w:p>
        </w:tc>
      </w:tr>
    </w:tbl>
    <w:p w:rsidR="00A91269" w:rsidRDefault="00A91269" w:rsidP="003D5F60">
      <w:pPr>
        <w:spacing w:after="0" w:line="240" w:lineRule="auto"/>
        <w:jc w:val="both"/>
        <w:rPr>
          <w:bCs/>
          <w:i/>
          <w:sz w:val="24"/>
        </w:rPr>
      </w:pPr>
      <w:r>
        <w:rPr>
          <w:i/>
        </w:rPr>
        <w:t>&lt;*&gt;</w:t>
      </w:r>
      <w:r>
        <w:rPr>
          <w:rFonts w:eastAsia="Times New Roman"/>
          <w:i/>
          <w:iCs/>
          <w:sz w:val="24"/>
        </w:rPr>
        <w:t>Налог на добавленную стоимость (НДС) в размере 20 % учтён в соответствии с пунктом 3 статьи 164 НК РФ (часть вторая).</w:t>
      </w:r>
    </w:p>
    <w:p w:rsidR="00A91269" w:rsidRDefault="00A91269" w:rsidP="003D5F60">
      <w:pPr>
        <w:spacing w:after="0" w:line="240" w:lineRule="auto"/>
        <w:jc w:val="both"/>
        <w:rPr>
          <w:bCs/>
          <w:i/>
          <w:sz w:val="24"/>
        </w:rPr>
      </w:pPr>
      <w:r>
        <w:rPr>
          <w:i/>
          <w:sz w:val="24"/>
        </w:rPr>
        <w:t>&lt;**&gt;</w:t>
      </w:r>
      <w:r>
        <w:rPr>
          <w:i/>
          <w:sz w:val="24"/>
          <w:lang w:val="en-US"/>
        </w:rPr>
        <w:t> </w:t>
      </w:r>
      <w:r>
        <w:rPr>
          <w:i/>
          <w:sz w:val="24"/>
        </w:rPr>
        <w:t xml:space="preserve">Цена применяется при реализации сжиженного газа из групповых газовых резервуарных установок при наличии приборов учета. </w:t>
      </w:r>
    </w:p>
    <w:p w:rsidR="00A91269" w:rsidRDefault="00A91269" w:rsidP="00A91269">
      <w:pPr>
        <w:pStyle w:val="af9"/>
        <w:jc w:val="both"/>
        <w:rPr>
          <w:rFonts w:ascii="Times New Roman" w:eastAsia="Times New Roman" w:hAnsi="Times New Roman"/>
          <w:sz w:val="28"/>
          <w:szCs w:val="28"/>
        </w:rPr>
      </w:pPr>
      <w:r>
        <w:rPr>
          <w:rFonts w:ascii="Times New Roman" w:eastAsia="Times New Roman" w:hAnsi="Times New Roman"/>
          <w:sz w:val="24"/>
          <w:szCs w:val="24"/>
        </w:rPr>
        <w:t xml:space="preserve">Примечание. При расчёте розничных цен на газ, реализуемый населению, не предусмотрены расходы на содержание и ремонт внутриквартирного и внутридомового газового оборудования. </w:t>
      </w:r>
    </w:p>
    <w:p w:rsidR="00A91269" w:rsidRDefault="00A91269" w:rsidP="00A91269">
      <w:pPr>
        <w:pStyle w:val="af9"/>
        <w:ind w:firstLine="850"/>
        <w:jc w:val="both"/>
        <w:rPr>
          <w:rFonts w:ascii="Times New Roman" w:eastAsia="Times New Roman" w:hAnsi="Times New Roman"/>
          <w:sz w:val="28"/>
          <w:szCs w:val="28"/>
        </w:rPr>
      </w:pPr>
      <w:r>
        <w:rPr>
          <w:rFonts w:ascii="Times New Roman" w:eastAsia="Times New Roman" w:hAnsi="Times New Roman"/>
          <w:sz w:val="28"/>
          <w:szCs w:val="28"/>
        </w:rPr>
        <w:t xml:space="preserve">Установленные для </w:t>
      </w:r>
      <w:r>
        <w:rPr>
          <w:rFonts w:ascii="Times New Roman" w:hAnsi="Times New Roman"/>
          <w:sz w:val="28"/>
          <w:szCs w:val="28"/>
        </w:rPr>
        <w:t xml:space="preserve">ООО «Новосибирскоблгаз» </w:t>
      </w:r>
      <w:r>
        <w:rPr>
          <w:rFonts w:ascii="Times New Roman" w:eastAsia="Times New Roman" w:hAnsi="Times New Roman"/>
          <w:sz w:val="28"/>
          <w:szCs w:val="28"/>
        </w:rPr>
        <w:t>розничные цены на сжиженный газ для бытовых нужд населения являются предельными максимальными ценами в случае, если в результате краткосрочных или сезонных колебаний рыночных оптовых цен на сжиженный газ, оптовые цены на сжиженный газ для бытовых нужд, предусмотренные в расчете розничных цен, начинают превышать уровень рыночных оптовых цен на газ, приобретённый у поставщиков в течение регулируемого периода.</w:t>
      </w:r>
    </w:p>
    <w:p w:rsidR="00A91269" w:rsidRPr="00D10FFE" w:rsidRDefault="00A91269" w:rsidP="00D10FFE">
      <w:pPr>
        <w:pStyle w:val="4"/>
      </w:pPr>
      <w:bookmarkStart w:id="84" w:name="_Toc131067943"/>
      <w:bookmarkStart w:id="85" w:name="_Toc193810561"/>
      <w:r w:rsidRPr="00D10FFE">
        <w:t>2.3.4. Плата за технологическое присоединение газоиспользующего оборудования к газораспределительным сетям</w:t>
      </w:r>
      <w:bookmarkEnd w:id="84"/>
      <w:bookmarkEnd w:id="85"/>
    </w:p>
    <w:p w:rsidR="00A91269" w:rsidRDefault="00A91269" w:rsidP="00A91269">
      <w:pPr>
        <w:pStyle w:val="af9"/>
        <w:ind w:firstLine="851"/>
        <w:jc w:val="both"/>
        <w:rPr>
          <w:rFonts w:ascii="Times New Roman" w:hAnsi="Times New Roman"/>
          <w:sz w:val="28"/>
          <w:szCs w:val="28"/>
        </w:rPr>
      </w:pPr>
      <w:bookmarkStart w:id="86" w:name="_Toc131067944"/>
      <w:r>
        <w:rPr>
          <w:rFonts w:ascii="Times New Roman" w:hAnsi="Times New Roman"/>
          <w:sz w:val="28"/>
          <w:szCs w:val="28"/>
        </w:rPr>
        <w:t xml:space="preserve">В 2024 году департаментом принято 41 решение (приказы), в том числе: </w:t>
      </w:r>
    </w:p>
    <w:p w:rsidR="00A91269" w:rsidRDefault="00A91269" w:rsidP="00A91269">
      <w:pPr>
        <w:pStyle w:val="af9"/>
        <w:ind w:firstLine="851"/>
        <w:jc w:val="both"/>
        <w:rPr>
          <w:rFonts w:ascii="Times New Roman" w:hAnsi="Times New Roman"/>
          <w:sz w:val="28"/>
          <w:szCs w:val="28"/>
        </w:rPr>
      </w:pPr>
      <w:r>
        <w:rPr>
          <w:rFonts w:ascii="Times New Roman" w:hAnsi="Times New Roman"/>
          <w:sz w:val="28"/>
          <w:szCs w:val="28"/>
        </w:rPr>
        <w:t xml:space="preserve">- 15 решений об установлении платы за </w:t>
      </w:r>
      <w:r>
        <w:rPr>
          <w:rFonts w:ascii="Times New Roman" w:hAnsi="Times New Roman"/>
          <w:color w:val="000000"/>
          <w:sz w:val="28"/>
          <w:szCs w:val="28"/>
        </w:rPr>
        <w:t xml:space="preserve">технологическое присоединение к газораспределительным сетям и СТС, определяющих ее </w:t>
      </w:r>
      <w:r>
        <w:rPr>
          <w:rFonts w:ascii="Times New Roman" w:hAnsi="Times New Roman"/>
          <w:color w:val="000000"/>
          <w:sz w:val="28"/>
          <w:szCs w:val="28"/>
        </w:rPr>
        <w:lastRenderedPageBreak/>
        <w:t xml:space="preserve">величину, а также </w:t>
      </w:r>
      <w:r>
        <w:rPr>
          <w:rFonts w:ascii="Times New Roman" w:hAnsi="Times New Roman"/>
          <w:sz w:val="28"/>
          <w:szCs w:val="28"/>
        </w:rPr>
        <w:t>СТС для проведения мероприятий по технологическому присоединению газоиспользующего оборудования внутри границ земельного участка заявителя на 2025 год;</w:t>
      </w:r>
    </w:p>
    <w:p w:rsidR="00A91269" w:rsidRDefault="00A91269" w:rsidP="00A91269">
      <w:pPr>
        <w:pStyle w:val="af9"/>
        <w:ind w:firstLine="851"/>
        <w:jc w:val="both"/>
        <w:rPr>
          <w:rFonts w:ascii="Times New Roman" w:hAnsi="Times New Roman"/>
          <w:sz w:val="28"/>
          <w:szCs w:val="28"/>
        </w:rPr>
      </w:pPr>
      <w:r>
        <w:rPr>
          <w:rFonts w:ascii="Times New Roman" w:hAnsi="Times New Roman"/>
          <w:sz w:val="28"/>
          <w:szCs w:val="28"/>
        </w:rPr>
        <w:t xml:space="preserve">- 26 решений об установлении </w:t>
      </w:r>
      <w:r>
        <w:rPr>
          <w:rFonts w:ascii="Times New Roman" w:hAnsi="Times New Roman"/>
          <w:color w:val="000000"/>
          <w:sz w:val="28"/>
          <w:szCs w:val="28"/>
        </w:rPr>
        <w:t>платы за технологическое присоединение к газораспределительным сетям регулируемых организаций по индивидуальным проектам</w:t>
      </w:r>
      <w:r>
        <w:rPr>
          <w:rFonts w:ascii="Times New Roman" w:hAnsi="Times New Roman"/>
          <w:sz w:val="28"/>
          <w:szCs w:val="28"/>
        </w:rPr>
        <w:t>.</w:t>
      </w:r>
    </w:p>
    <w:p w:rsidR="00A91269" w:rsidRDefault="00A91269" w:rsidP="00D10FFE">
      <w:pPr>
        <w:pStyle w:val="4"/>
      </w:pPr>
      <w:bookmarkStart w:id="87" w:name="_Toc193810562"/>
      <w:r>
        <w:t>2.3.5. Показатели надежности и качества услуг по транспортировке газа по газораспределительным сетям</w:t>
      </w:r>
      <w:bookmarkEnd w:id="87"/>
    </w:p>
    <w:p w:rsidR="00A91269" w:rsidRDefault="00A91269" w:rsidP="00A91269">
      <w:pPr>
        <w:spacing w:after="0" w:line="240" w:lineRule="auto"/>
        <w:ind w:firstLine="709"/>
        <w:jc w:val="both"/>
        <w:rPr>
          <w:rFonts w:eastAsia="Calibri"/>
          <w:szCs w:val="28"/>
        </w:rPr>
      </w:pPr>
      <w:r>
        <w:rPr>
          <w:rFonts w:eastAsia="Calibri"/>
          <w:szCs w:val="28"/>
        </w:rPr>
        <w:t xml:space="preserve">В соответствии с требованиями Правил определения показателей надежности и качества услуг по транспортировке газа по газораспределительным сетям, утвержденных постановлением Правительства Российской Федерации от 18.10.2014 № 1074, и в соответствии с Методикой расчета плановых и фактических показателей надежности и качества услуг по транспортировке газа по газораспределительным сетям, утвержденной приказом Минэнерго России от 15.12.2014 № 926, приказом департамента от 11.06.2024 № 128-Г определены фактические значения показателей надежности и качества услуг по транспортировке газа по газораспределительным сетям за 2023 год для 16 газораспределительных организаций. </w:t>
      </w:r>
    </w:p>
    <w:p w:rsidR="00A91269" w:rsidRDefault="00A91269" w:rsidP="00D10FFE">
      <w:pPr>
        <w:pStyle w:val="4"/>
      </w:pPr>
      <w:bookmarkStart w:id="88" w:name="_Toc193810563"/>
      <w:r>
        <w:t>2.3.6. Размер экономически обоснованных расходов на выполнение мероприятий по подключению (технологическому присоединению) газоиспользующего оборудования физических лиц, осуществляемых без взимания с них средств, а также недостаточности финансовых средств для покрытия расходов ГРО на реализацию мероприятий по подключению (технологическому присоединению)  в рамках «догазификации</w:t>
      </w:r>
      <w:bookmarkEnd w:id="86"/>
      <w:r>
        <w:t>»</w:t>
      </w:r>
      <w:bookmarkEnd w:id="88"/>
    </w:p>
    <w:p w:rsidR="00A91269" w:rsidRDefault="00A91269" w:rsidP="00A91269">
      <w:pPr>
        <w:pStyle w:val="af9"/>
        <w:ind w:firstLine="709"/>
        <w:jc w:val="both"/>
        <w:rPr>
          <w:rFonts w:ascii="Times New Roman" w:hAnsi="Times New Roman"/>
          <w:sz w:val="28"/>
          <w:szCs w:val="28"/>
        </w:rPr>
      </w:pPr>
      <w:r>
        <w:rPr>
          <w:rFonts w:ascii="Times New Roman" w:hAnsi="Times New Roman"/>
          <w:sz w:val="28"/>
          <w:szCs w:val="28"/>
        </w:rPr>
        <w:t>В 2024 году департаментом принято 44 решения (приказ</w:t>
      </w:r>
      <w:r w:rsidR="00D10FFE">
        <w:rPr>
          <w:rFonts w:ascii="Times New Roman" w:hAnsi="Times New Roman"/>
          <w:sz w:val="28"/>
          <w:szCs w:val="28"/>
        </w:rPr>
        <w:t>а</w:t>
      </w:r>
      <w:r>
        <w:rPr>
          <w:rFonts w:ascii="Times New Roman" w:hAnsi="Times New Roman"/>
          <w:sz w:val="28"/>
          <w:szCs w:val="28"/>
        </w:rPr>
        <w:t xml:space="preserve">), в том числе: </w:t>
      </w:r>
    </w:p>
    <w:p w:rsidR="00A91269" w:rsidRDefault="00A91269" w:rsidP="00A91269">
      <w:pPr>
        <w:pStyle w:val="af9"/>
        <w:ind w:firstLine="709"/>
        <w:jc w:val="both"/>
        <w:rPr>
          <w:rFonts w:ascii="Times New Roman" w:hAnsi="Times New Roman"/>
          <w:sz w:val="28"/>
          <w:szCs w:val="28"/>
        </w:rPr>
      </w:pPr>
      <w:r>
        <w:rPr>
          <w:rFonts w:ascii="Times New Roman" w:hAnsi="Times New Roman"/>
          <w:sz w:val="28"/>
          <w:szCs w:val="28"/>
        </w:rPr>
        <w:t>- 5 решений об установлении сумм недостаточности финансовых средств для покрытия расходов ГРО на реализацию мероприятий по подключению (технологическому присоединению) в рамках «догазификации»;</w:t>
      </w:r>
    </w:p>
    <w:p w:rsidR="00A91269" w:rsidRDefault="00A91269" w:rsidP="00A91269">
      <w:pPr>
        <w:pStyle w:val="af9"/>
        <w:ind w:firstLine="709"/>
        <w:jc w:val="both"/>
        <w:rPr>
          <w:rFonts w:ascii="Times New Roman" w:hAnsi="Times New Roman"/>
          <w:sz w:val="28"/>
          <w:szCs w:val="28"/>
        </w:rPr>
      </w:pPr>
      <w:r>
        <w:rPr>
          <w:rFonts w:ascii="Times New Roman" w:hAnsi="Times New Roman"/>
          <w:sz w:val="28"/>
          <w:szCs w:val="28"/>
        </w:rPr>
        <w:t>- 30 решений об установлении сумм экономически обоснованных расходов ГРО на выполнение мероприятий по подключению (технологическому присоединению) газоиспользующего оборудования физических лиц без взимания с них средств в рамках проводимой «догазификации».</w:t>
      </w:r>
    </w:p>
    <w:p w:rsidR="00A91269" w:rsidRDefault="00A91269" w:rsidP="00A91269">
      <w:pPr>
        <w:pStyle w:val="af9"/>
        <w:ind w:firstLine="709"/>
        <w:jc w:val="both"/>
        <w:rPr>
          <w:rFonts w:ascii="Times New Roman" w:hAnsi="Times New Roman"/>
          <w:sz w:val="28"/>
          <w:szCs w:val="28"/>
        </w:rPr>
      </w:pPr>
      <w:r>
        <w:rPr>
          <w:rFonts w:ascii="Times New Roman" w:hAnsi="Times New Roman"/>
          <w:sz w:val="28"/>
          <w:szCs w:val="28"/>
        </w:rPr>
        <w:t>Информация о величине утвержденных департаментом в 2024 году экономически обоснованных расходов на реализацию мероприятий по подключению (технологическому присоединению) в рамках «догазификации», сложившихся у газораспределительных организаций, изложена в следующей таблице.</w:t>
      </w:r>
    </w:p>
    <w:p w:rsidR="00A91269" w:rsidRDefault="00A91269" w:rsidP="00A91269">
      <w:pPr>
        <w:pStyle w:val="af9"/>
        <w:ind w:firstLine="709"/>
        <w:jc w:val="right"/>
        <w:rPr>
          <w:rFonts w:ascii="Times New Roman" w:hAnsi="Times New Roman"/>
        </w:rPr>
      </w:pPr>
    </w:p>
    <w:tbl>
      <w:tblPr>
        <w:tblStyle w:val="af2"/>
        <w:tblW w:w="0" w:type="auto"/>
        <w:tblLayout w:type="fixed"/>
        <w:tblLook w:val="04A0" w:firstRow="1" w:lastRow="0" w:firstColumn="1" w:lastColumn="0" w:noHBand="0" w:noVBand="1"/>
      </w:tblPr>
      <w:tblGrid>
        <w:gridCol w:w="2396"/>
        <w:gridCol w:w="1532"/>
        <w:gridCol w:w="2043"/>
        <w:gridCol w:w="1532"/>
        <w:gridCol w:w="1631"/>
      </w:tblGrid>
      <w:tr w:rsidR="00A91269" w:rsidRPr="00D10FFE" w:rsidTr="00D10FFE">
        <w:trPr>
          <w:trHeight w:val="389"/>
        </w:trPr>
        <w:tc>
          <w:tcPr>
            <w:tcW w:w="2396"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Наименование ГРО</w:t>
            </w:r>
          </w:p>
          <w:p w:rsidR="00A91269" w:rsidRPr="00D10FFE" w:rsidRDefault="00A91269" w:rsidP="005A5E13">
            <w:pPr>
              <w:rPr>
                <w:rFonts w:eastAsia="Times New Roman"/>
                <w:sz w:val="20"/>
                <w:szCs w:val="20"/>
              </w:rPr>
            </w:pPr>
          </w:p>
          <w:p w:rsidR="00A91269" w:rsidRPr="00D10FFE" w:rsidRDefault="00A91269" w:rsidP="005A5E13">
            <w:pPr>
              <w:pStyle w:val="af9"/>
              <w:jc w:val="center"/>
              <w:rPr>
                <w:rFonts w:ascii="Times New Roman" w:hAnsi="Times New Roman"/>
              </w:rPr>
            </w:pPr>
          </w:p>
          <w:p w:rsidR="00A91269" w:rsidRPr="00D10FFE" w:rsidRDefault="00A91269" w:rsidP="005A5E13">
            <w:pPr>
              <w:rPr>
                <w:rFonts w:eastAsia="Times New Roman"/>
                <w:sz w:val="20"/>
                <w:szCs w:val="20"/>
              </w:rPr>
            </w:pPr>
          </w:p>
          <w:p w:rsidR="00A91269" w:rsidRPr="00D10FFE" w:rsidRDefault="00A91269" w:rsidP="005A5E13">
            <w:pPr>
              <w:pStyle w:val="af9"/>
              <w:jc w:val="center"/>
              <w:rPr>
                <w:rFonts w:ascii="Times New Roman" w:hAnsi="Times New Roman"/>
              </w:rPr>
            </w:pP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lastRenderedPageBreak/>
              <w:t xml:space="preserve">Экономически </w:t>
            </w:r>
            <w:r w:rsidRPr="00D10FFE">
              <w:rPr>
                <w:rFonts w:ascii="Times New Roman" w:hAnsi="Times New Roman"/>
              </w:rPr>
              <w:lastRenderedPageBreak/>
              <w:t xml:space="preserve">обоснованные расходы </w:t>
            </w:r>
          </w:p>
          <w:p w:rsidR="00A91269" w:rsidRPr="00D10FFE" w:rsidRDefault="00A91269" w:rsidP="005A5E13">
            <w:pPr>
              <w:pStyle w:val="af9"/>
              <w:jc w:val="center"/>
              <w:rPr>
                <w:rFonts w:ascii="Times New Roman" w:hAnsi="Times New Roman"/>
              </w:rPr>
            </w:pPr>
            <w:r w:rsidRPr="00D10FFE">
              <w:rPr>
                <w:rFonts w:ascii="Times New Roman" w:hAnsi="Times New Roman"/>
              </w:rPr>
              <w:t>всего,</w:t>
            </w:r>
          </w:p>
          <w:p w:rsidR="00A91269" w:rsidRPr="00D10FFE" w:rsidRDefault="00A91269" w:rsidP="005A5E13">
            <w:pPr>
              <w:pStyle w:val="af9"/>
              <w:jc w:val="center"/>
              <w:rPr>
                <w:rFonts w:ascii="Times New Roman" w:hAnsi="Times New Roman"/>
              </w:rPr>
            </w:pPr>
            <w:r w:rsidRPr="00D10FFE">
              <w:rPr>
                <w:rFonts w:ascii="Times New Roman" w:hAnsi="Times New Roman"/>
              </w:rPr>
              <w:t>тыс.руб.</w:t>
            </w:r>
          </w:p>
          <w:p w:rsidR="00A91269" w:rsidRPr="00D10FFE" w:rsidRDefault="00A91269" w:rsidP="005A5E13">
            <w:pPr>
              <w:pStyle w:val="af9"/>
              <w:jc w:val="center"/>
              <w:rPr>
                <w:rFonts w:ascii="Times New Roman" w:hAnsi="Times New Roman"/>
              </w:rPr>
            </w:pPr>
          </w:p>
        </w:tc>
        <w:tc>
          <w:tcPr>
            <w:tcW w:w="5205" w:type="dxa"/>
            <w:gridSpan w:val="3"/>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lastRenderedPageBreak/>
              <w:t>в том числе:</w:t>
            </w:r>
          </w:p>
        </w:tc>
      </w:tr>
      <w:tr w:rsidR="00A91269" w:rsidRPr="00D10FFE" w:rsidTr="00D10FFE">
        <w:trPr>
          <w:trHeight w:val="529"/>
        </w:trPr>
        <w:tc>
          <w:tcPr>
            <w:tcW w:w="2396" w:type="dxa"/>
            <w:vMerge/>
          </w:tcPr>
          <w:p w:rsidR="00A91269" w:rsidRPr="00D10FFE" w:rsidRDefault="00A91269" w:rsidP="005A5E13">
            <w:pPr>
              <w:rPr>
                <w:sz w:val="20"/>
                <w:szCs w:val="20"/>
              </w:rPr>
            </w:pPr>
          </w:p>
        </w:tc>
        <w:tc>
          <w:tcPr>
            <w:tcW w:w="1532" w:type="dxa"/>
            <w:vMerge/>
          </w:tcPr>
          <w:p w:rsidR="00A91269" w:rsidRPr="00D10FFE" w:rsidRDefault="00A91269" w:rsidP="005A5E13">
            <w:pPr>
              <w:rPr>
                <w:sz w:val="20"/>
                <w:szCs w:val="20"/>
              </w:rPr>
            </w:pPr>
          </w:p>
        </w:tc>
        <w:tc>
          <w:tcPr>
            <w:tcW w:w="2043"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экономически обоснованные расходы, связанные с фактическим присоединением (врезка) в границах земельного участка при отсутствии необходимости строительства газопровода,</w:t>
            </w:r>
          </w:p>
          <w:p w:rsidR="00A91269" w:rsidRPr="00D10FFE" w:rsidRDefault="00A91269" w:rsidP="005A5E13">
            <w:pPr>
              <w:pStyle w:val="af9"/>
              <w:jc w:val="center"/>
              <w:rPr>
                <w:rFonts w:ascii="Times New Roman" w:hAnsi="Times New Roman"/>
              </w:rPr>
            </w:pPr>
            <w:r w:rsidRPr="00D10FFE">
              <w:rPr>
                <w:rFonts w:ascii="Times New Roman" w:hAnsi="Times New Roman"/>
              </w:rPr>
              <w:t>тыс.руб.</w:t>
            </w:r>
          </w:p>
        </w:tc>
        <w:tc>
          <w:tcPr>
            <w:tcW w:w="3163" w:type="dxa"/>
            <w:gridSpan w:val="2"/>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 построенные газопровода</w:t>
            </w:r>
          </w:p>
        </w:tc>
      </w:tr>
      <w:tr w:rsidR="00A91269" w:rsidRPr="00D10FFE" w:rsidTr="00D10FFE">
        <w:trPr>
          <w:trHeight w:val="138"/>
        </w:trPr>
        <w:tc>
          <w:tcPr>
            <w:tcW w:w="2396" w:type="dxa"/>
            <w:vMerge/>
            <w:vAlign w:val="center"/>
          </w:tcPr>
          <w:p w:rsidR="00A91269" w:rsidRPr="00D10FFE" w:rsidRDefault="00A91269" w:rsidP="005A5E13">
            <w:pPr>
              <w:rPr>
                <w:sz w:val="20"/>
                <w:szCs w:val="20"/>
              </w:rPr>
            </w:pPr>
          </w:p>
        </w:tc>
        <w:tc>
          <w:tcPr>
            <w:tcW w:w="1532" w:type="dxa"/>
            <w:vMerge/>
            <w:vAlign w:val="center"/>
          </w:tcPr>
          <w:p w:rsidR="00A91269" w:rsidRPr="00D10FFE" w:rsidRDefault="00A91269" w:rsidP="005A5E13">
            <w:pPr>
              <w:rPr>
                <w:sz w:val="20"/>
                <w:szCs w:val="20"/>
              </w:rPr>
            </w:pPr>
          </w:p>
        </w:tc>
        <w:tc>
          <w:tcPr>
            <w:tcW w:w="2043" w:type="dxa"/>
            <w:vMerge/>
            <w:vAlign w:val="center"/>
          </w:tcPr>
          <w:p w:rsidR="00A91269" w:rsidRPr="00D10FFE" w:rsidRDefault="00A91269" w:rsidP="005A5E13">
            <w:pPr>
              <w:rPr>
                <w:sz w:val="20"/>
                <w:szCs w:val="20"/>
              </w:rPr>
            </w:pP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протяженность построенных</w:t>
            </w:r>
          </w:p>
          <w:p w:rsidR="00A91269" w:rsidRPr="00D10FFE" w:rsidRDefault="00A91269" w:rsidP="005A5E13">
            <w:pPr>
              <w:pStyle w:val="af9"/>
              <w:jc w:val="center"/>
              <w:rPr>
                <w:rFonts w:ascii="Times New Roman" w:hAnsi="Times New Roman"/>
              </w:rPr>
            </w:pPr>
            <w:r w:rsidRPr="00D10FFE">
              <w:rPr>
                <w:rFonts w:ascii="Times New Roman" w:hAnsi="Times New Roman"/>
              </w:rPr>
              <w:t>газопроводов,</w:t>
            </w:r>
          </w:p>
          <w:p w:rsidR="00A91269" w:rsidRPr="00D10FFE" w:rsidRDefault="00A91269" w:rsidP="005A5E13">
            <w:pPr>
              <w:pStyle w:val="af9"/>
              <w:jc w:val="center"/>
              <w:rPr>
                <w:rFonts w:ascii="Times New Roman" w:hAnsi="Times New Roman"/>
              </w:rPr>
            </w:pPr>
            <w:r w:rsidRPr="00D10FFE">
              <w:rPr>
                <w:rFonts w:ascii="Times New Roman" w:hAnsi="Times New Roman"/>
              </w:rPr>
              <w:t>п.метр</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экономически обоснованные расходы, связанные со строительством,</w:t>
            </w:r>
          </w:p>
          <w:p w:rsidR="00A91269" w:rsidRPr="00D10FFE" w:rsidRDefault="00A91269" w:rsidP="005A5E13">
            <w:pPr>
              <w:pStyle w:val="af9"/>
              <w:jc w:val="center"/>
              <w:rPr>
                <w:rFonts w:ascii="Times New Roman" w:hAnsi="Times New Roman"/>
              </w:rPr>
            </w:pPr>
            <w:r w:rsidRPr="00D10FFE">
              <w:rPr>
                <w:rFonts w:ascii="Times New Roman" w:hAnsi="Times New Roman"/>
              </w:rPr>
              <w:t>тыс.руб.</w:t>
            </w:r>
          </w:p>
          <w:p w:rsidR="00A91269" w:rsidRPr="00D10FFE" w:rsidRDefault="00A91269" w:rsidP="005A5E13">
            <w:pPr>
              <w:pStyle w:val="af9"/>
              <w:jc w:val="center"/>
              <w:rPr>
                <w:rFonts w:ascii="Times New Roman" w:hAnsi="Times New Roman"/>
              </w:rPr>
            </w:pPr>
          </w:p>
        </w:tc>
      </w:tr>
      <w:tr w:rsidR="00A91269" w:rsidRPr="00D10FFE" w:rsidTr="00D10FFE">
        <w:trPr>
          <w:trHeight w:val="552"/>
        </w:trPr>
        <w:tc>
          <w:tcPr>
            <w:tcW w:w="2396" w:type="dxa"/>
            <w:vAlign w:val="center"/>
          </w:tcPr>
          <w:p w:rsidR="00A91269" w:rsidRPr="00D10FFE" w:rsidRDefault="00A91269" w:rsidP="005A5E13">
            <w:pPr>
              <w:rPr>
                <w:rFonts w:eastAsia="Times New Roman"/>
                <w:sz w:val="20"/>
                <w:szCs w:val="20"/>
              </w:rPr>
            </w:pPr>
            <w:r w:rsidRPr="00D10FFE">
              <w:rPr>
                <w:rFonts w:eastAsia="Times New Roman"/>
                <w:sz w:val="20"/>
                <w:szCs w:val="20"/>
              </w:rPr>
              <w:t xml:space="preserve">1. ООО «Газпром газораспределение Томск» </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2 066 564,83</w:t>
            </w:r>
          </w:p>
        </w:tc>
        <w:tc>
          <w:tcPr>
            <w:tcW w:w="2043"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43 174,61</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180 815,7</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2 023 390,22</w:t>
            </w:r>
          </w:p>
        </w:tc>
      </w:tr>
      <w:tr w:rsidR="00A91269" w:rsidRPr="00D10FFE" w:rsidTr="00D10FFE">
        <w:trPr>
          <w:trHeight w:val="552"/>
        </w:trPr>
        <w:tc>
          <w:tcPr>
            <w:tcW w:w="2396" w:type="dxa"/>
            <w:vAlign w:val="center"/>
          </w:tcPr>
          <w:p w:rsidR="00A91269" w:rsidRPr="00D10FFE" w:rsidRDefault="00A91269" w:rsidP="005A5E13">
            <w:pPr>
              <w:rPr>
                <w:rFonts w:eastAsia="Times New Roman"/>
                <w:sz w:val="20"/>
                <w:szCs w:val="20"/>
              </w:rPr>
            </w:pPr>
            <w:r w:rsidRPr="00D10FFE">
              <w:rPr>
                <w:rFonts w:eastAsia="Times New Roman"/>
                <w:sz w:val="20"/>
                <w:szCs w:val="20"/>
              </w:rPr>
              <w:t>2. АО «Городские газовые сети»</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777 439,77</w:t>
            </w:r>
          </w:p>
        </w:tc>
        <w:tc>
          <w:tcPr>
            <w:tcW w:w="2043"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3 294,89</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54 286,3</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774 144,88</w:t>
            </w:r>
          </w:p>
        </w:tc>
      </w:tr>
      <w:tr w:rsidR="00A91269" w:rsidRPr="00D10FFE" w:rsidTr="00D10FFE">
        <w:trPr>
          <w:trHeight w:val="552"/>
        </w:trPr>
        <w:tc>
          <w:tcPr>
            <w:tcW w:w="2396" w:type="dxa"/>
            <w:vAlign w:val="center"/>
          </w:tcPr>
          <w:p w:rsidR="00A91269" w:rsidRPr="00D10FFE" w:rsidRDefault="00A91269" w:rsidP="005A5E13">
            <w:pPr>
              <w:rPr>
                <w:rFonts w:eastAsia="Times New Roman"/>
                <w:sz w:val="20"/>
                <w:szCs w:val="20"/>
              </w:rPr>
            </w:pPr>
            <w:r w:rsidRPr="00D10FFE">
              <w:rPr>
                <w:rFonts w:eastAsia="Times New Roman"/>
                <w:sz w:val="20"/>
                <w:szCs w:val="20"/>
              </w:rPr>
              <w:t>3. ООО «АльфаГазСтройСервис»</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35 514,14</w:t>
            </w:r>
          </w:p>
        </w:tc>
        <w:tc>
          <w:tcPr>
            <w:tcW w:w="2043"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23,59</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4 022,4</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35 490,55</w:t>
            </w:r>
          </w:p>
        </w:tc>
      </w:tr>
      <w:tr w:rsidR="00A91269" w:rsidRPr="00D10FFE" w:rsidTr="00D10FFE">
        <w:trPr>
          <w:trHeight w:val="542"/>
        </w:trPr>
        <w:tc>
          <w:tcPr>
            <w:tcW w:w="2396" w:type="dxa"/>
            <w:vAlign w:val="center"/>
          </w:tcPr>
          <w:p w:rsidR="00A91269" w:rsidRPr="00D10FFE" w:rsidRDefault="00A91269" w:rsidP="005A5E13">
            <w:pPr>
              <w:rPr>
                <w:rFonts w:eastAsia="Times New Roman"/>
                <w:sz w:val="20"/>
                <w:szCs w:val="20"/>
              </w:rPr>
            </w:pPr>
            <w:r w:rsidRPr="00D10FFE">
              <w:rPr>
                <w:rFonts w:eastAsia="Times New Roman"/>
                <w:sz w:val="20"/>
                <w:szCs w:val="20"/>
              </w:rPr>
              <w:t>4. ООО «Новосибирскоблгаз»</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29 081,60</w:t>
            </w:r>
          </w:p>
        </w:tc>
        <w:tc>
          <w:tcPr>
            <w:tcW w:w="2043"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457,06</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10 401,0</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28 624,54</w:t>
            </w:r>
          </w:p>
        </w:tc>
      </w:tr>
      <w:tr w:rsidR="00A91269" w:rsidRPr="00D10FFE" w:rsidTr="00D10FFE">
        <w:trPr>
          <w:trHeight w:val="552"/>
        </w:trPr>
        <w:tc>
          <w:tcPr>
            <w:tcW w:w="2396" w:type="dxa"/>
            <w:vAlign w:val="center"/>
          </w:tcPr>
          <w:p w:rsidR="00A91269" w:rsidRPr="00D10FFE" w:rsidRDefault="00A91269" w:rsidP="005A5E13">
            <w:pPr>
              <w:rPr>
                <w:rFonts w:eastAsia="Times New Roman"/>
                <w:sz w:val="20"/>
                <w:szCs w:val="20"/>
              </w:rPr>
            </w:pPr>
            <w:r w:rsidRPr="00D10FFE">
              <w:rPr>
                <w:rFonts w:eastAsia="Times New Roman"/>
                <w:sz w:val="20"/>
                <w:szCs w:val="20"/>
              </w:rPr>
              <w:t>5. ООО «НПП «Сибирский энергетический центр»</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102 179,49</w:t>
            </w:r>
          </w:p>
        </w:tc>
        <w:tc>
          <w:tcPr>
            <w:tcW w:w="2043"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1 726,12</w:t>
            </w:r>
          </w:p>
        </w:tc>
        <w:tc>
          <w:tcPr>
            <w:tcW w:w="1532"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10 564,7</w:t>
            </w:r>
          </w:p>
        </w:tc>
        <w:tc>
          <w:tcPr>
            <w:tcW w:w="1630" w:type="dxa"/>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100 453,37</w:t>
            </w:r>
          </w:p>
        </w:tc>
      </w:tr>
      <w:tr w:rsidR="00A91269" w:rsidRPr="00D10FFE" w:rsidTr="00D10FFE">
        <w:trPr>
          <w:trHeight w:val="419"/>
        </w:trPr>
        <w:tc>
          <w:tcPr>
            <w:tcW w:w="2396" w:type="dxa"/>
            <w:vMerge w:val="restart"/>
            <w:vAlign w:val="center"/>
          </w:tcPr>
          <w:p w:rsidR="00A91269" w:rsidRPr="00D10FFE" w:rsidRDefault="00A91269" w:rsidP="005A5E13">
            <w:pPr>
              <w:rPr>
                <w:rFonts w:eastAsia="Times New Roman"/>
                <w:sz w:val="20"/>
                <w:szCs w:val="20"/>
              </w:rPr>
            </w:pPr>
            <w:r w:rsidRPr="00D10FFE">
              <w:rPr>
                <w:rFonts w:eastAsia="Times New Roman"/>
                <w:sz w:val="20"/>
                <w:szCs w:val="20"/>
              </w:rPr>
              <w:t xml:space="preserve">6. ООО «ТеплоГазСервис» </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15 070,21</w:t>
            </w:r>
          </w:p>
        </w:tc>
        <w:tc>
          <w:tcPr>
            <w:tcW w:w="2043"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1 804,82</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2 116,4</w:t>
            </w:r>
          </w:p>
        </w:tc>
        <w:tc>
          <w:tcPr>
            <w:tcW w:w="1630"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13 265,39</w:t>
            </w:r>
          </w:p>
        </w:tc>
      </w:tr>
      <w:tr w:rsidR="00A91269" w:rsidRPr="00D10FFE" w:rsidTr="00D10FFE">
        <w:trPr>
          <w:trHeight w:val="419"/>
        </w:trPr>
        <w:tc>
          <w:tcPr>
            <w:tcW w:w="2396" w:type="dxa"/>
            <w:vMerge w:val="restart"/>
            <w:vAlign w:val="center"/>
          </w:tcPr>
          <w:p w:rsidR="00A91269" w:rsidRPr="00D10FFE" w:rsidRDefault="00A91269" w:rsidP="005A5E13">
            <w:pPr>
              <w:rPr>
                <w:rFonts w:eastAsia="Times New Roman"/>
                <w:sz w:val="20"/>
                <w:szCs w:val="20"/>
              </w:rPr>
            </w:pPr>
            <w:r w:rsidRPr="00D10FFE">
              <w:rPr>
                <w:rFonts w:eastAsia="Times New Roman"/>
                <w:sz w:val="20"/>
                <w:szCs w:val="20"/>
              </w:rPr>
              <w:t xml:space="preserve">7. ООО «Техногаз» </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79 004,35</w:t>
            </w:r>
          </w:p>
        </w:tc>
        <w:tc>
          <w:tcPr>
            <w:tcW w:w="2043"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3 274,05</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7 253,0</w:t>
            </w:r>
          </w:p>
        </w:tc>
        <w:tc>
          <w:tcPr>
            <w:tcW w:w="1630"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75 730,30</w:t>
            </w:r>
          </w:p>
        </w:tc>
      </w:tr>
      <w:tr w:rsidR="00A91269" w:rsidRPr="00D10FFE" w:rsidTr="00D10FFE">
        <w:trPr>
          <w:trHeight w:val="419"/>
        </w:trPr>
        <w:tc>
          <w:tcPr>
            <w:tcW w:w="2396" w:type="dxa"/>
            <w:vMerge w:val="restart"/>
            <w:vAlign w:val="center"/>
          </w:tcPr>
          <w:p w:rsidR="00A91269" w:rsidRPr="00D10FFE" w:rsidRDefault="00A91269" w:rsidP="005A5E13">
            <w:pPr>
              <w:rPr>
                <w:rFonts w:eastAsia="Times New Roman"/>
                <w:sz w:val="20"/>
                <w:szCs w:val="20"/>
              </w:rPr>
            </w:pPr>
            <w:r w:rsidRPr="00D10FFE">
              <w:rPr>
                <w:rFonts w:eastAsia="Times New Roman"/>
                <w:sz w:val="20"/>
                <w:szCs w:val="20"/>
              </w:rPr>
              <w:t>8. ООО «Стимул»</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13 332,18</w:t>
            </w:r>
          </w:p>
        </w:tc>
        <w:tc>
          <w:tcPr>
            <w:tcW w:w="2043"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1 427,28</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1 074,9</w:t>
            </w:r>
          </w:p>
        </w:tc>
        <w:tc>
          <w:tcPr>
            <w:tcW w:w="1630"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11 904,90</w:t>
            </w:r>
          </w:p>
        </w:tc>
      </w:tr>
      <w:tr w:rsidR="00A91269" w:rsidRPr="00D10FFE" w:rsidTr="00D10FFE">
        <w:trPr>
          <w:trHeight w:val="419"/>
        </w:trPr>
        <w:tc>
          <w:tcPr>
            <w:tcW w:w="2396" w:type="dxa"/>
            <w:vMerge w:val="restart"/>
            <w:vAlign w:val="center"/>
          </w:tcPr>
          <w:p w:rsidR="00A91269" w:rsidRPr="00D10FFE" w:rsidRDefault="00A91269" w:rsidP="005A5E13">
            <w:pPr>
              <w:rPr>
                <w:rFonts w:eastAsia="Times New Roman"/>
                <w:sz w:val="20"/>
                <w:szCs w:val="20"/>
              </w:rPr>
            </w:pPr>
            <w:r w:rsidRPr="00D10FFE">
              <w:rPr>
                <w:rFonts w:eastAsia="Times New Roman"/>
                <w:sz w:val="20"/>
                <w:szCs w:val="20"/>
              </w:rPr>
              <w:t xml:space="preserve">9. ООО «Фортуна+» </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1 267,30</w:t>
            </w:r>
          </w:p>
        </w:tc>
        <w:tc>
          <w:tcPr>
            <w:tcW w:w="2043"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1 267,30</w:t>
            </w:r>
          </w:p>
        </w:tc>
        <w:tc>
          <w:tcPr>
            <w:tcW w:w="1532"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0,0</w:t>
            </w:r>
          </w:p>
        </w:tc>
        <w:tc>
          <w:tcPr>
            <w:tcW w:w="1630" w:type="dxa"/>
            <w:vMerge w:val="restart"/>
            <w:vAlign w:val="center"/>
          </w:tcPr>
          <w:p w:rsidR="00A91269" w:rsidRPr="00D10FFE" w:rsidRDefault="00A91269" w:rsidP="005A5E13">
            <w:pPr>
              <w:pStyle w:val="af9"/>
              <w:jc w:val="center"/>
              <w:rPr>
                <w:rFonts w:ascii="Times New Roman" w:hAnsi="Times New Roman"/>
              </w:rPr>
            </w:pPr>
            <w:r w:rsidRPr="00D10FFE">
              <w:rPr>
                <w:rFonts w:ascii="Times New Roman" w:hAnsi="Times New Roman"/>
              </w:rPr>
              <w:t>0,00</w:t>
            </w:r>
          </w:p>
        </w:tc>
      </w:tr>
      <w:tr w:rsidR="00A91269" w:rsidRPr="00D10FFE" w:rsidTr="00D10FFE">
        <w:trPr>
          <w:trHeight w:val="394"/>
        </w:trPr>
        <w:tc>
          <w:tcPr>
            <w:tcW w:w="2396" w:type="dxa"/>
            <w:vMerge w:val="restart"/>
            <w:vAlign w:val="center"/>
          </w:tcPr>
          <w:p w:rsidR="00A91269" w:rsidRPr="00D10FFE" w:rsidRDefault="00A91269" w:rsidP="005A5E13">
            <w:pPr>
              <w:rPr>
                <w:rFonts w:eastAsia="Times New Roman"/>
                <w:b/>
                <w:bCs/>
                <w:sz w:val="20"/>
                <w:szCs w:val="20"/>
              </w:rPr>
            </w:pPr>
            <w:r w:rsidRPr="00D10FFE">
              <w:rPr>
                <w:rFonts w:eastAsia="Times New Roman"/>
                <w:b/>
                <w:bCs/>
                <w:sz w:val="20"/>
                <w:szCs w:val="20"/>
              </w:rPr>
              <w:t>ИТОГО:</w:t>
            </w:r>
          </w:p>
        </w:tc>
        <w:tc>
          <w:tcPr>
            <w:tcW w:w="1532" w:type="dxa"/>
            <w:vMerge w:val="restart"/>
            <w:vAlign w:val="center"/>
          </w:tcPr>
          <w:p w:rsidR="00A91269" w:rsidRPr="00D10FFE" w:rsidRDefault="00A91269" w:rsidP="005A5E13">
            <w:pPr>
              <w:pStyle w:val="af9"/>
              <w:jc w:val="center"/>
              <w:rPr>
                <w:rFonts w:ascii="Times New Roman" w:hAnsi="Times New Roman"/>
                <w:b/>
                <w:bCs/>
              </w:rPr>
            </w:pPr>
            <w:r w:rsidRPr="00D10FFE">
              <w:rPr>
                <w:rFonts w:ascii="Times New Roman" w:hAnsi="Times New Roman"/>
                <w:b/>
                <w:bCs/>
              </w:rPr>
              <w:t>5 679 459,64</w:t>
            </w:r>
          </w:p>
        </w:tc>
        <w:tc>
          <w:tcPr>
            <w:tcW w:w="2043" w:type="dxa"/>
            <w:vMerge w:val="restart"/>
            <w:vAlign w:val="center"/>
          </w:tcPr>
          <w:p w:rsidR="00A91269" w:rsidRPr="00D10FFE" w:rsidRDefault="00A91269" w:rsidP="005A5E13">
            <w:pPr>
              <w:pStyle w:val="af9"/>
              <w:jc w:val="center"/>
              <w:rPr>
                <w:rFonts w:ascii="Times New Roman" w:hAnsi="Times New Roman"/>
                <w:b/>
                <w:bCs/>
              </w:rPr>
            </w:pPr>
            <w:r w:rsidRPr="00D10FFE">
              <w:rPr>
                <w:rFonts w:ascii="Times New Roman" w:hAnsi="Times New Roman"/>
                <w:b/>
                <w:bCs/>
              </w:rPr>
              <w:t>142 926,60</w:t>
            </w:r>
          </w:p>
        </w:tc>
        <w:tc>
          <w:tcPr>
            <w:tcW w:w="1532" w:type="dxa"/>
            <w:vMerge w:val="restart"/>
            <w:vAlign w:val="center"/>
          </w:tcPr>
          <w:p w:rsidR="00A91269" w:rsidRPr="00D10FFE" w:rsidRDefault="00A91269" w:rsidP="005A5E13">
            <w:pPr>
              <w:pStyle w:val="af9"/>
              <w:jc w:val="center"/>
              <w:rPr>
                <w:rFonts w:ascii="Times New Roman" w:hAnsi="Times New Roman"/>
                <w:b/>
                <w:bCs/>
              </w:rPr>
            </w:pPr>
            <w:r w:rsidRPr="00D10FFE">
              <w:rPr>
                <w:rFonts w:ascii="Times New Roman" w:hAnsi="Times New Roman"/>
                <w:b/>
                <w:bCs/>
              </w:rPr>
              <w:t>606 780,0</w:t>
            </w:r>
          </w:p>
        </w:tc>
        <w:tc>
          <w:tcPr>
            <w:tcW w:w="1630" w:type="dxa"/>
            <w:vMerge w:val="restart"/>
            <w:vAlign w:val="center"/>
          </w:tcPr>
          <w:p w:rsidR="00A91269" w:rsidRPr="00D10FFE" w:rsidRDefault="00A91269" w:rsidP="005A5E13">
            <w:pPr>
              <w:pStyle w:val="af9"/>
              <w:jc w:val="center"/>
              <w:rPr>
                <w:rFonts w:ascii="Times New Roman" w:hAnsi="Times New Roman"/>
                <w:b/>
                <w:bCs/>
              </w:rPr>
            </w:pPr>
            <w:r w:rsidRPr="00D10FFE">
              <w:rPr>
                <w:rFonts w:ascii="Times New Roman" w:hAnsi="Times New Roman"/>
                <w:b/>
                <w:bCs/>
              </w:rPr>
              <w:t>5 536 533,04</w:t>
            </w:r>
          </w:p>
        </w:tc>
      </w:tr>
    </w:tbl>
    <w:p w:rsidR="00A91269" w:rsidRDefault="00A91269" w:rsidP="00A91269">
      <w:pPr>
        <w:pStyle w:val="af9"/>
        <w:jc w:val="both"/>
        <w:rPr>
          <w:rFonts w:ascii="Times New Roman" w:hAnsi="Times New Roman"/>
          <w:sz w:val="28"/>
          <w:szCs w:val="28"/>
        </w:rPr>
      </w:pPr>
    </w:p>
    <w:p w:rsidR="00A91269" w:rsidRDefault="00A91269" w:rsidP="00A91269">
      <w:pPr>
        <w:pStyle w:val="af9"/>
        <w:ind w:firstLine="425"/>
        <w:jc w:val="both"/>
        <w:rPr>
          <w:rFonts w:ascii="Times New Roman" w:hAnsi="Times New Roman"/>
          <w:sz w:val="28"/>
          <w:szCs w:val="28"/>
        </w:rPr>
      </w:pPr>
      <w:r>
        <w:rPr>
          <w:rFonts w:ascii="Times New Roman" w:eastAsia="Times New Roman" w:hAnsi="Times New Roman"/>
          <w:sz w:val="28"/>
          <w:szCs w:val="28"/>
        </w:rPr>
        <w:t>В соответствии с постановлением Правительства Российской Федерации от 13.09.2021 № 1550 приказы департамента об утверждении размера экономически-обоснованных расходов ГРО на выполнение мероприятий по подключению газоиспользующего оборудования к газораспределительным сетям в рамках догазификации направлены в адрес единого оператора газификации ООО «Газпром газификация» для осуществления финансирования указанных мероприятий.</w:t>
      </w:r>
    </w:p>
    <w:p w:rsidR="00A91269" w:rsidRPr="00F74D83" w:rsidRDefault="00A91269" w:rsidP="00F74D83">
      <w:pPr>
        <w:pStyle w:val="4"/>
      </w:pPr>
      <w:bookmarkStart w:id="89" w:name="_Toc193810564"/>
      <w:r w:rsidRPr="00F74D83">
        <w:t>2.3.7. Мониторинг цен (тарифов) в сфере газоснабжения</w:t>
      </w:r>
      <w:bookmarkEnd w:id="89"/>
    </w:p>
    <w:p w:rsidR="00A91269" w:rsidRDefault="00A91269" w:rsidP="00A91269">
      <w:pPr>
        <w:spacing w:after="0" w:line="240" w:lineRule="auto"/>
        <w:ind w:firstLine="567"/>
        <w:jc w:val="both"/>
        <w:rPr>
          <w:rFonts w:eastAsia="Calibri"/>
          <w:szCs w:val="28"/>
        </w:rPr>
      </w:pPr>
      <w:r>
        <w:rPr>
          <w:rFonts w:eastAsia="Calibri"/>
          <w:szCs w:val="28"/>
        </w:rPr>
        <w:t>В течение 2024 года департаментом в сфере газоснабжения в установленные сроки:</w:t>
      </w:r>
    </w:p>
    <w:p w:rsidR="00A91269" w:rsidRDefault="00A91269" w:rsidP="00A91269">
      <w:pPr>
        <w:spacing w:after="0" w:line="240" w:lineRule="auto"/>
        <w:ind w:firstLine="567"/>
        <w:jc w:val="both"/>
        <w:rPr>
          <w:rFonts w:eastAsia="Calibri"/>
          <w:spacing w:val="2"/>
          <w:szCs w:val="28"/>
        </w:rPr>
      </w:pPr>
      <w:r>
        <w:rPr>
          <w:rFonts w:eastAsia="Calibri"/>
          <w:szCs w:val="28"/>
        </w:rPr>
        <w:t xml:space="preserve">- сформирована и направлена в ФАС России </w:t>
      </w:r>
      <w:r>
        <w:rPr>
          <w:rFonts w:eastAsia="Calibri"/>
          <w:spacing w:val="2"/>
          <w:szCs w:val="28"/>
        </w:rPr>
        <w:t xml:space="preserve">информация по газоснабжающим организациям Новосибирской области: в формате электронного шаблона по системе ЕИАС. Всего направлено </w:t>
      </w:r>
      <w:r>
        <w:rPr>
          <w:rFonts w:eastAsia="Calibri"/>
          <w:color w:val="000000" w:themeColor="text1"/>
          <w:spacing w:val="2"/>
          <w:szCs w:val="28"/>
        </w:rPr>
        <w:t xml:space="preserve">3 </w:t>
      </w:r>
      <w:r>
        <w:rPr>
          <w:rFonts w:eastAsia="Calibri"/>
          <w:spacing w:val="2"/>
          <w:szCs w:val="28"/>
        </w:rPr>
        <w:t>шаблона;</w:t>
      </w:r>
    </w:p>
    <w:p w:rsidR="00A91269" w:rsidRDefault="00A91269" w:rsidP="00A91269">
      <w:pPr>
        <w:spacing w:after="0" w:line="240" w:lineRule="auto"/>
        <w:ind w:firstLine="567"/>
        <w:jc w:val="both"/>
        <w:rPr>
          <w:szCs w:val="28"/>
        </w:rPr>
      </w:pPr>
      <w:r>
        <w:rPr>
          <w:rFonts w:eastAsia="Calibri"/>
          <w:spacing w:val="2"/>
          <w:szCs w:val="28"/>
        </w:rPr>
        <w:t>- </w:t>
      </w:r>
      <w:r>
        <w:rPr>
          <w:iCs/>
          <w:szCs w:val="28"/>
        </w:rPr>
        <w:t xml:space="preserve">подготовлена и размещена в ГИС ЖКХ информация  об установленных  ценах (тарифах, платы). Всего </w:t>
      </w:r>
      <w:r>
        <w:rPr>
          <w:szCs w:val="28"/>
        </w:rPr>
        <w:t>размещено 1 919 ед. информации (приказы департамента,  сведения о ценах, тарифах, платы).</w:t>
      </w: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F74D83" w:rsidRDefault="00F74D83" w:rsidP="00A712E1">
      <w:pPr>
        <w:spacing w:after="0" w:line="240" w:lineRule="auto"/>
        <w:ind w:firstLine="709"/>
        <w:jc w:val="both"/>
        <w:rPr>
          <w:rFonts w:eastAsia="Times New Roman"/>
          <w:szCs w:val="28"/>
        </w:rPr>
      </w:pPr>
    </w:p>
    <w:p w:rsidR="00A91269" w:rsidRPr="008D1DCB" w:rsidRDefault="00A91269" w:rsidP="00867D80">
      <w:pPr>
        <w:pStyle w:val="20231"/>
      </w:pPr>
      <w:bookmarkStart w:id="90" w:name="_Toc162431937"/>
      <w:bookmarkStart w:id="91" w:name="_Toc193810565"/>
      <w:r w:rsidRPr="008D1DCB">
        <w:t>2.4. Водоснабжение и водоотведение</w:t>
      </w:r>
      <w:bookmarkEnd w:id="90"/>
      <w:bookmarkEnd w:id="91"/>
    </w:p>
    <w:p w:rsidR="00A91269" w:rsidRDefault="00A91269" w:rsidP="00867D80">
      <w:pPr>
        <w:pStyle w:val="4"/>
      </w:pPr>
      <w:bookmarkStart w:id="92" w:name="_Toc193810566"/>
      <w:r>
        <w:t>2.4.1. Тарифное регулирование в сфере водоснабжения и водоотведения</w:t>
      </w:r>
      <w:bookmarkEnd w:id="92"/>
    </w:p>
    <w:p w:rsidR="00A91269" w:rsidRDefault="00A91269" w:rsidP="00A91269">
      <w:pPr>
        <w:spacing w:after="0" w:line="240" w:lineRule="auto"/>
        <w:ind w:firstLine="567"/>
        <w:jc w:val="both"/>
        <w:rPr>
          <w:szCs w:val="28"/>
        </w:rPr>
      </w:pPr>
      <w:r>
        <w:rPr>
          <w:szCs w:val="28"/>
        </w:rPr>
        <w:t>За 2024 год отделом регулирования водоснабжения и водоотведения департамента подготовлено 705 экспертных заключений, на основании которых Правлением департамента приняты решения по установлению соответствующих тарифов.</w:t>
      </w:r>
    </w:p>
    <w:p w:rsidR="00A91269" w:rsidRDefault="00A91269" w:rsidP="00A91269">
      <w:pPr>
        <w:pStyle w:val="ae"/>
        <w:tabs>
          <w:tab w:val="left" w:pos="1134"/>
        </w:tabs>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Для </w:t>
      </w:r>
      <w:r>
        <w:rPr>
          <w:rFonts w:ascii="Times New Roman" w:hAnsi="Times New Roman"/>
          <w:bCs/>
          <w:iCs/>
          <w:sz w:val="28"/>
          <w:szCs w:val="28"/>
        </w:rPr>
        <w:t>организаций, осуществляющих водоснабжение и водоотведение, департаментом утверждены</w:t>
      </w:r>
      <w:r>
        <w:rPr>
          <w:rFonts w:ascii="Times New Roman" w:hAnsi="Times New Roman"/>
          <w:sz w:val="28"/>
          <w:szCs w:val="28"/>
        </w:rPr>
        <w:t xml:space="preserve"> в 2024 году (на 2025 год): </w:t>
      </w:r>
      <w:r>
        <w:rPr>
          <w:rFonts w:ascii="Times New Roman" w:hAnsi="Times New Roman"/>
          <w:bCs/>
          <w:iCs/>
          <w:sz w:val="28"/>
          <w:szCs w:val="28"/>
        </w:rPr>
        <w:t xml:space="preserve">производственные программы в количестве – 181, </w:t>
      </w:r>
      <w:r>
        <w:rPr>
          <w:rFonts w:ascii="Times New Roman" w:hAnsi="Times New Roman"/>
          <w:sz w:val="28"/>
          <w:szCs w:val="28"/>
        </w:rPr>
        <w:t>установлены: 470 тарифов в сфере холодного водоснабжения; 94 тарифа в сфере водоотведения; 88 тарифов в сфере горячего водоснабжения; 29 тарифов на подключение к централизованным системам водоснабжения; 9 тарифов на подключение к централизованным системам водоотведения.</w:t>
      </w:r>
    </w:p>
    <w:p w:rsidR="00A91269" w:rsidRDefault="00A91269" w:rsidP="00A91269">
      <w:pPr>
        <w:pStyle w:val="ae"/>
        <w:tabs>
          <w:tab w:val="left" w:pos="1134"/>
        </w:tabs>
        <w:spacing w:after="0" w:line="240" w:lineRule="auto"/>
        <w:ind w:left="0" w:firstLine="567"/>
        <w:jc w:val="both"/>
        <w:rPr>
          <w:rFonts w:ascii="Times New Roman" w:hAnsi="Times New Roman"/>
          <w:i/>
          <w:sz w:val="28"/>
          <w:szCs w:val="28"/>
        </w:rPr>
      </w:pPr>
      <w:r>
        <w:rPr>
          <w:rFonts w:ascii="Times New Roman" w:hAnsi="Times New Roman"/>
          <w:sz w:val="28"/>
          <w:szCs w:val="28"/>
        </w:rPr>
        <w:t>А также установлено 4 индивидуальные платы за подключение к централизованным системам водоснабжения, 11 индивидуальных плат за подключение к централизованным системам водоотведения, в том числе 8 индивидуальных плат за подключение к централизованным системам водоотведения поверхностных сточных вод.</w:t>
      </w:r>
    </w:p>
    <w:p w:rsidR="00A91269" w:rsidRDefault="00A91269" w:rsidP="00A91269">
      <w:pPr>
        <w:spacing w:after="0" w:line="240" w:lineRule="auto"/>
        <w:ind w:firstLine="567"/>
        <w:jc w:val="both"/>
        <w:rPr>
          <w:szCs w:val="28"/>
        </w:rPr>
      </w:pPr>
      <w:r>
        <w:rPr>
          <w:szCs w:val="28"/>
        </w:rPr>
        <w:t>Тарифы в сфере водоснабжения и водоотведения на второе полугодие 2025 сформированы:</w:t>
      </w:r>
    </w:p>
    <w:p w:rsidR="00A91269" w:rsidRDefault="00A91269" w:rsidP="00A91269">
      <w:pPr>
        <w:spacing w:after="0" w:line="240" w:lineRule="auto"/>
        <w:ind w:firstLine="567"/>
        <w:jc w:val="both"/>
        <w:rPr>
          <w:rFonts w:eastAsia="Calibri"/>
          <w:szCs w:val="28"/>
          <w:lang w:eastAsia="en-US"/>
        </w:rPr>
      </w:pPr>
      <w:r>
        <w:rPr>
          <w:szCs w:val="28"/>
        </w:rPr>
        <w:t>- 550 методом индексации с учетом ИПЦ и ИЦП по</w:t>
      </w:r>
      <w:r>
        <w:rPr>
          <w:rFonts w:eastAsia="Calibri"/>
          <w:lang w:eastAsia="en-US"/>
        </w:rPr>
        <w:t xml:space="preserve"> </w:t>
      </w:r>
      <w:r>
        <w:rPr>
          <w:rFonts w:eastAsia="Calibri"/>
          <w:szCs w:val="28"/>
          <w:lang w:eastAsia="en-US"/>
        </w:rPr>
        <w:t xml:space="preserve">Прогнозу </w:t>
      </w:r>
      <w:r w:rsidR="00867D80">
        <w:rPr>
          <w:rFonts w:eastAsia="Calibri"/>
          <w:szCs w:val="28"/>
          <w:lang w:eastAsia="en-US"/>
        </w:rPr>
        <w:t>СЭР РФ</w:t>
      </w:r>
      <w:r>
        <w:rPr>
          <w:rFonts w:eastAsia="Calibri"/>
          <w:szCs w:val="28"/>
          <w:lang w:eastAsia="en-US"/>
        </w:rPr>
        <w:t>;</w:t>
      </w:r>
    </w:p>
    <w:p w:rsidR="00A91269" w:rsidRDefault="00A91269" w:rsidP="00A91269">
      <w:pPr>
        <w:spacing w:after="0" w:line="240" w:lineRule="auto"/>
        <w:ind w:firstLine="567"/>
        <w:jc w:val="both"/>
        <w:rPr>
          <w:szCs w:val="28"/>
        </w:rPr>
      </w:pPr>
      <w:r>
        <w:rPr>
          <w:szCs w:val="28"/>
        </w:rPr>
        <w:t>- 14 методом сравнения аналогов.</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2835"/>
        <w:gridCol w:w="2126"/>
      </w:tblGrid>
      <w:tr w:rsidR="00A91269" w:rsidTr="00867D80">
        <w:trPr>
          <w:trHeight w:val="237"/>
        </w:trPr>
        <w:tc>
          <w:tcPr>
            <w:tcW w:w="4219"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 xml:space="preserve">Индексы по Прогнозу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на 2024 год, %</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на 2025 год, %</w:t>
            </w:r>
          </w:p>
        </w:tc>
      </w:tr>
      <w:tr w:rsidR="00A91269" w:rsidTr="00867D80">
        <w:trPr>
          <w:trHeight w:val="135"/>
        </w:trPr>
        <w:tc>
          <w:tcPr>
            <w:tcW w:w="4219"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ИПЦ</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108,00</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105,80</w:t>
            </w:r>
          </w:p>
        </w:tc>
      </w:tr>
      <w:tr w:rsidR="00A91269" w:rsidTr="00867D80">
        <w:trPr>
          <w:trHeight w:val="292"/>
        </w:trPr>
        <w:tc>
          <w:tcPr>
            <w:tcW w:w="4219"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Электроэнергия, ИЦП</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105,10</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A91269" w:rsidRDefault="00A91269" w:rsidP="005A5E13">
            <w:pPr>
              <w:pStyle w:val="af7"/>
              <w:spacing w:before="0" w:after="0" w:afterAutospacing="0"/>
              <w:jc w:val="center"/>
              <w:rPr>
                <w:sz w:val="20"/>
                <w:szCs w:val="20"/>
              </w:rPr>
            </w:pPr>
            <w:r>
              <w:rPr>
                <w:sz w:val="20"/>
                <w:szCs w:val="20"/>
              </w:rPr>
              <w:t>109,80</w:t>
            </w:r>
          </w:p>
        </w:tc>
      </w:tr>
    </w:tbl>
    <w:p w:rsidR="00A91269" w:rsidRDefault="00A91269" w:rsidP="00A91269">
      <w:pPr>
        <w:spacing w:after="0" w:line="240" w:lineRule="auto"/>
        <w:ind w:firstLine="567"/>
        <w:jc w:val="both"/>
        <w:rPr>
          <w:szCs w:val="28"/>
          <w:highlight w:val="yellow"/>
        </w:rPr>
      </w:pPr>
      <w:r>
        <w:rPr>
          <w:szCs w:val="28"/>
        </w:rPr>
        <w:t>Индекс изменения размера вносимой гражданами платы за коммунальные услуги установлен в размере 11,9%, в соответствии с постановлением Правительства Российской Федерации от 15.11.2024 № 3287-р.</w:t>
      </w:r>
    </w:p>
    <w:p w:rsidR="00A91269" w:rsidRDefault="00A91269" w:rsidP="00A91269">
      <w:pPr>
        <w:pStyle w:val="ae"/>
        <w:tabs>
          <w:tab w:val="left" w:pos="1134"/>
        </w:tabs>
        <w:spacing w:after="0" w:line="240" w:lineRule="auto"/>
        <w:ind w:left="0" w:firstLine="567"/>
        <w:jc w:val="both"/>
        <w:rPr>
          <w:rFonts w:ascii="Times New Roman" w:hAnsi="Times New Roman"/>
          <w:sz w:val="28"/>
          <w:szCs w:val="28"/>
        </w:rPr>
      </w:pPr>
      <w:r>
        <w:rPr>
          <w:rFonts w:ascii="Times New Roman" w:hAnsi="Times New Roman"/>
          <w:sz w:val="28"/>
          <w:szCs w:val="28"/>
        </w:rPr>
        <w:t>При этом тарифы были установлены:</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2977"/>
        <w:gridCol w:w="3260"/>
      </w:tblGrid>
      <w:tr w:rsidR="00A91269" w:rsidTr="00867D80">
        <w:tc>
          <w:tcPr>
            <w:tcW w:w="2977" w:type="dxa"/>
          </w:tcPr>
          <w:p w:rsidR="00A91269" w:rsidRDefault="00A91269" w:rsidP="005A5E13">
            <w:pPr>
              <w:pStyle w:val="af7"/>
              <w:spacing w:before="0" w:after="0" w:afterAutospacing="0"/>
              <w:jc w:val="center"/>
              <w:rPr>
                <w:sz w:val="20"/>
                <w:szCs w:val="20"/>
                <w:highlight w:val="yellow"/>
              </w:rPr>
            </w:pPr>
            <w:r>
              <w:rPr>
                <w:sz w:val="20"/>
                <w:szCs w:val="20"/>
              </w:rPr>
              <w:t>Холодное водоснабжение</w:t>
            </w:r>
          </w:p>
        </w:tc>
        <w:tc>
          <w:tcPr>
            <w:tcW w:w="2977" w:type="dxa"/>
          </w:tcPr>
          <w:p w:rsidR="00A91269" w:rsidRDefault="00A91269" w:rsidP="005A5E13">
            <w:pPr>
              <w:pStyle w:val="af7"/>
              <w:spacing w:before="0" w:after="0" w:afterAutospacing="0"/>
              <w:jc w:val="center"/>
              <w:rPr>
                <w:sz w:val="20"/>
                <w:szCs w:val="20"/>
                <w:highlight w:val="yellow"/>
              </w:rPr>
            </w:pPr>
            <w:r>
              <w:rPr>
                <w:sz w:val="20"/>
                <w:szCs w:val="20"/>
              </w:rPr>
              <w:t>Водоотведение</w:t>
            </w:r>
          </w:p>
        </w:tc>
        <w:tc>
          <w:tcPr>
            <w:tcW w:w="3260" w:type="dxa"/>
          </w:tcPr>
          <w:p w:rsidR="00A91269" w:rsidRDefault="00A91269" w:rsidP="005A5E13">
            <w:pPr>
              <w:pStyle w:val="af7"/>
              <w:spacing w:before="0" w:after="0" w:afterAutospacing="0"/>
              <w:jc w:val="center"/>
              <w:rPr>
                <w:sz w:val="20"/>
                <w:szCs w:val="20"/>
              </w:rPr>
            </w:pPr>
            <w:r>
              <w:rPr>
                <w:sz w:val="20"/>
                <w:szCs w:val="20"/>
              </w:rPr>
              <w:t>Горячее водоснабжение</w:t>
            </w:r>
          </w:p>
        </w:tc>
      </w:tr>
      <w:tr w:rsidR="00A91269" w:rsidTr="00867D80">
        <w:trPr>
          <w:trHeight w:val="302"/>
        </w:trPr>
        <w:tc>
          <w:tcPr>
            <w:tcW w:w="2977" w:type="dxa"/>
          </w:tcPr>
          <w:p w:rsidR="00A91269" w:rsidRDefault="00A91269" w:rsidP="005A5E13">
            <w:pPr>
              <w:pStyle w:val="af7"/>
              <w:spacing w:before="0" w:after="0" w:afterAutospacing="0"/>
              <w:jc w:val="both"/>
              <w:rPr>
                <w:sz w:val="20"/>
                <w:szCs w:val="20"/>
                <w:highlight w:val="yellow"/>
              </w:rPr>
            </w:pPr>
            <w:r>
              <w:rPr>
                <w:sz w:val="20"/>
                <w:szCs w:val="20"/>
              </w:rPr>
              <w:t>Всего тарифов – 470, в т. ч.:</w:t>
            </w:r>
          </w:p>
        </w:tc>
        <w:tc>
          <w:tcPr>
            <w:tcW w:w="2977" w:type="dxa"/>
          </w:tcPr>
          <w:p w:rsidR="00A91269" w:rsidRDefault="00A91269" w:rsidP="005A5E13">
            <w:pPr>
              <w:pStyle w:val="af7"/>
              <w:spacing w:before="0" w:after="0" w:afterAutospacing="0"/>
              <w:jc w:val="both"/>
              <w:rPr>
                <w:sz w:val="20"/>
                <w:szCs w:val="20"/>
                <w:highlight w:val="yellow"/>
              </w:rPr>
            </w:pPr>
            <w:r>
              <w:rPr>
                <w:sz w:val="20"/>
                <w:szCs w:val="20"/>
              </w:rPr>
              <w:t>Всего тарифов – 94, в т. ч.:</w:t>
            </w:r>
          </w:p>
        </w:tc>
        <w:tc>
          <w:tcPr>
            <w:tcW w:w="3260" w:type="dxa"/>
          </w:tcPr>
          <w:p w:rsidR="00A91269" w:rsidRDefault="00A91269" w:rsidP="005A5E13">
            <w:pPr>
              <w:pStyle w:val="af7"/>
              <w:spacing w:before="0" w:after="0" w:afterAutospacing="0"/>
              <w:jc w:val="both"/>
              <w:rPr>
                <w:sz w:val="20"/>
                <w:szCs w:val="20"/>
              </w:rPr>
            </w:pPr>
            <w:r>
              <w:rPr>
                <w:sz w:val="20"/>
                <w:szCs w:val="20"/>
              </w:rPr>
              <w:t>Всего тарифов – 88, в т. ч.:</w:t>
            </w:r>
          </w:p>
        </w:tc>
      </w:tr>
      <w:tr w:rsidR="00A91269" w:rsidTr="00867D80">
        <w:trPr>
          <w:trHeight w:val="263"/>
        </w:trPr>
        <w:tc>
          <w:tcPr>
            <w:tcW w:w="2977" w:type="dxa"/>
          </w:tcPr>
          <w:p w:rsidR="00A91269" w:rsidRDefault="00A91269" w:rsidP="005A5E13">
            <w:pPr>
              <w:pStyle w:val="af7"/>
              <w:spacing w:before="0" w:after="0" w:afterAutospacing="0"/>
              <w:jc w:val="both"/>
              <w:rPr>
                <w:sz w:val="20"/>
                <w:szCs w:val="20"/>
                <w:highlight w:val="yellow"/>
              </w:rPr>
            </w:pPr>
            <w:r>
              <w:rPr>
                <w:sz w:val="20"/>
                <w:szCs w:val="20"/>
              </w:rPr>
              <w:t>со снижением – 10 тарифов</w:t>
            </w:r>
          </w:p>
        </w:tc>
        <w:tc>
          <w:tcPr>
            <w:tcW w:w="2977" w:type="dxa"/>
          </w:tcPr>
          <w:p w:rsidR="00A91269" w:rsidRDefault="00A91269" w:rsidP="005A5E13">
            <w:pPr>
              <w:pStyle w:val="af7"/>
              <w:spacing w:before="0" w:after="0" w:afterAutospacing="0"/>
              <w:jc w:val="both"/>
              <w:rPr>
                <w:sz w:val="20"/>
                <w:szCs w:val="20"/>
              </w:rPr>
            </w:pPr>
            <w:r>
              <w:rPr>
                <w:sz w:val="20"/>
                <w:szCs w:val="20"/>
              </w:rPr>
              <w:t>со снижением – 11 тарифов</w:t>
            </w:r>
          </w:p>
        </w:tc>
        <w:tc>
          <w:tcPr>
            <w:tcW w:w="3260" w:type="dxa"/>
          </w:tcPr>
          <w:p w:rsidR="00A91269" w:rsidRDefault="00A91269" w:rsidP="005A5E13">
            <w:pPr>
              <w:pStyle w:val="af7"/>
              <w:spacing w:before="0" w:after="0" w:afterAutospacing="0"/>
              <w:jc w:val="both"/>
              <w:rPr>
                <w:sz w:val="20"/>
                <w:szCs w:val="20"/>
              </w:rPr>
            </w:pPr>
            <w:r>
              <w:rPr>
                <w:sz w:val="20"/>
                <w:szCs w:val="20"/>
              </w:rPr>
              <w:t>со снижением – 0 тарифов</w:t>
            </w:r>
          </w:p>
        </w:tc>
      </w:tr>
      <w:tr w:rsidR="00A91269" w:rsidTr="00867D80">
        <w:tc>
          <w:tcPr>
            <w:tcW w:w="2977" w:type="dxa"/>
          </w:tcPr>
          <w:p w:rsidR="00A91269" w:rsidRDefault="00A91269" w:rsidP="005A5E13">
            <w:pPr>
              <w:pStyle w:val="af7"/>
              <w:spacing w:before="0" w:after="0" w:afterAutospacing="0"/>
              <w:jc w:val="both"/>
              <w:rPr>
                <w:sz w:val="20"/>
                <w:szCs w:val="20"/>
              </w:rPr>
            </w:pPr>
            <w:r>
              <w:rPr>
                <w:sz w:val="20"/>
                <w:szCs w:val="20"/>
              </w:rPr>
              <w:lastRenderedPageBreak/>
              <w:t>на прежнем уровне –5 тарифов</w:t>
            </w:r>
          </w:p>
        </w:tc>
        <w:tc>
          <w:tcPr>
            <w:tcW w:w="2977" w:type="dxa"/>
          </w:tcPr>
          <w:p w:rsidR="00A91269" w:rsidRDefault="00A91269" w:rsidP="005A5E13">
            <w:pPr>
              <w:pStyle w:val="af7"/>
              <w:spacing w:before="0" w:after="0" w:afterAutospacing="0"/>
              <w:jc w:val="both"/>
              <w:rPr>
                <w:sz w:val="20"/>
                <w:szCs w:val="20"/>
              </w:rPr>
            </w:pPr>
            <w:r>
              <w:rPr>
                <w:sz w:val="20"/>
                <w:szCs w:val="20"/>
              </w:rPr>
              <w:t>на прежнем уровне - 2 тарифа</w:t>
            </w:r>
          </w:p>
        </w:tc>
        <w:tc>
          <w:tcPr>
            <w:tcW w:w="3260" w:type="dxa"/>
          </w:tcPr>
          <w:p w:rsidR="00A91269" w:rsidRDefault="00A91269" w:rsidP="005A5E13">
            <w:pPr>
              <w:pStyle w:val="af7"/>
              <w:spacing w:before="0" w:after="0" w:afterAutospacing="0"/>
              <w:jc w:val="both"/>
              <w:rPr>
                <w:sz w:val="20"/>
                <w:szCs w:val="20"/>
              </w:rPr>
            </w:pPr>
            <w:r>
              <w:rPr>
                <w:sz w:val="20"/>
                <w:szCs w:val="20"/>
              </w:rPr>
              <w:t>на прежнем уровне – 0 тарифов</w:t>
            </w:r>
          </w:p>
        </w:tc>
      </w:tr>
      <w:tr w:rsidR="00A91269" w:rsidTr="00867D80">
        <w:tc>
          <w:tcPr>
            <w:tcW w:w="2977" w:type="dxa"/>
          </w:tcPr>
          <w:p w:rsidR="00A91269" w:rsidRDefault="00A91269" w:rsidP="005A5E13">
            <w:pPr>
              <w:pStyle w:val="af7"/>
              <w:spacing w:before="0" w:after="0" w:afterAutospacing="0"/>
              <w:jc w:val="both"/>
              <w:rPr>
                <w:sz w:val="20"/>
                <w:szCs w:val="20"/>
              </w:rPr>
            </w:pPr>
            <w:r>
              <w:rPr>
                <w:sz w:val="20"/>
                <w:szCs w:val="20"/>
              </w:rPr>
              <w:t>с ростом – 455 тарифов</w:t>
            </w:r>
          </w:p>
        </w:tc>
        <w:tc>
          <w:tcPr>
            <w:tcW w:w="2977" w:type="dxa"/>
          </w:tcPr>
          <w:p w:rsidR="00A91269" w:rsidRDefault="00A91269" w:rsidP="005A5E13">
            <w:pPr>
              <w:pStyle w:val="af7"/>
              <w:spacing w:before="0" w:after="0" w:afterAutospacing="0"/>
              <w:jc w:val="both"/>
              <w:rPr>
                <w:sz w:val="20"/>
                <w:szCs w:val="20"/>
              </w:rPr>
            </w:pPr>
            <w:r>
              <w:rPr>
                <w:sz w:val="20"/>
                <w:szCs w:val="20"/>
              </w:rPr>
              <w:t>с ростом – 81 тарифов</w:t>
            </w:r>
          </w:p>
        </w:tc>
        <w:tc>
          <w:tcPr>
            <w:tcW w:w="3260" w:type="dxa"/>
          </w:tcPr>
          <w:p w:rsidR="00A91269" w:rsidRDefault="00A91269" w:rsidP="005A5E13">
            <w:pPr>
              <w:pStyle w:val="af7"/>
              <w:spacing w:before="0" w:after="0" w:afterAutospacing="0"/>
              <w:jc w:val="both"/>
              <w:rPr>
                <w:sz w:val="20"/>
                <w:szCs w:val="20"/>
              </w:rPr>
            </w:pPr>
            <w:r>
              <w:rPr>
                <w:sz w:val="20"/>
                <w:szCs w:val="20"/>
              </w:rPr>
              <w:t>с ростом – 88 тарифов</w:t>
            </w:r>
          </w:p>
        </w:tc>
      </w:tr>
    </w:tbl>
    <w:p w:rsidR="00A91269" w:rsidRDefault="00A91269" w:rsidP="00A91269">
      <w:pPr>
        <w:spacing w:after="0" w:line="240" w:lineRule="auto"/>
        <w:ind w:firstLine="567"/>
        <w:jc w:val="both"/>
        <w:rPr>
          <w:szCs w:val="28"/>
        </w:rPr>
      </w:pPr>
      <w:r>
        <w:rPr>
          <w:szCs w:val="28"/>
        </w:rPr>
        <w:t>Темп роста тарифов, установленных организациям в сфере водоснабжения и водоотведения с 01.07.2025, в среднем по Новосибирской области составил:</w:t>
      </w:r>
    </w:p>
    <w:p w:rsidR="00A91269" w:rsidRDefault="00A91269" w:rsidP="00A91269">
      <w:pPr>
        <w:spacing w:after="0" w:line="240" w:lineRule="auto"/>
        <w:ind w:firstLine="567"/>
        <w:jc w:val="both"/>
        <w:rPr>
          <w:szCs w:val="28"/>
        </w:rPr>
      </w:pPr>
      <w:r>
        <w:rPr>
          <w:szCs w:val="28"/>
        </w:rPr>
        <w:t>- холодное водоснабжение 111,97%;</w:t>
      </w:r>
    </w:p>
    <w:p w:rsidR="00A91269" w:rsidRDefault="00A91269" w:rsidP="00A91269">
      <w:pPr>
        <w:spacing w:after="0" w:line="240" w:lineRule="auto"/>
        <w:ind w:firstLine="567"/>
        <w:jc w:val="both"/>
        <w:rPr>
          <w:szCs w:val="28"/>
        </w:rPr>
      </w:pPr>
      <w:r>
        <w:rPr>
          <w:szCs w:val="28"/>
        </w:rPr>
        <w:t>- горячее водоснабжение 112,90%;</w:t>
      </w:r>
    </w:p>
    <w:p w:rsidR="00A91269" w:rsidRDefault="00A91269" w:rsidP="00A91269">
      <w:pPr>
        <w:spacing w:after="0" w:line="240" w:lineRule="auto"/>
        <w:ind w:firstLine="567"/>
        <w:jc w:val="both"/>
        <w:rPr>
          <w:szCs w:val="28"/>
        </w:rPr>
      </w:pPr>
      <w:r>
        <w:rPr>
          <w:szCs w:val="28"/>
        </w:rPr>
        <w:t>- водоотведение 111,84 %.</w:t>
      </w:r>
    </w:p>
    <w:p w:rsidR="00A91269" w:rsidRDefault="00A91269" w:rsidP="00A91269">
      <w:pPr>
        <w:pStyle w:val="af7"/>
        <w:spacing w:before="0" w:beforeAutospacing="0" w:after="0" w:afterAutospacing="0"/>
        <w:ind w:firstLine="567"/>
        <w:jc w:val="both"/>
        <w:outlineLvl w:val="0"/>
        <w:rPr>
          <w:sz w:val="28"/>
          <w:szCs w:val="28"/>
        </w:rPr>
      </w:pPr>
      <w:r>
        <w:rPr>
          <w:sz w:val="28"/>
          <w:szCs w:val="28"/>
        </w:rPr>
        <w:t>Для МУП г. Новосибирска «ГОРВОДОКАНАЛ» (город Новосибирск, город Обь, рабочий поселок Кольцово, рабочий поселок Краснообск, Верх-Тулинский, Каменский, Кудряшовский, Мичуринский, Морской, Мочищенский, Новолуговской и Станционный сельсоветы, село Раздольное Раздольненского сельсовета Новосибирского района Новосибирской области</w:t>
      </w:r>
      <w:r>
        <w:t>)</w:t>
      </w:r>
      <w:r>
        <w:rPr>
          <w:sz w:val="20"/>
          <w:szCs w:val="20"/>
        </w:rPr>
        <w:t xml:space="preserve"> </w:t>
      </w:r>
      <w:r>
        <w:rPr>
          <w:sz w:val="28"/>
          <w:szCs w:val="28"/>
        </w:rPr>
        <w:t>установлены следующие тарифы (с НДС):</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1275"/>
        <w:gridCol w:w="1560"/>
        <w:gridCol w:w="1701"/>
        <w:gridCol w:w="1559"/>
      </w:tblGrid>
      <w:tr w:rsidR="00A91269" w:rsidTr="00867D80">
        <w:trPr>
          <w:trHeight w:val="179"/>
        </w:trPr>
        <w:tc>
          <w:tcPr>
            <w:tcW w:w="3261" w:type="dxa"/>
            <w:vAlign w:val="center"/>
          </w:tcPr>
          <w:p w:rsidR="00A91269" w:rsidRDefault="00A91269" w:rsidP="005A5E13">
            <w:pPr>
              <w:pStyle w:val="af7"/>
              <w:spacing w:before="0" w:after="0" w:afterAutospacing="0"/>
              <w:jc w:val="center"/>
              <w:rPr>
                <w:sz w:val="20"/>
                <w:szCs w:val="20"/>
              </w:rPr>
            </w:pPr>
            <w:r>
              <w:rPr>
                <w:sz w:val="20"/>
                <w:szCs w:val="20"/>
              </w:rPr>
              <w:t>Наименование тарифа</w:t>
            </w:r>
          </w:p>
        </w:tc>
        <w:tc>
          <w:tcPr>
            <w:tcW w:w="1275" w:type="dxa"/>
            <w:vAlign w:val="center"/>
          </w:tcPr>
          <w:p w:rsidR="00A91269" w:rsidRDefault="00A91269" w:rsidP="005A5E13">
            <w:pPr>
              <w:pStyle w:val="af7"/>
              <w:spacing w:before="0" w:after="0" w:afterAutospacing="0"/>
              <w:jc w:val="center"/>
              <w:rPr>
                <w:sz w:val="20"/>
                <w:szCs w:val="20"/>
              </w:rPr>
            </w:pPr>
            <w:r>
              <w:rPr>
                <w:sz w:val="20"/>
                <w:szCs w:val="20"/>
              </w:rPr>
              <w:t>Ед. изм.</w:t>
            </w:r>
          </w:p>
        </w:tc>
        <w:tc>
          <w:tcPr>
            <w:tcW w:w="1560" w:type="dxa"/>
            <w:vAlign w:val="center"/>
          </w:tcPr>
          <w:p w:rsidR="00A91269" w:rsidRDefault="00A91269" w:rsidP="005A5E13">
            <w:pPr>
              <w:pStyle w:val="af7"/>
              <w:spacing w:before="0" w:after="0" w:afterAutospacing="0"/>
              <w:jc w:val="center"/>
              <w:rPr>
                <w:sz w:val="20"/>
                <w:szCs w:val="20"/>
              </w:rPr>
            </w:pPr>
            <w:r>
              <w:rPr>
                <w:sz w:val="20"/>
                <w:szCs w:val="20"/>
              </w:rPr>
              <w:t>с 01.01.2025</w:t>
            </w:r>
          </w:p>
        </w:tc>
        <w:tc>
          <w:tcPr>
            <w:tcW w:w="1701" w:type="dxa"/>
            <w:vAlign w:val="center"/>
          </w:tcPr>
          <w:p w:rsidR="00A91269" w:rsidRDefault="00A91269" w:rsidP="005A5E13">
            <w:pPr>
              <w:pStyle w:val="af7"/>
              <w:spacing w:before="0" w:after="0" w:afterAutospacing="0"/>
              <w:jc w:val="center"/>
              <w:rPr>
                <w:sz w:val="20"/>
                <w:szCs w:val="20"/>
              </w:rPr>
            </w:pPr>
            <w:r>
              <w:rPr>
                <w:sz w:val="20"/>
                <w:szCs w:val="20"/>
              </w:rPr>
              <w:t>с 01.07.2025</w:t>
            </w:r>
          </w:p>
        </w:tc>
        <w:tc>
          <w:tcPr>
            <w:tcW w:w="1559" w:type="dxa"/>
            <w:vAlign w:val="center"/>
          </w:tcPr>
          <w:p w:rsidR="00A91269" w:rsidRDefault="00A91269" w:rsidP="005A5E13">
            <w:pPr>
              <w:pStyle w:val="af7"/>
              <w:spacing w:before="0" w:after="0" w:afterAutospacing="0"/>
              <w:jc w:val="center"/>
              <w:rPr>
                <w:sz w:val="20"/>
                <w:szCs w:val="20"/>
              </w:rPr>
            </w:pPr>
            <w:r>
              <w:rPr>
                <w:sz w:val="20"/>
                <w:szCs w:val="20"/>
              </w:rPr>
              <w:t>откл., %</w:t>
            </w:r>
          </w:p>
        </w:tc>
      </w:tr>
      <w:tr w:rsidR="00A91269" w:rsidTr="00867D80">
        <w:trPr>
          <w:trHeight w:val="431"/>
        </w:trPr>
        <w:tc>
          <w:tcPr>
            <w:tcW w:w="3261" w:type="dxa"/>
            <w:vAlign w:val="center"/>
          </w:tcPr>
          <w:p w:rsidR="00A91269" w:rsidRDefault="00A91269" w:rsidP="005A5E13">
            <w:pPr>
              <w:pStyle w:val="af7"/>
              <w:spacing w:before="0" w:after="0" w:afterAutospacing="0"/>
              <w:jc w:val="center"/>
              <w:rPr>
                <w:sz w:val="20"/>
                <w:szCs w:val="20"/>
              </w:rPr>
            </w:pPr>
            <w:r>
              <w:rPr>
                <w:sz w:val="20"/>
                <w:szCs w:val="20"/>
              </w:rPr>
              <w:t>Тариф на питьевую воду          (питьевое водоснабжение)</w:t>
            </w:r>
          </w:p>
        </w:tc>
        <w:tc>
          <w:tcPr>
            <w:tcW w:w="1275" w:type="dxa"/>
            <w:vAlign w:val="center"/>
          </w:tcPr>
          <w:p w:rsidR="00A91269" w:rsidRDefault="00A91269" w:rsidP="005A5E13">
            <w:pPr>
              <w:pStyle w:val="af7"/>
              <w:spacing w:before="0" w:after="0" w:afterAutospacing="0"/>
              <w:jc w:val="center"/>
              <w:rPr>
                <w:sz w:val="20"/>
                <w:szCs w:val="20"/>
              </w:rPr>
            </w:pPr>
            <w:r>
              <w:rPr>
                <w:sz w:val="20"/>
                <w:szCs w:val="20"/>
              </w:rPr>
              <w:t>руб./м3</w:t>
            </w:r>
          </w:p>
        </w:tc>
        <w:tc>
          <w:tcPr>
            <w:tcW w:w="1560" w:type="dxa"/>
            <w:vAlign w:val="center"/>
          </w:tcPr>
          <w:p w:rsidR="00A91269" w:rsidRDefault="00A91269" w:rsidP="005A5E13">
            <w:pPr>
              <w:pStyle w:val="af7"/>
              <w:spacing w:before="0" w:after="0" w:afterAutospacing="0"/>
              <w:jc w:val="center"/>
              <w:rPr>
                <w:sz w:val="20"/>
                <w:szCs w:val="20"/>
              </w:rPr>
            </w:pPr>
            <w:r>
              <w:rPr>
                <w:sz w:val="20"/>
                <w:szCs w:val="20"/>
              </w:rPr>
              <w:t>26,22</w:t>
            </w:r>
          </w:p>
        </w:tc>
        <w:tc>
          <w:tcPr>
            <w:tcW w:w="1701" w:type="dxa"/>
            <w:vAlign w:val="center"/>
          </w:tcPr>
          <w:p w:rsidR="00A91269" w:rsidRDefault="00A91269" w:rsidP="005A5E13">
            <w:pPr>
              <w:pStyle w:val="af7"/>
              <w:spacing w:before="0" w:after="0" w:afterAutospacing="0"/>
              <w:jc w:val="center"/>
              <w:rPr>
                <w:sz w:val="20"/>
                <w:szCs w:val="20"/>
              </w:rPr>
            </w:pPr>
            <w:r>
              <w:rPr>
                <w:sz w:val="20"/>
                <w:szCs w:val="20"/>
              </w:rPr>
              <w:t>29,34</w:t>
            </w:r>
          </w:p>
        </w:tc>
        <w:tc>
          <w:tcPr>
            <w:tcW w:w="1559" w:type="dxa"/>
            <w:vAlign w:val="center"/>
          </w:tcPr>
          <w:p w:rsidR="00A91269" w:rsidRDefault="00A91269" w:rsidP="005A5E13">
            <w:pPr>
              <w:pStyle w:val="af7"/>
              <w:spacing w:before="0" w:after="0" w:afterAutospacing="0"/>
              <w:jc w:val="center"/>
              <w:rPr>
                <w:sz w:val="20"/>
                <w:szCs w:val="20"/>
              </w:rPr>
            </w:pPr>
            <w:r>
              <w:rPr>
                <w:sz w:val="20"/>
                <w:szCs w:val="20"/>
              </w:rPr>
              <w:t>111,90</w:t>
            </w:r>
          </w:p>
        </w:tc>
      </w:tr>
      <w:tr w:rsidR="00A91269" w:rsidTr="00867D80">
        <w:trPr>
          <w:trHeight w:val="256"/>
        </w:trPr>
        <w:tc>
          <w:tcPr>
            <w:tcW w:w="3261" w:type="dxa"/>
            <w:vAlign w:val="center"/>
          </w:tcPr>
          <w:p w:rsidR="00A91269" w:rsidRDefault="00A91269" w:rsidP="005A5E13">
            <w:pPr>
              <w:pStyle w:val="af7"/>
              <w:spacing w:before="0" w:after="0" w:afterAutospacing="0"/>
              <w:jc w:val="center"/>
              <w:rPr>
                <w:sz w:val="20"/>
                <w:szCs w:val="20"/>
              </w:rPr>
            </w:pPr>
            <w:r>
              <w:rPr>
                <w:sz w:val="20"/>
                <w:szCs w:val="20"/>
              </w:rPr>
              <w:t>Тариф на водоотведение</w:t>
            </w:r>
          </w:p>
        </w:tc>
        <w:tc>
          <w:tcPr>
            <w:tcW w:w="1275" w:type="dxa"/>
            <w:vAlign w:val="center"/>
          </w:tcPr>
          <w:p w:rsidR="00A91269" w:rsidRDefault="00A91269" w:rsidP="005A5E13">
            <w:pPr>
              <w:pStyle w:val="af7"/>
              <w:spacing w:before="0" w:after="0" w:afterAutospacing="0"/>
              <w:jc w:val="center"/>
              <w:rPr>
                <w:sz w:val="20"/>
                <w:szCs w:val="20"/>
              </w:rPr>
            </w:pPr>
            <w:r>
              <w:rPr>
                <w:sz w:val="20"/>
                <w:szCs w:val="20"/>
              </w:rPr>
              <w:t>руб./м3</w:t>
            </w:r>
          </w:p>
        </w:tc>
        <w:tc>
          <w:tcPr>
            <w:tcW w:w="1560" w:type="dxa"/>
            <w:vAlign w:val="center"/>
          </w:tcPr>
          <w:p w:rsidR="00A91269" w:rsidRDefault="00A91269" w:rsidP="005A5E13">
            <w:pPr>
              <w:pStyle w:val="af7"/>
              <w:spacing w:before="0" w:after="0" w:afterAutospacing="0"/>
              <w:jc w:val="center"/>
              <w:rPr>
                <w:sz w:val="20"/>
                <w:szCs w:val="20"/>
              </w:rPr>
            </w:pPr>
            <w:r>
              <w:rPr>
                <w:sz w:val="20"/>
                <w:szCs w:val="20"/>
              </w:rPr>
              <w:t>21,23</w:t>
            </w:r>
          </w:p>
        </w:tc>
        <w:tc>
          <w:tcPr>
            <w:tcW w:w="1701" w:type="dxa"/>
            <w:vAlign w:val="center"/>
          </w:tcPr>
          <w:p w:rsidR="00A91269" w:rsidRDefault="00A91269" w:rsidP="005A5E13">
            <w:pPr>
              <w:pStyle w:val="af7"/>
              <w:spacing w:before="0" w:after="0" w:afterAutospacing="0"/>
              <w:jc w:val="center"/>
              <w:rPr>
                <w:sz w:val="20"/>
                <w:szCs w:val="20"/>
              </w:rPr>
            </w:pPr>
            <w:r>
              <w:rPr>
                <w:sz w:val="20"/>
                <w:szCs w:val="20"/>
              </w:rPr>
              <w:t>23,75</w:t>
            </w:r>
          </w:p>
        </w:tc>
        <w:tc>
          <w:tcPr>
            <w:tcW w:w="1559" w:type="dxa"/>
            <w:vAlign w:val="center"/>
          </w:tcPr>
          <w:p w:rsidR="00A91269" w:rsidRDefault="00A91269" w:rsidP="005A5E13">
            <w:pPr>
              <w:pStyle w:val="af7"/>
              <w:spacing w:before="0" w:after="0" w:afterAutospacing="0"/>
              <w:jc w:val="center"/>
              <w:rPr>
                <w:sz w:val="20"/>
                <w:szCs w:val="20"/>
              </w:rPr>
            </w:pPr>
            <w:r>
              <w:rPr>
                <w:sz w:val="20"/>
                <w:szCs w:val="20"/>
              </w:rPr>
              <w:t>111,87</w:t>
            </w:r>
          </w:p>
        </w:tc>
      </w:tr>
    </w:tbl>
    <w:p w:rsidR="00A91269" w:rsidRDefault="00A91269" w:rsidP="00867D80">
      <w:pPr>
        <w:pStyle w:val="4"/>
      </w:pPr>
      <w:bookmarkStart w:id="93" w:name="_Toc193810567"/>
      <w:r>
        <w:t>2.4.1.1 Формирование тарифов МУП г. Новосибирска «ГОРВОДОКАНАЛ»</w:t>
      </w:r>
      <w:bookmarkEnd w:id="93"/>
    </w:p>
    <w:p w:rsidR="00A91269" w:rsidRDefault="00A91269" w:rsidP="00A91269">
      <w:pPr>
        <w:pStyle w:val="af7"/>
        <w:spacing w:before="0" w:beforeAutospacing="0" w:after="0" w:afterAutospacing="0"/>
        <w:ind w:firstLine="567"/>
        <w:jc w:val="both"/>
        <w:outlineLvl w:val="0"/>
        <w:rPr>
          <w:rFonts w:eastAsia="Calibri"/>
          <w:sz w:val="28"/>
          <w:szCs w:val="28"/>
          <w:lang w:eastAsia="en-US"/>
        </w:rPr>
      </w:pPr>
      <w:r>
        <w:rPr>
          <w:rFonts w:eastAsia="Calibri"/>
          <w:sz w:val="28"/>
          <w:szCs w:val="28"/>
          <w:lang w:eastAsia="en-US"/>
        </w:rPr>
        <w:t xml:space="preserve">Баланс водоснабжения </w:t>
      </w:r>
      <w:r>
        <w:rPr>
          <w:sz w:val="28"/>
          <w:szCs w:val="28"/>
        </w:rPr>
        <w:t>МУП г. Новосибирска «ГОРВОДОКАНАЛ» з</w:t>
      </w:r>
      <w:r>
        <w:rPr>
          <w:rFonts w:eastAsia="Calibri"/>
          <w:sz w:val="28"/>
          <w:szCs w:val="28"/>
          <w:lang w:eastAsia="en-US"/>
        </w:rPr>
        <w:t>а период с 2020 по 2025 годы представлен в таблице.</w:t>
      </w:r>
    </w:p>
    <w:tbl>
      <w:tblPr>
        <w:tblW w:w="9312" w:type="dxa"/>
        <w:tblInd w:w="108" w:type="dxa"/>
        <w:tblLayout w:type="fixed"/>
        <w:tblLook w:val="04A0" w:firstRow="1" w:lastRow="0" w:firstColumn="1" w:lastColumn="0" w:noHBand="0" w:noVBand="1"/>
      </w:tblPr>
      <w:tblGrid>
        <w:gridCol w:w="666"/>
        <w:gridCol w:w="1596"/>
        <w:gridCol w:w="798"/>
        <w:gridCol w:w="1064"/>
        <w:gridCol w:w="1065"/>
        <w:gridCol w:w="1064"/>
        <w:gridCol w:w="931"/>
        <w:gridCol w:w="1064"/>
        <w:gridCol w:w="1064"/>
      </w:tblGrid>
      <w:tr w:rsidR="00A91269" w:rsidTr="00867D80">
        <w:trPr>
          <w:trHeight w:val="327"/>
        </w:trPr>
        <w:tc>
          <w:tcPr>
            <w:tcW w:w="666"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 п/п</w:t>
            </w:r>
          </w:p>
        </w:tc>
        <w:tc>
          <w:tcPr>
            <w:tcW w:w="159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Наименование</w:t>
            </w:r>
          </w:p>
        </w:tc>
        <w:tc>
          <w:tcPr>
            <w:tcW w:w="79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Ед.</w:t>
            </w:r>
            <w:r>
              <w:rPr>
                <w:sz w:val="16"/>
                <w:szCs w:val="16"/>
              </w:rPr>
              <w:br/>
              <w:t>изм.</w:t>
            </w:r>
          </w:p>
        </w:tc>
        <w:tc>
          <w:tcPr>
            <w:tcW w:w="1064" w:type="dxa"/>
            <w:tcBorders>
              <w:top w:val="single" w:sz="4" w:space="0" w:color="auto"/>
              <w:left w:val="none" w:sz="4" w:space="0" w:color="000000"/>
              <w:bottom w:val="single" w:sz="4" w:space="0" w:color="auto"/>
              <w:right w:val="none" w:sz="4" w:space="0" w:color="000000"/>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2020</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2021</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2022</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2023</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2024</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2025</w:t>
            </w:r>
          </w:p>
        </w:tc>
      </w:tr>
      <w:tr w:rsidR="00A91269" w:rsidTr="00867D80">
        <w:trPr>
          <w:trHeight w:val="248"/>
        </w:trPr>
        <w:tc>
          <w:tcPr>
            <w:tcW w:w="666" w:type="dxa"/>
            <w:vMerge/>
            <w:tcBorders>
              <w:top w:val="single" w:sz="4" w:space="0" w:color="auto"/>
              <w:left w:val="single" w:sz="4" w:space="0" w:color="auto"/>
              <w:bottom w:val="single" w:sz="4" w:space="0" w:color="000000"/>
              <w:right w:val="single" w:sz="4" w:space="0" w:color="auto"/>
            </w:tcBorders>
            <w:vAlign w:val="center"/>
          </w:tcPr>
          <w:p w:rsidR="00A91269" w:rsidRDefault="00A91269" w:rsidP="005A5E13">
            <w:pPr>
              <w:pStyle w:val="af7"/>
              <w:spacing w:before="0" w:after="0" w:afterAutospacing="0"/>
              <w:jc w:val="center"/>
              <w:rPr>
                <w:sz w:val="16"/>
                <w:szCs w:val="16"/>
              </w:rPr>
            </w:pPr>
          </w:p>
        </w:tc>
        <w:tc>
          <w:tcPr>
            <w:tcW w:w="1596" w:type="dxa"/>
            <w:vMerge/>
            <w:tcBorders>
              <w:top w:val="single" w:sz="4" w:space="0" w:color="auto"/>
              <w:left w:val="single" w:sz="4" w:space="0" w:color="auto"/>
              <w:bottom w:val="single" w:sz="4" w:space="0" w:color="000000"/>
              <w:right w:val="single" w:sz="4" w:space="0" w:color="auto"/>
            </w:tcBorders>
            <w:vAlign w:val="center"/>
          </w:tcPr>
          <w:p w:rsidR="00A91269" w:rsidRDefault="00A91269" w:rsidP="005A5E13">
            <w:pPr>
              <w:pStyle w:val="af7"/>
              <w:spacing w:before="0" w:after="0" w:afterAutospacing="0"/>
              <w:jc w:val="center"/>
              <w:rPr>
                <w:sz w:val="16"/>
                <w:szCs w:val="16"/>
              </w:rPr>
            </w:pPr>
          </w:p>
        </w:tc>
        <w:tc>
          <w:tcPr>
            <w:tcW w:w="798" w:type="dxa"/>
            <w:vMerge/>
            <w:tcBorders>
              <w:top w:val="single" w:sz="4" w:space="0" w:color="auto"/>
              <w:left w:val="single" w:sz="4" w:space="0" w:color="auto"/>
              <w:bottom w:val="single" w:sz="4" w:space="0" w:color="000000"/>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none" w:sz="4" w:space="0" w:color="000000"/>
              <w:left w:val="single" w:sz="4" w:space="0" w:color="auto"/>
              <w:bottom w:val="single" w:sz="4" w:space="0" w:color="000000"/>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факт</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064" w:type="dxa"/>
            <w:tcBorders>
              <w:top w:val="none" w:sz="4" w:space="0" w:color="000000"/>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064" w:type="dxa"/>
            <w:tcBorders>
              <w:top w:val="none" w:sz="4" w:space="0" w:color="000000"/>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c>
          <w:tcPr>
            <w:tcW w:w="1064" w:type="dxa"/>
            <w:tcBorders>
              <w:top w:val="none" w:sz="4" w:space="0" w:color="000000"/>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r>
      <w:tr w:rsidR="00A91269" w:rsidTr="00867D80">
        <w:trPr>
          <w:trHeight w:val="236"/>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064" w:type="dxa"/>
            <w:tcBorders>
              <w:top w:val="none" w:sz="4" w:space="0" w:color="000000"/>
              <w:left w:val="none" w:sz="4" w:space="0" w:color="000000"/>
              <w:bottom w:val="none" w:sz="4" w:space="0" w:color="000000"/>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4</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Водоподготовка</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none" w:sz="4" w:space="0" w:color="000000"/>
              <w:bottom w:val="single" w:sz="4" w:space="0" w:color="auto"/>
              <w:right w:val="single" w:sz="4" w:space="0" w:color="auto"/>
            </w:tcBorders>
            <w:shd w:val="clear" w:color="auto" w:fill="auto"/>
            <w:noWrap/>
            <w:vAlign w:val="bottom"/>
          </w:tcPr>
          <w:p w:rsidR="00A91269" w:rsidRDefault="00A91269" w:rsidP="005A5E13">
            <w:pPr>
              <w:pStyle w:val="af7"/>
              <w:spacing w:before="0" w:after="0" w:afterAutospacing="0"/>
              <w:jc w:val="center"/>
              <w:rPr>
                <w:sz w:val="16"/>
                <w:szCs w:val="16"/>
              </w:rPr>
            </w:pP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из источников водоснабжения:</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194 010,87</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195 490,01</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100,49</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191 521,44</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134,28</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200 619,56</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из поверхностных источников</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193 670,18</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195 452,35</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066,08</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191 521,44</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099,87</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200 619,56</w:t>
            </w:r>
          </w:p>
        </w:tc>
      </w:tr>
      <w:tr w:rsidR="00A91269" w:rsidTr="00867D80">
        <w:trPr>
          <w:trHeight w:val="296"/>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1.1.2</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из подземных источников</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340,69</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37,66</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34.41</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34,41</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прошедшей водоподготовку</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193 670,18</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195 420,80</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100,49</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191 521,44</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196</w:t>
            </w:r>
            <w:r>
              <w:rPr>
                <w:sz w:val="16"/>
                <w:szCs w:val="16"/>
                <w:lang w:val="en-US"/>
              </w:rPr>
              <w:t> </w:t>
            </w:r>
            <w:r>
              <w:rPr>
                <w:sz w:val="16"/>
                <w:szCs w:val="16"/>
              </w:rPr>
              <w:t>34,28</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200 619,56</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1.3</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Потребление на собственные нужды НФС</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12 406,84</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11 459,04</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w:t>
            </w:r>
            <w:r>
              <w:rPr>
                <w:sz w:val="16"/>
                <w:szCs w:val="16"/>
                <w:lang w:val="en-US"/>
              </w:rPr>
              <w:t> </w:t>
            </w:r>
            <w:r>
              <w:rPr>
                <w:sz w:val="16"/>
                <w:szCs w:val="16"/>
              </w:rPr>
              <w:t>477,25</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10 983,25</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w:t>
            </w:r>
            <w:r>
              <w:rPr>
                <w:sz w:val="16"/>
                <w:szCs w:val="16"/>
                <w:lang w:val="en-US"/>
              </w:rPr>
              <w:t> </w:t>
            </w:r>
            <w:r>
              <w:rPr>
                <w:sz w:val="16"/>
                <w:szCs w:val="16"/>
              </w:rPr>
              <w:t>477,25</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10 983,25</w:t>
            </w:r>
          </w:p>
        </w:tc>
      </w:tr>
      <w:tr w:rsidR="00A91269" w:rsidTr="00867D80">
        <w:trPr>
          <w:trHeight w:val="631"/>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w:t>
            </w:r>
          </w:p>
        </w:tc>
        <w:tc>
          <w:tcPr>
            <w:tcW w:w="1596"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питьевой воды, поданной в сеть</w:t>
            </w:r>
          </w:p>
        </w:tc>
        <w:tc>
          <w:tcPr>
            <w:tcW w:w="798"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181 263,34</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183 961,76</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185</w:t>
            </w:r>
            <w:r>
              <w:rPr>
                <w:sz w:val="16"/>
                <w:szCs w:val="16"/>
                <w:lang w:val="en-US"/>
              </w:rPr>
              <w:t> </w:t>
            </w:r>
            <w:r>
              <w:rPr>
                <w:sz w:val="16"/>
                <w:szCs w:val="16"/>
              </w:rPr>
              <w:t>623,24</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180 538,19</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185</w:t>
            </w:r>
            <w:r>
              <w:rPr>
                <w:sz w:val="16"/>
                <w:szCs w:val="16"/>
                <w:lang w:val="en-US"/>
              </w:rPr>
              <w:t> </w:t>
            </w:r>
            <w:r>
              <w:rPr>
                <w:sz w:val="16"/>
                <w:szCs w:val="16"/>
              </w:rPr>
              <w:t>657,03</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189 636,31</w:t>
            </w:r>
          </w:p>
        </w:tc>
      </w:tr>
      <w:tr w:rsidR="00A91269" w:rsidTr="00867D80">
        <w:trPr>
          <w:trHeight w:val="321"/>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Транспортировка питьевой воды</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312"/>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w:t>
            </w:r>
          </w:p>
        </w:tc>
        <w:tc>
          <w:tcPr>
            <w:tcW w:w="1596"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поступившей в сеть:</w:t>
            </w:r>
          </w:p>
        </w:tc>
        <w:tc>
          <w:tcPr>
            <w:tcW w:w="798"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191 094,56</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193 640,08</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187</w:t>
            </w:r>
            <w:r>
              <w:rPr>
                <w:sz w:val="16"/>
                <w:szCs w:val="16"/>
                <w:lang w:val="en-US"/>
              </w:rPr>
              <w:t> </w:t>
            </w:r>
            <w:r>
              <w:rPr>
                <w:sz w:val="16"/>
                <w:szCs w:val="16"/>
              </w:rPr>
              <w:t>950,33</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182 856,12</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187</w:t>
            </w:r>
            <w:r>
              <w:rPr>
                <w:sz w:val="16"/>
                <w:szCs w:val="16"/>
                <w:lang w:val="en-US"/>
              </w:rPr>
              <w:t> </w:t>
            </w:r>
            <w:r>
              <w:rPr>
                <w:sz w:val="16"/>
                <w:szCs w:val="16"/>
              </w:rPr>
              <w:t>984,51</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191 954,24</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из собственных источников</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181 263,34</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183 961,76</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185</w:t>
            </w:r>
            <w:r>
              <w:rPr>
                <w:sz w:val="16"/>
                <w:szCs w:val="16"/>
                <w:lang w:val="en-US"/>
              </w:rPr>
              <w:t> </w:t>
            </w:r>
            <w:r>
              <w:rPr>
                <w:sz w:val="16"/>
                <w:szCs w:val="16"/>
              </w:rPr>
              <w:t>623,24</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180 538,19</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185</w:t>
            </w:r>
            <w:r>
              <w:rPr>
                <w:sz w:val="16"/>
                <w:szCs w:val="16"/>
                <w:lang w:val="en-US"/>
              </w:rPr>
              <w:t> </w:t>
            </w:r>
            <w:r>
              <w:rPr>
                <w:sz w:val="16"/>
                <w:szCs w:val="16"/>
              </w:rPr>
              <w:t>657,03</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189 636,31</w:t>
            </w:r>
          </w:p>
        </w:tc>
      </w:tr>
      <w:tr w:rsidR="00A91269" w:rsidTr="00867D80">
        <w:trPr>
          <w:trHeight w:val="323"/>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3.1.2</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от других операторов</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9 831,22</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9 648,32</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w:t>
            </w:r>
            <w:r>
              <w:rPr>
                <w:sz w:val="16"/>
                <w:szCs w:val="16"/>
                <w:lang w:val="en-US"/>
              </w:rPr>
              <w:t> </w:t>
            </w:r>
            <w:r>
              <w:rPr>
                <w:sz w:val="16"/>
                <w:szCs w:val="16"/>
              </w:rPr>
              <w:t>327,09</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2 317,93</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w:t>
            </w:r>
            <w:r>
              <w:rPr>
                <w:sz w:val="16"/>
                <w:szCs w:val="16"/>
                <w:lang w:val="en-US"/>
              </w:rPr>
              <w:t> </w:t>
            </w:r>
            <w:r>
              <w:rPr>
                <w:sz w:val="16"/>
                <w:szCs w:val="16"/>
              </w:rPr>
              <w:t>327,48</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2 317,93</w:t>
            </w:r>
          </w:p>
        </w:tc>
      </w:tr>
      <w:tr w:rsidR="00A91269" w:rsidTr="00867D80">
        <w:trPr>
          <w:trHeight w:val="595"/>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3.1.3</w:t>
            </w:r>
          </w:p>
        </w:tc>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Полезные расходы (пожаротушение, технологические нужды)</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10 348,68</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10 172,63</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w:t>
            </w:r>
            <w:r>
              <w:rPr>
                <w:sz w:val="16"/>
                <w:szCs w:val="16"/>
                <w:lang w:val="en-US"/>
              </w:rPr>
              <w:t> </w:t>
            </w:r>
            <w:r>
              <w:rPr>
                <w:sz w:val="16"/>
                <w:szCs w:val="16"/>
              </w:rPr>
              <w:t>040,40</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10 199,31</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3.2</w:t>
            </w: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Потери воды</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33 254,52</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35 642,20</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30</w:t>
            </w:r>
            <w:r>
              <w:rPr>
                <w:sz w:val="16"/>
                <w:szCs w:val="16"/>
                <w:lang w:val="en-US"/>
              </w:rPr>
              <w:t> </w:t>
            </w:r>
            <w:r>
              <w:rPr>
                <w:sz w:val="16"/>
                <w:szCs w:val="16"/>
              </w:rPr>
              <w:t>420,61</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22 026,04</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40</w:t>
            </w:r>
            <w:r>
              <w:rPr>
                <w:sz w:val="16"/>
                <w:szCs w:val="16"/>
                <w:lang w:val="en-US"/>
              </w:rPr>
              <w:t> </w:t>
            </w:r>
            <w:r>
              <w:rPr>
                <w:sz w:val="16"/>
                <w:szCs w:val="16"/>
              </w:rPr>
              <w:t>495,20</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41 323,47</w:t>
            </w: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i/>
                <w:sz w:val="16"/>
                <w:szCs w:val="16"/>
              </w:rPr>
            </w:pPr>
            <w:r>
              <w:rPr>
                <w:i/>
                <w:sz w:val="16"/>
                <w:szCs w:val="16"/>
              </w:rPr>
              <w:t>Уровень потерь</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i/>
                <w:sz w:val="16"/>
                <w:szCs w:val="16"/>
              </w:rPr>
            </w:pPr>
            <w:r>
              <w:rPr>
                <w:i/>
                <w:sz w:val="16"/>
                <w:szCs w:val="16"/>
              </w:rPr>
              <w:t>%</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i/>
                <w:sz w:val="16"/>
                <w:szCs w:val="16"/>
              </w:rPr>
            </w:pPr>
            <w:r>
              <w:rPr>
                <w:i/>
                <w:sz w:val="16"/>
                <w:szCs w:val="16"/>
              </w:rPr>
              <w:t>22,55 %</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i/>
                <w:sz w:val="16"/>
                <w:szCs w:val="16"/>
              </w:rPr>
            </w:pPr>
            <w:r>
              <w:rPr>
                <w:i/>
                <w:sz w:val="16"/>
                <w:szCs w:val="16"/>
              </w:rPr>
              <w:t>24,12 %</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i/>
                <w:sz w:val="16"/>
                <w:szCs w:val="16"/>
              </w:rPr>
            </w:pPr>
            <w:r>
              <w:rPr>
                <w:i/>
                <w:sz w:val="16"/>
                <w:szCs w:val="16"/>
              </w:rPr>
              <w:t>21,53%</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i/>
                <w:sz w:val="16"/>
                <w:szCs w:val="16"/>
              </w:rPr>
            </w:pPr>
            <w:r>
              <w:rPr>
                <w:i/>
                <w:sz w:val="16"/>
                <w:szCs w:val="16"/>
              </w:rPr>
              <w:t>17,62%</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i/>
                <w:sz w:val="16"/>
                <w:szCs w:val="16"/>
              </w:rPr>
            </w:pPr>
            <w:r>
              <w:rPr>
                <w:i/>
                <w:sz w:val="16"/>
                <w:szCs w:val="16"/>
              </w:rPr>
              <w:t>21,54%</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i/>
                <w:sz w:val="16"/>
                <w:szCs w:val="16"/>
              </w:rPr>
            </w:pPr>
            <w:r>
              <w:rPr>
                <w:i/>
                <w:sz w:val="16"/>
                <w:szCs w:val="16"/>
              </w:rPr>
              <w:t>21,53%</w:t>
            </w: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3.3</w:t>
            </w:r>
          </w:p>
        </w:tc>
        <w:tc>
          <w:tcPr>
            <w:tcW w:w="1596"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xml:space="preserve">Потребление на </w:t>
            </w:r>
            <w:r>
              <w:rPr>
                <w:sz w:val="16"/>
                <w:szCs w:val="16"/>
              </w:rPr>
              <w:lastRenderedPageBreak/>
              <w:t>собственные нужды</w:t>
            </w:r>
          </w:p>
        </w:tc>
        <w:tc>
          <w:tcPr>
            <w:tcW w:w="798"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lastRenderedPageBreak/>
              <w:t>тыс. м</w:t>
            </w:r>
            <w:r>
              <w:rPr>
                <w:sz w:val="16"/>
                <w:szCs w:val="16"/>
                <w:vertAlign w:val="superscript"/>
              </w:rPr>
              <w:t>3</w:t>
            </w:r>
          </w:p>
        </w:tc>
        <w:tc>
          <w:tcPr>
            <w:tcW w:w="106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lastRenderedPageBreak/>
              <w:t>3.4</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отпущенной из сети</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147 491,36</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147 795,25</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147 489,31</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150 630,77</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w:t>
            </w:r>
            <w:r>
              <w:rPr>
                <w:sz w:val="16"/>
                <w:szCs w:val="16"/>
                <w:lang w:val="en-US"/>
              </w:rPr>
              <w:t> </w:t>
            </w:r>
            <w:r>
              <w:rPr>
                <w:sz w:val="16"/>
                <w:szCs w:val="16"/>
              </w:rPr>
              <w:t>489,31</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150 630,77</w:t>
            </w: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6</w:t>
            </w: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Отпуск питьевой воды</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реализации</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147 491,36</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147 795,25</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w:t>
            </w:r>
            <w:r>
              <w:rPr>
                <w:sz w:val="16"/>
                <w:szCs w:val="16"/>
                <w:lang w:val="en-US"/>
              </w:rPr>
              <w:t> </w:t>
            </w:r>
            <w:r>
              <w:rPr>
                <w:sz w:val="16"/>
                <w:szCs w:val="16"/>
              </w:rPr>
              <w:t>489,31</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150 630,77</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147</w:t>
            </w:r>
            <w:r>
              <w:rPr>
                <w:sz w:val="16"/>
                <w:szCs w:val="16"/>
                <w:lang w:val="en-US"/>
              </w:rPr>
              <w:t> </w:t>
            </w:r>
            <w:r>
              <w:rPr>
                <w:sz w:val="16"/>
                <w:szCs w:val="16"/>
              </w:rPr>
              <w:t>489,31</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150 630,77</w:t>
            </w: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бюджетные</w:t>
            </w:r>
          </w:p>
        </w:tc>
        <w:tc>
          <w:tcPr>
            <w:tcW w:w="7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9 121,95</w:t>
            </w:r>
          </w:p>
        </w:tc>
        <w:tc>
          <w:tcPr>
            <w:tcW w:w="1065"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10 814,00</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w:t>
            </w:r>
            <w:r>
              <w:rPr>
                <w:sz w:val="16"/>
                <w:szCs w:val="16"/>
                <w:lang w:val="en-US"/>
              </w:rPr>
              <w:t> </w:t>
            </w:r>
            <w:r>
              <w:rPr>
                <w:sz w:val="16"/>
                <w:szCs w:val="16"/>
              </w:rPr>
              <w:t>315,26</w:t>
            </w:r>
          </w:p>
        </w:tc>
        <w:tc>
          <w:tcPr>
            <w:tcW w:w="931"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9 033,21</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w:t>
            </w:r>
            <w:r>
              <w:rPr>
                <w:sz w:val="16"/>
                <w:szCs w:val="16"/>
                <w:lang w:val="en-US"/>
              </w:rPr>
              <w:t> </w:t>
            </w:r>
            <w:r>
              <w:rPr>
                <w:sz w:val="16"/>
                <w:szCs w:val="16"/>
              </w:rPr>
              <w:t>315,26</w:t>
            </w:r>
          </w:p>
        </w:tc>
        <w:tc>
          <w:tcPr>
            <w:tcW w:w="106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9 033,21</w:t>
            </w:r>
          </w:p>
        </w:tc>
      </w:tr>
      <w:tr w:rsidR="00A91269" w:rsidTr="00867D80">
        <w:trPr>
          <w:trHeight w:val="297"/>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596"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население</w:t>
            </w:r>
          </w:p>
        </w:tc>
        <w:tc>
          <w:tcPr>
            <w:tcW w:w="798"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102 088,59</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100 025,34</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w:t>
            </w:r>
            <w:r>
              <w:rPr>
                <w:sz w:val="16"/>
                <w:szCs w:val="16"/>
                <w:lang w:val="en-US"/>
              </w:rPr>
              <w:t> </w:t>
            </w:r>
            <w:r>
              <w:rPr>
                <w:sz w:val="16"/>
                <w:szCs w:val="16"/>
              </w:rPr>
              <w:t>295,62</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82 355,40</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w:t>
            </w:r>
            <w:r>
              <w:rPr>
                <w:sz w:val="16"/>
                <w:szCs w:val="16"/>
                <w:lang w:val="en-US"/>
              </w:rPr>
              <w:t> </w:t>
            </w:r>
            <w:r>
              <w:rPr>
                <w:sz w:val="16"/>
                <w:szCs w:val="16"/>
              </w:rPr>
              <w:t>295,62</w:t>
            </w:r>
          </w:p>
        </w:tc>
        <w:tc>
          <w:tcPr>
            <w:tcW w:w="106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82 355,40</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прочие</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36 280,82</w:t>
            </w: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36</w:t>
            </w:r>
            <w:r>
              <w:rPr>
                <w:sz w:val="16"/>
                <w:szCs w:val="16"/>
                <w:lang w:val="en-US"/>
              </w:rPr>
              <w:t> </w:t>
            </w:r>
            <w:r>
              <w:rPr>
                <w:sz w:val="16"/>
                <w:szCs w:val="16"/>
              </w:rPr>
              <w:t>955,91</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36</w:t>
            </w:r>
            <w:r>
              <w:rPr>
                <w:sz w:val="16"/>
                <w:szCs w:val="16"/>
                <w:lang w:val="en-US"/>
              </w:rPr>
              <w:t> </w:t>
            </w:r>
            <w:r>
              <w:rPr>
                <w:sz w:val="16"/>
                <w:szCs w:val="16"/>
              </w:rPr>
              <w:t>878,43</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59 242,16</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36</w:t>
            </w:r>
            <w:r>
              <w:rPr>
                <w:sz w:val="16"/>
                <w:szCs w:val="16"/>
                <w:lang w:val="en-US"/>
              </w:rPr>
              <w:t> </w:t>
            </w:r>
            <w:r>
              <w:rPr>
                <w:sz w:val="16"/>
                <w:szCs w:val="16"/>
              </w:rPr>
              <w:t>878,43</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59 242,16</w:t>
            </w:r>
          </w:p>
        </w:tc>
      </w:tr>
      <w:tr w:rsidR="00A91269" w:rsidTr="00867D80">
        <w:trPr>
          <w:trHeight w:val="297"/>
        </w:trPr>
        <w:tc>
          <w:tcPr>
            <w:tcW w:w="666"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w:t>
            </w:r>
          </w:p>
        </w:tc>
        <w:tc>
          <w:tcPr>
            <w:tcW w:w="1596"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Темп изменения потребления воды</w:t>
            </w:r>
          </w:p>
        </w:tc>
        <w:tc>
          <w:tcPr>
            <w:tcW w:w="798"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w:t>
            </w:r>
          </w:p>
        </w:tc>
        <w:tc>
          <w:tcPr>
            <w:tcW w:w="106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65"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100,21 %</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99,79%</w:t>
            </w:r>
          </w:p>
        </w:tc>
        <w:tc>
          <w:tcPr>
            <w:tcW w:w="931"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102,13%</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100,96%</w:t>
            </w:r>
          </w:p>
        </w:tc>
        <w:tc>
          <w:tcPr>
            <w:tcW w:w="106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102,13%</w:t>
            </w:r>
          </w:p>
        </w:tc>
      </w:tr>
    </w:tbl>
    <w:p w:rsidR="00A91269" w:rsidRDefault="00A91269" w:rsidP="00A91269">
      <w:pPr>
        <w:spacing w:after="0" w:line="240" w:lineRule="auto"/>
        <w:ind w:firstLine="567"/>
        <w:jc w:val="both"/>
        <w:rPr>
          <w:rFonts w:eastAsia="Calibri"/>
          <w:szCs w:val="28"/>
          <w:lang w:eastAsia="en-US"/>
        </w:rPr>
      </w:pPr>
      <w:r>
        <w:rPr>
          <w:rFonts w:eastAsia="Calibri"/>
          <w:szCs w:val="28"/>
          <w:lang w:eastAsia="en-US"/>
        </w:rPr>
        <w:t>Фактический объем отпуска питьевой воды (реализация) за 2023 год сложился в размере 150 630,77 тыс. м</w:t>
      </w:r>
      <w:r>
        <w:rPr>
          <w:rFonts w:eastAsia="Calibri"/>
          <w:szCs w:val="28"/>
          <w:vertAlign w:val="superscript"/>
          <w:lang w:eastAsia="en-US"/>
        </w:rPr>
        <w:t>3</w:t>
      </w:r>
      <w:r>
        <w:rPr>
          <w:rFonts w:eastAsia="Calibri"/>
          <w:szCs w:val="28"/>
          <w:lang w:eastAsia="en-US"/>
        </w:rPr>
        <w:t>, что на 4 544,98 тыс. м</w:t>
      </w:r>
      <w:r>
        <w:rPr>
          <w:rFonts w:eastAsia="Calibri"/>
          <w:szCs w:val="28"/>
          <w:vertAlign w:val="superscript"/>
          <w:lang w:eastAsia="en-US"/>
        </w:rPr>
        <w:t>3</w:t>
      </w:r>
      <w:r>
        <w:rPr>
          <w:rFonts w:eastAsia="Calibri"/>
          <w:szCs w:val="28"/>
          <w:lang w:eastAsia="en-US"/>
        </w:rPr>
        <w:t xml:space="preserve"> (3,11 %) выше плановой величины, в том числе по категориям потребителей: </w:t>
      </w:r>
    </w:p>
    <w:p w:rsidR="00A91269" w:rsidRDefault="00A91269" w:rsidP="00A91269">
      <w:pPr>
        <w:spacing w:after="0" w:line="240" w:lineRule="auto"/>
        <w:ind w:firstLine="567"/>
        <w:jc w:val="both"/>
        <w:rPr>
          <w:rFonts w:eastAsia="Calibri"/>
          <w:szCs w:val="28"/>
          <w:lang w:eastAsia="en-US"/>
        </w:rPr>
      </w:pPr>
      <w:r>
        <w:rPr>
          <w:rFonts w:eastAsia="Calibri"/>
          <w:szCs w:val="28"/>
          <w:lang w:eastAsia="en-US"/>
        </w:rPr>
        <w:t>«бюджетные» - ниже на 1 655,71 тыс. м</w:t>
      </w:r>
      <w:r>
        <w:rPr>
          <w:rFonts w:eastAsia="Calibri"/>
          <w:szCs w:val="28"/>
          <w:vertAlign w:val="superscript"/>
          <w:lang w:eastAsia="en-US"/>
        </w:rPr>
        <w:t>3</w:t>
      </w:r>
      <w:r>
        <w:rPr>
          <w:rFonts w:eastAsia="Calibri"/>
          <w:szCs w:val="28"/>
          <w:lang w:eastAsia="en-US"/>
        </w:rPr>
        <w:t xml:space="preserve"> (или 15,49 %);</w:t>
      </w:r>
    </w:p>
    <w:p w:rsidR="00A91269" w:rsidRDefault="00A91269" w:rsidP="00A91269">
      <w:pPr>
        <w:spacing w:after="0" w:line="240" w:lineRule="auto"/>
        <w:ind w:firstLine="567"/>
        <w:jc w:val="both"/>
        <w:rPr>
          <w:rFonts w:eastAsia="Calibri"/>
          <w:szCs w:val="28"/>
          <w:lang w:eastAsia="en-US"/>
        </w:rPr>
      </w:pPr>
      <w:r>
        <w:rPr>
          <w:rFonts w:eastAsia="Calibri"/>
          <w:szCs w:val="28"/>
          <w:lang w:eastAsia="en-US"/>
        </w:rPr>
        <w:t>«население» - ниже на 16 513,01 тыс. м</w:t>
      </w:r>
      <w:r>
        <w:rPr>
          <w:rFonts w:eastAsia="Calibri"/>
          <w:szCs w:val="28"/>
          <w:vertAlign w:val="superscript"/>
          <w:lang w:eastAsia="en-US"/>
        </w:rPr>
        <w:t>3</w:t>
      </w:r>
      <w:r>
        <w:rPr>
          <w:rFonts w:eastAsia="Calibri"/>
          <w:szCs w:val="28"/>
          <w:lang w:eastAsia="en-US"/>
        </w:rPr>
        <w:t xml:space="preserve"> (или 16,70 %);</w:t>
      </w:r>
    </w:p>
    <w:p w:rsidR="00A91269" w:rsidRDefault="00A91269" w:rsidP="00A91269">
      <w:pPr>
        <w:spacing w:after="0" w:line="240" w:lineRule="auto"/>
        <w:ind w:firstLine="567"/>
        <w:jc w:val="both"/>
        <w:rPr>
          <w:rFonts w:eastAsia="Calibri"/>
          <w:szCs w:val="28"/>
          <w:lang w:eastAsia="en-US"/>
        </w:rPr>
      </w:pPr>
      <w:r>
        <w:rPr>
          <w:rFonts w:eastAsia="Calibri"/>
          <w:szCs w:val="28"/>
          <w:lang w:eastAsia="en-US"/>
        </w:rPr>
        <w:t>«прочие» - выше на 22 713,70 тыс. м</w:t>
      </w:r>
      <w:r>
        <w:rPr>
          <w:rFonts w:eastAsia="Calibri"/>
          <w:szCs w:val="28"/>
          <w:vertAlign w:val="superscript"/>
          <w:lang w:eastAsia="en-US"/>
        </w:rPr>
        <w:t>3</w:t>
      </w:r>
      <w:r>
        <w:rPr>
          <w:rFonts w:eastAsia="Calibri"/>
          <w:szCs w:val="28"/>
          <w:lang w:eastAsia="en-US"/>
        </w:rPr>
        <w:t xml:space="preserve"> (или 62,18 %).</w:t>
      </w:r>
    </w:p>
    <w:p w:rsidR="00A91269" w:rsidRDefault="00A91269" w:rsidP="00A91269">
      <w:pPr>
        <w:spacing w:after="0" w:line="240" w:lineRule="auto"/>
        <w:ind w:firstLine="567"/>
        <w:jc w:val="both"/>
        <w:rPr>
          <w:rFonts w:eastAsia="Calibri"/>
          <w:bCs/>
          <w:szCs w:val="28"/>
          <w:lang w:eastAsia="en-US"/>
        </w:rPr>
      </w:pPr>
      <w:r>
        <w:rPr>
          <w:rFonts w:eastAsia="Calibri"/>
          <w:bCs/>
          <w:szCs w:val="28"/>
          <w:lang w:eastAsia="en-US"/>
        </w:rPr>
        <w:t xml:space="preserve">Объём отпуска питьевой воды (реализация) учтён департаментом для расчёта тарифов на питьевую воду (питьевое водоснабжение) на 2025 год в размере </w:t>
      </w:r>
      <w:r>
        <w:rPr>
          <w:rFonts w:eastAsia="Calibri"/>
          <w:b/>
          <w:szCs w:val="28"/>
          <w:lang w:eastAsia="en-US"/>
        </w:rPr>
        <w:t>150 630,77</w:t>
      </w:r>
      <w:r>
        <w:rPr>
          <w:rFonts w:eastAsia="Calibri"/>
          <w:bCs/>
          <w:szCs w:val="28"/>
          <w:lang w:eastAsia="en-US"/>
        </w:rPr>
        <w:t xml:space="preserve"> тыс. м</w:t>
      </w:r>
      <w:r>
        <w:rPr>
          <w:rFonts w:eastAsia="Calibri"/>
          <w:bCs/>
          <w:szCs w:val="28"/>
          <w:vertAlign w:val="superscript"/>
          <w:lang w:eastAsia="en-US"/>
        </w:rPr>
        <w:t>3</w:t>
      </w:r>
      <w:r>
        <w:rPr>
          <w:rFonts w:eastAsia="Calibri"/>
          <w:bCs/>
          <w:szCs w:val="28"/>
          <w:lang w:eastAsia="en-US"/>
        </w:rPr>
        <w:t>, на уровне фактической величины 2023 года.</w:t>
      </w:r>
    </w:p>
    <w:p w:rsidR="00A91269" w:rsidRDefault="00A91269" w:rsidP="00A91269">
      <w:pPr>
        <w:pStyle w:val="af7"/>
        <w:spacing w:before="0" w:beforeAutospacing="0" w:after="0" w:afterAutospacing="0"/>
        <w:ind w:firstLine="567"/>
        <w:jc w:val="both"/>
        <w:outlineLvl w:val="0"/>
        <w:rPr>
          <w:rFonts w:eastAsia="Calibri"/>
          <w:sz w:val="28"/>
          <w:szCs w:val="28"/>
          <w:lang w:eastAsia="en-US"/>
        </w:rPr>
      </w:pPr>
      <w:r>
        <w:rPr>
          <w:rFonts w:eastAsia="Calibri"/>
          <w:sz w:val="28"/>
          <w:szCs w:val="28"/>
          <w:lang w:eastAsia="en-US"/>
        </w:rPr>
        <w:t xml:space="preserve">Баланс водоотведения </w:t>
      </w:r>
      <w:r>
        <w:rPr>
          <w:sz w:val="28"/>
          <w:szCs w:val="28"/>
        </w:rPr>
        <w:t xml:space="preserve">МУП г. Новосибирска «ГОРВОДОКАНАЛ» </w:t>
      </w:r>
      <w:r>
        <w:rPr>
          <w:rFonts w:eastAsia="Calibri"/>
          <w:sz w:val="28"/>
          <w:szCs w:val="28"/>
          <w:lang w:eastAsia="en-US"/>
        </w:rPr>
        <w:t>за период с 2020 по 2025 годы представлен в таблице.</w:t>
      </w:r>
    </w:p>
    <w:tbl>
      <w:tblPr>
        <w:tblW w:w="9397" w:type="dxa"/>
        <w:tblInd w:w="108" w:type="dxa"/>
        <w:tblLayout w:type="fixed"/>
        <w:tblLook w:val="04A0" w:firstRow="1" w:lastRow="0" w:firstColumn="1" w:lastColumn="0" w:noHBand="0" w:noVBand="1"/>
      </w:tblPr>
      <w:tblGrid>
        <w:gridCol w:w="537"/>
        <w:gridCol w:w="1880"/>
        <w:gridCol w:w="805"/>
        <w:gridCol w:w="1074"/>
        <w:gridCol w:w="940"/>
        <w:gridCol w:w="939"/>
        <w:gridCol w:w="1074"/>
        <w:gridCol w:w="1074"/>
        <w:gridCol w:w="1074"/>
      </w:tblGrid>
      <w:tr w:rsidR="00A91269" w:rsidTr="00867D80">
        <w:trPr>
          <w:trHeight w:val="312"/>
        </w:trPr>
        <w:tc>
          <w:tcPr>
            <w:tcW w:w="53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 п/п</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Наименование</w:t>
            </w:r>
          </w:p>
        </w:tc>
        <w:tc>
          <w:tcPr>
            <w:tcW w:w="8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Ед.</w:t>
            </w:r>
            <w:r>
              <w:rPr>
                <w:sz w:val="16"/>
                <w:szCs w:val="16"/>
              </w:rPr>
              <w:br/>
              <w:t>изм.</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2020</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2021</w:t>
            </w:r>
          </w:p>
        </w:tc>
        <w:tc>
          <w:tcPr>
            <w:tcW w:w="939"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2022</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2023</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2024</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2025</w:t>
            </w:r>
          </w:p>
        </w:tc>
      </w:tr>
      <w:tr w:rsidR="00A91269" w:rsidTr="00867D80">
        <w:trPr>
          <w:trHeight w:val="274"/>
        </w:trPr>
        <w:tc>
          <w:tcPr>
            <w:tcW w:w="537"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880"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805"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none" w:sz="4" w:space="0" w:color="000000"/>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факт</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r>
      <w:tr w:rsidR="00A91269" w:rsidTr="00867D80">
        <w:trPr>
          <w:trHeight w:val="264"/>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4</w:t>
            </w: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w:t>
            </w: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p>
        </w:tc>
      </w:tr>
      <w:tr w:rsidR="00A91269" w:rsidTr="00867D80">
        <w:trPr>
          <w:trHeight w:val="29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Прием сточных вод</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35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w:t>
            </w:r>
          </w:p>
        </w:tc>
        <w:tc>
          <w:tcPr>
            <w:tcW w:w="188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сточных вод, принятых у абонентов</w:t>
            </w:r>
          </w:p>
        </w:tc>
        <w:tc>
          <w:tcPr>
            <w:tcW w:w="805"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140 666,08</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141 940,61</w:t>
            </w:r>
          </w:p>
        </w:tc>
        <w:tc>
          <w:tcPr>
            <w:tcW w:w="939"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141 540,47</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w:t>
            </w:r>
            <w:r>
              <w:rPr>
                <w:sz w:val="16"/>
                <w:szCs w:val="16"/>
                <w:lang w:val="en-US"/>
              </w:rPr>
              <w:t> </w:t>
            </w:r>
            <w:r>
              <w:rPr>
                <w:sz w:val="16"/>
                <w:szCs w:val="16"/>
              </w:rPr>
              <w:t>540,47</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r>
      <w:tr w:rsidR="00A91269" w:rsidTr="00867D80">
        <w:trPr>
          <w:trHeight w:val="231"/>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88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бюджетные</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7 666,52</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9 711,86</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r>
              <w:rPr>
                <w:sz w:val="16"/>
                <w:szCs w:val="16"/>
                <w:lang w:val="en-US"/>
              </w:rPr>
              <w:t> </w:t>
            </w:r>
            <w:r>
              <w:rPr>
                <w:sz w:val="16"/>
                <w:szCs w:val="16"/>
              </w:rPr>
              <w:t>430,91</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9 445,35</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r>
              <w:rPr>
                <w:sz w:val="16"/>
                <w:szCs w:val="16"/>
                <w:lang w:val="en-US"/>
              </w:rPr>
              <w:t> </w:t>
            </w:r>
            <w:r>
              <w:rPr>
                <w:sz w:val="16"/>
                <w:szCs w:val="16"/>
              </w:rPr>
              <w:t>430,91</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9 445,35</w:t>
            </w:r>
          </w:p>
        </w:tc>
      </w:tr>
      <w:tr w:rsidR="00A91269" w:rsidTr="00867D80">
        <w:trPr>
          <w:trHeight w:val="278"/>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88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население</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100 374,84</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97 516,38</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97 849,35</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99 502,21</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97</w:t>
            </w:r>
            <w:r>
              <w:rPr>
                <w:sz w:val="16"/>
                <w:szCs w:val="16"/>
                <w:lang w:val="en-US"/>
              </w:rPr>
              <w:t> </w:t>
            </w:r>
            <w:r>
              <w:rPr>
                <w:sz w:val="16"/>
                <w:szCs w:val="16"/>
              </w:rPr>
              <w:t>849,35</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99 502,21</w:t>
            </w:r>
          </w:p>
        </w:tc>
      </w:tr>
      <w:tr w:rsidR="00A91269" w:rsidTr="00867D80">
        <w:trPr>
          <w:trHeight w:val="268"/>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прочие</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32 624,72</w:t>
            </w: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34 712,37</w:t>
            </w: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34 260,22</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35 264,99</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w:t>
            </w:r>
            <w:r>
              <w:rPr>
                <w:sz w:val="16"/>
                <w:szCs w:val="16"/>
                <w:lang w:val="en-US"/>
              </w:rPr>
              <w:t> </w:t>
            </w:r>
            <w:r>
              <w:rPr>
                <w:sz w:val="16"/>
                <w:szCs w:val="16"/>
              </w:rPr>
              <w:t>260,22</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35 264,99</w:t>
            </w:r>
          </w:p>
        </w:tc>
      </w:tr>
      <w:tr w:rsidR="00A91269" w:rsidTr="00867D80">
        <w:trPr>
          <w:trHeight w:val="35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Неучтенный приток сточных вод</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35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1.4.1</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Организованный приток</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480"/>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1.4.2</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Неорганизованный приток</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9 962,52</w:t>
            </w: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10 775,68</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9 065,94</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35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транспортируемых сточных вод</w:t>
            </w:r>
          </w:p>
        </w:tc>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140 666,08</w:t>
            </w:r>
          </w:p>
        </w:tc>
        <w:tc>
          <w:tcPr>
            <w:tcW w:w="94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140 940,61</w:t>
            </w:r>
          </w:p>
        </w:tc>
        <w:tc>
          <w:tcPr>
            <w:tcW w:w="93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141 540,47</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w:t>
            </w:r>
            <w:r>
              <w:rPr>
                <w:sz w:val="16"/>
                <w:szCs w:val="16"/>
                <w:lang w:val="en-US"/>
              </w:rPr>
              <w:t> </w:t>
            </w:r>
            <w:r>
              <w:rPr>
                <w:sz w:val="16"/>
                <w:szCs w:val="16"/>
              </w:rPr>
              <w:t>540,47</w:t>
            </w:r>
          </w:p>
        </w:tc>
        <w:tc>
          <w:tcPr>
            <w:tcW w:w="107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r>
      <w:tr w:rsidR="00A91269" w:rsidTr="00867D80">
        <w:trPr>
          <w:trHeight w:val="357"/>
        </w:trPr>
        <w:tc>
          <w:tcPr>
            <w:tcW w:w="53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2.1</w:t>
            </w:r>
          </w:p>
        </w:tc>
        <w:tc>
          <w:tcPr>
            <w:tcW w:w="188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На собственные очистные сооружения</w:t>
            </w:r>
          </w:p>
        </w:tc>
        <w:tc>
          <w:tcPr>
            <w:tcW w:w="805"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140 666,08</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140 940,61</w:t>
            </w:r>
          </w:p>
        </w:tc>
        <w:tc>
          <w:tcPr>
            <w:tcW w:w="939"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141 540,47</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w:t>
            </w:r>
            <w:r>
              <w:rPr>
                <w:sz w:val="16"/>
                <w:szCs w:val="16"/>
                <w:lang w:val="en-US"/>
              </w:rPr>
              <w:t> </w:t>
            </w:r>
            <w:r>
              <w:rPr>
                <w:sz w:val="16"/>
                <w:szCs w:val="16"/>
              </w:rPr>
              <w:t>540,47</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r>
      <w:tr w:rsidR="00A91269" w:rsidTr="00867D80">
        <w:trPr>
          <w:trHeight w:val="146"/>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2.2</w:t>
            </w:r>
          </w:p>
        </w:tc>
        <w:tc>
          <w:tcPr>
            <w:tcW w:w="188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Другим организациям</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594"/>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880" w:type="dxa"/>
            <w:tcBorders>
              <w:top w:val="none" w:sz="4" w:space="0" w:color="000000"/>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Объем сточных вод, поступивших на очистные сооружения</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140</w:t>
            </w:r>
            <w:r>
              <w:rPr>
                <w:sz w:val="16"/>
                <w:szCs w:val="16"/>
                <w:lang w:val="en-US"/>
              </w:rPr>
              <w:t> </w:t>
            </w:r>
            <w:r>
              <w:rPr>
                <w:sz w:val="16"/>
                <w:szCs w:val="16"/>
              </w:rPr>
              <w:t>666,08</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151 903,13</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152</w:t>
            </w:r>
            <w:r>
              <w:rPr>
                <w:sz w:val="16"/>
                <w:szCs w:val="16"/>
                <w:lang w:val="en-US"/>
              </w:rPr>
              <w:t> </w:t>
            </w:r>
            <w:r>
              <w:rPr>
                <w:sz w:val="16"/>
                <w:szCs w:val="16"/>
              </w:rPr>
              <w:t>316,15</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153 278,49</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w:t>
            </w:r>
            <w:r>
              <w:rPr>
                <w:sz w:val="16"/>
                <w:szCs w:val="16"/>
                <w:lang w:val="en-US"/>
              </w:rPr>
              <w:t> </w:t>
            </w:r>
            <w:r>
              <w:rPr>
                <w:sz w:val="16"/>
                <w:szCs w:val="16"/>
              </w:rPr>
              <w:t>540,47</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r>
      <w:tr w:rsidR="00A91269" w:rsidTr="00867D80">
        <w:trPr>
          <w:trHeight w:val="338"/>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w:t>
            </w:r>
          </w:p>
        </w:tc>
        <w:tc>
          <w:tcPr>
            <w:tcW w:w="188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сточных вод, прошедших очистку</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140</w:t>
            </w:r>
            <w:r>
              <w:rPr>
                <w:sz w:val="16"/>
                <w:szCs w:val="16"/>
                <w:lang w:val="en-US"/>
              </w:rPr>
              <w:t> </w:t>
            </w:r>
            <w:r>
              <w:rPr>
                <w:sz w:val="16"/>
                <w:szCs w:val="16"/>
              </w:rPr>
              <w:t>666,08</w:t>
            </w: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151 903,13</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152</w:t>
            </w:r>
            <w:r>
              <w:rPr>
                <w:sz w:val="16"/>
                <w:szCs w:val="16"/>
                <w:lang w:val="en-US"/>
              </w:rPr>
              <w:t> </w:t>
            </w:r>
            <w:r>
              <w:rPr>
                <w:sz w:val="16"/>
                <w:szCs w:val="16"/>
              </w:rPr>
              <w:t>316,15</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153 278,49</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141</w:t>
            </w:r>
            <w:r>
              <w:rPr>
                <w:sz w:val="16"/>
                <w:szCs w:val="16"/>
                <w:lang w:val="en-US"/>
              </w:rPr>
              <w:t> </w:t>
            </w:r>
            <w:r>
              <w:rPr>
                <w:sz w:val="16"/>
                <w:szCs w:val="16"/>
              </w:rPr>
              <w:t>540,47</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144 212,55</w:t>
            </w:r>
          </w:p>
        </w:tc>
      </w:tr>
      <w:tr w:rsidR="00A91269" w:rsidTr="00867D80">
        <w:trPr>
          <w:trHeight w:val="500"/>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3.2</w:t>
            </w:r>
          </w:p>
        </w:tc>
        <w:tc>
          <w:tcPr>
            <w:tcW w:w="1880" w:type="dxa"/>
            <w:tcBorders>
              <w:top w:val="none" w:sz="4" w:space="0" w:color="000000"/>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Сбросы сточных вод в пределах нормативов и лимитов</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867D80">
        <w:trPr>
          <w:trHeight w:val="546"/>
        </w:trPr>
        <w:tc>
          <w:tcPr>
            <w:tcW w:w="53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5</w:t>
            </w:r>
          </w:p>
        </w:tc>
        <w:tc>
          <w:tcPr>
            <w:tcW w:w="1880" w:type="dxa"/>
            <w:tcBorders>
              <w:top w:val="none" w:sz="4" w:space="0" w:color="000000"/>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Темп изменения объема отводимых сточных вод</w:t>
            </w:r>
          </w:p>
        </w:tc>
        <w:tc>
          <w:tcPr>
            <w:tcW w:w="805"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w:t>
            </w:r>
          </w:p>
        </w:tc>
        <w:tc>
          <w:tcPr>
            <w:tcW w:w="1074"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4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100,91%</w:t>
            </w:r>
          </w:p>
        </w:tc>
        <w:tc>
          <w:tcPr>
            <w:tcW w:w="93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99,72 %</w:t>
            </w:r>
          </w:p>
        </w:tc>
        <w:tc>
          <w:tcPr>
            <w:tcW w:w="107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101,89%</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99,82 %</w:t>
            </w:r>
          </w:p>
        </w:tc>
        <w:tc>
          <w:tcPr>
            <w:tcW w:w="107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101,89%</w:t>
            </w:r>
          </w:p>
        </w:tc>
      </w:tr>
    </w:tbl>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Фактический объём принятых (реализованных) сточных вод за 2023 год сложился в размере 144 212,55 тыс. м</w:t>
      </w:r>
      <w:r>
        <w:rPr>
          <w:rFonts w:eastAsiaTheme="minorHAnsi"/>
          <w:szCs w:val="28"/>
          <w:vertAlign w:val="superscript"/>
          <w:lang w:eastAsia="en-US"/>
        </w:rPr>
        <w:t>3</w:t>
      </w:r>
      <w:r>
        <w:rPr>
          <w:rFonts w:eastAsiaTheme="minorHAnsi"/>
          <w:szCs w:val="28"/>
          <w:lang w:eastAsia="en-US"/>
        </w:rPr>
        <w:t>, что на</w:t>
      </w:r>
      <w:r>
        <w:rPr>
          <w:rFonts w:eastAsiaTheme="minorHAnsi"/>
          <w:color w:val="FF0000"/>
          <w:szCs w:val="28"/>
          <w:lang w:eastAsia="en-US"/>
        </w:rPr>
        <w:t xml:space="preserve"> </w:t>
      </w:r>
      <w:r>
        <w:rPr>
          <w:rFonts w:eastAsiaTheme="minorHAnsi"/>
          <w:szCs w:val="28"/>
          <w:lang w:eastAsia="en-US"/>
        </w:rPr>
        <w:t>2 413,85 тыс. м</w:t>
      </w:r>
      <w:r>
        <w:rPr>
          <w:rFonts w:eastAsiaTheme="minorHAnsi"/>
          <w:szCs w:val="28"/>
          <w:vertAlign w:val="superscript"/>
          <w:lang w:eastAsia="en-US"/>
        </w:rPr>
        <w:t xml:space="preserve">3 </w:t>
      </w:r>
      <w:r>
        <w:rPr>
          <w:rFonts w:eastAsiaTheme="minorHAnsi"/>
          <w:szCs w:val="28"/>
          <w:lang w:eastAsia="en-US"/>
        </w:rPr>
        <w:t>(1,70 %) выше плановой величины, в том числе по категориям потребителей:</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 «бюджетные» - ниже на 256,80 тыс. м</w:t>
      </w:r>
      <w:r>
        <w:rPr>
          <w:rFonts w:eastAsiaTheme="minorHAnsi"/>
          <w:szCs w:val="28"/>
          <w:vertAlign w:val="superscript"/>
          <w:lang w:eastAsia="en-US"/>
        </w:rPr>
        <w:t>3</w:t>
      </w:r>
      <w:r>
        <w:rPr>
          <w:rFonts w:eastAsiaTheme="minorHAnsi"/>
          <w:szCs w:val="28"/>
          <w:lang w:eastAsia="en-US"/>
        </w:rPr>
        <w:t xml:space="preserve"> или 2,65 %;</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lastRenderedPageBreak/>
        <w:t>- «население» - выше на 2 083,32 тыс. м</w:t>
      </w:r>
      <w:r>
        <w:rPr>
          <w:rFonts w:eastAsiaTheme="minorHAnsi"/>
          <w:szCs w:val="28"/>
          <w:vertAlign w:val="superscript"/>
          <w:lang w:eastAsia="en-US"/>
        </w:rPr>
        <w:t>3</w:t>
      </w:r>
      <w:r>
        <w:rPr>
          <w:rFonts w:eastAsiaTheme="minorHAnsi"/>
          <w:szCs w:val="28"/>
          <w:lang w:eastAsia="en-US"/>
        </w:rPr>
        <w:t xml:space="preserve"> или 2,14 %;</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 «прочие» - выше на 587,32 тыс. м</w:t>
      </w:r>
      <w:r>
        <w:rPr>
          <w:rFonts w:eastAsiaTheme="minorHAnsi"/>
          <w:szCs w:val="28"/>
          <w:vertAlign w:val="superscript"/>
          <w:lang w:eastAsia="en-US"/>
        </w:rPr>
        <w:t>3</w:t>
      </w:r>
      <w:r>
        <w:rPr>
          <w:rFonts w:eastAsiaTheme="minorHAnsi"/>
          <w:szCs w:val="28"/>
          <w:lang w:eastAsia="en-US"/>
        </w:rPr>
        <w:t xml:space="preserve"> или 1,69 %.</w:t>
      </w:r>
    </w:p>
    <w:p w:rsidR="00A91269" w:rsidRDefault="00A91269" w:rsidP="00A91269">
      <w:pPr>
        <w:spacing w:after="0" w:line="240" w:lineRule="auto"/>
        <w:ind w:firstLine="567"/>
        <w:jc w:val="both"/>
        <w:rPr>
          <w:rFonts w:eastAsiaTheme="minorHAnsi"/>
          <w:b/>
          <w:szCs w:val="28"/>
          <w:lang w:eastAsia="en-US"/>
        </w:rPr>
      </w:pPr>
      <w:r>
        <w:rPr>
          <w:rFonts w:eastAsiaTheme="minorHAnsi"/>
          <w:szCs w:val="28"/>
          <w:lang w:eastAsia="en-US"/>
        </w:rPr>
        <w:t xml:space="preserve">Объём принятых сточных вод </w:t>
      </w:r>
      <w:r>
        <w:rPr>
          <w:rFonts w:eastAsia="Calibri"/>
          <w:bCs/>
          <w:szCs w:val="28"/>
          <w:lang w:eastAsia="en-US"/>
        </w:rPr>
        <w:t xml:space="preserve">учтён департаментом для расчёта тарифов на водоотведение на 2025 год в размере </w:t>
      </w:r>
      <w:r>
        <w:rPr>
          <w:rFonts w:eastAsiaTheme="minorHAnsi"/>
          <w:b/>
          <w:szCs w:val="28"/>
          <w:lang w:eastAsia="en-US"/>
        </w:rPr>
        <w:t>144 212,55</w:t>
      </w:r>
      <w:r>
        <w:rPr>
          <w:rFonts w:eastAsiaTheme="minorHAnsi"/>
          <w:szCs w:val="28"/>
          <w:lang w:eastAsia="en-US"/>
        </w:rPr>
        <w:t xml:space="preserve"> тыс. м</w:t>
      </w:r>
      <w:r>
        <w:rPr>
          <w:rFonts w:eastAsiaTheme="minorHAnsi"/>
          <w:szCs w:val="28"/>
          <w:vertAlign w:val="superscript"/>
          <w:lang w:eastAsia="en-US"/>
        </w:rPr>
        <w:t>3</w:t>
      </w:r>
      <w:r>
        <w:rPr>
          <w:rFonts w:eastAsiaTheme="minorHAnsi"/>
          <w:szCs w:val="28"/>
          <w:lang w:eastAsia="en-US"/>
        </w:rPr>
        <w:t>, на уровне фактической величины 2023 года.</w:t>
      </w:r>
    </w:p>
    <w:p w:rsidR="00A91269" w:rsidRDefault="00A91269" w:rsidP="00A91269">
      <w:pPr>
        <w:tabs>
          <w:tab w:val="left" w:pos="9356"/>
        </w:tabs>
        <w:spacing w:after="0" w:line="240" w:lineRule="auto"/>
        <w:ind w:firstLine="567"/>
        <w:jc w:val="both"/>
        <w:rPr>
          <w:bCs/>
          <w:szCs w:val="28"/>
        </w:rPr>
      </w:pPr>
    </w:p>
    <w:p w:rsidR="00A91269" w:rsidRDefault="00A91269" w:rsidP="00A91269">
      <w:pPr>
        <w:tabs>
          <w:tab w:val="left" w:pos="9356"/>
        </w:tabs>
        <w:spacing w:after="0" w:line="240" w:lineRule="auto"/>
        <w:ind w:firstLine="567"/>
        <w:jc w:val="both"/>
        <w:rPr>
          <w:bCs/>
          <w:szCs w:val="28"/>
        </w:rPr>
      </w:pPr>
      <w:r>
        <w:rPr>
          <w:bCs/>
          <w:szCs w:val="28"/>
        </w:rPr>
        <w:t xml:space="preserve">Динамика объёмов реализации питьевой воды и сточных вод </w:t>
      </w:r>
      <w:r>
        <w:rPr>
          <w:szCs w:val="28"/>
        </w:rPr>
        <w:t xml:space="preserve">МУП г. Новосибирска «ГОРВОДОКАНАЛ» </w:t>
      </w:r>
      <w:r>
        <w:rPr>
          <w:bCs/>
          <w:szCs w:val="28"/>
        </w:rPr>
        <w:t xml:space="preserve">за период 2015 – 2025 представлена на графиках (рис. 1-2). </w:t>
      </w:r>
    </w:p>
    <w:p w:rsidR="00A91269" w:rsidRDefault="00A91269" w:rsidP="00A91269">
      <w:pPr>
        <w:tabs>
          <w:tab w:val="left" w:pos="9356"/>
        </w:tabs>
        <w:spacing w:after="0" w:line="240" w:lineRule="auto"/>
        <w:ind w:firstLine="567"/>
        <w:jc w:val="both"/>
        <w:rPr>
          <w:bCs/>
          <w:szCs w:val="28"/>
        </w:rPr>
      </w:pPr>
    </w:p>
    <w:p w:rsidR="00A91269" w:rsidRDefault="00A91269" w:rsidP="00A91269">
      <w:pPr>
        <w:tabs>
          <w:tab w:val="left" w:pos="9356"/>
        </w:tabs>
        <w:spacing w:after="0" w:line="240" w:lineRule="auto"/>
        <w:jc w:val="both"/>
        <w:rPr>
          <w:bCs/>
          <w:szCs w:val="28"/>
        </w:rPr>
      </w:pPr>
      <w:r>
        <w:rPr>
          <w:noProof/>
        </w:rPr>
        <w:drawing>
          <wp:inline distT="0" distB="0" distL="0" distR="0" wp14:anchorId="5A50126E" wp14:editId="4CDFD9CE">
            <wp:extent cx="5773615" cy="3786554"/>
            <wp:effectExtent l="0" t="0" r="17780" b="23495"/>
            <wp:docPr id="5"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A91269" w:rsidRDefault="00A91269" w:rsidP="00A91269">
      <w:pPr>
        <w:pStyle w:val="af7"/>
        <w:spacing w:before="0" w:after="0"/>
        <w:ind w:firstLine="567"/>
        <w:jc w:val="center"/>
        <w:outlineLvl w:val="0"/>
        <w:rPr>
          <w:sz w:val="28"/>
          <w:szCs w:val="28"/>
        </w:rPr>
      </w:pPr>
      <w:r>
        <w:rPr>
          <w:sz w:val="28"/>
          <w:szCs w:val="28"/>
        </w:rPr>
        <w:t>Рис. 1</w:t>
      </w:r>
    </w:p>
    <w:p w:rsidR="00A91269" w:rsidRDefault="00A91269" w:rsidP="00A91269">
      <w:pPr>
        <w:pStyle w:val="af7"/>
        <w:spacing w:before="0" w:after="0"/>
        <w:jc w:val="center"/>
        <w:outlineLvl w:val="0"/>
        <w:rPr>
          <w:sz w:val="28"/>
          <w:szCs w:val="28"/>
        </w:rPr>
      </w:pPr>
      <w:r>
        <w:rPr>
          <w:noProof/>
        </w:rPr>
        <w:lastRenderedPageBreak/>
        <w:drawing>
          <wp:inline distT="0" distB="0" distL="0" distR="0" wp14:anchorId="42B3977E" wp14:editId="7EC78693">
            <wp:extent cx="5685693" cy="4050323"/>
            <wp:effectExtent l="0" t="0" r="10795" b="26670"/>
            <wp:docPr id="6"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A91269" w:rsidRDefault="00A91269" w:rsidP="00A91269">
      <w:pPr>
        <w:pStyle w:val="af7"/>
        <w:spacing w:before="0" w:after="0"/>
        <w:ind w:firstLine="567"/>
        <w:jc w:val="center"/>
        <w:outlineLvl w:val="0"/>
        <w:rPr>
          <w:sz w:val="28"/>
          <w:szCs w:val="28"/>
        </w:rPr>
      </w:pPr>
      <w:r>
        <w:rPr>
          <w:sz w:val="28"/>
          <w:szCs w:val="28"/>
        </w:rPr>
        <w:t>Рис. 2</w:t>
      </w:r>
    </w:p>
    <w:p w:rsidR="00A91269" w:rsidRDefault="00A91269" w:rsidP="00A91269">
      <w:pPr>
        <w:tabs>
          <w:tab w:val="left" w:pos="9356"/>
        </w:tabs>
        <w:spacing w:line="240" w:lineRule="auto"/>
        <w:ind w:firstLine="567"/>
        <w:rPr>
          <w:bCs/>
          <w:szCs w:val="28"/>
        </w:rPr>
      </w:pPr>
    </w:p>
    <w:p w:rsidR="00A91269" w:rsidRDefault="00A91269" w:rsidP="00A91269">
      <w:pPr>
        <w:tabs>
          <w:tab w:val="left" w:pos="9356"/>
        </w:tabs>
        <w:spacing w:line="240" w:lineRule="auto"/>
        <w:ind w:firstLine="567"/>
        <w:rPr>
          <w:bCs/>
          <w:szCs w:val="28"/>
        </w:rPr>
      </w:pPr>
      <w:r>
        <w:rPr>
          <w:bCs/>
          <w:szCs w:val="28"/>
        </w:rPr>
        <w:t xml:space="preserve">Динамика тарифов </w:t>
      </w:r>
      <w:r>
        <w:rPr>
          <w:szCs w:val="28"/>
        </w:rPr>
        <w:t xml:space="preserve">МУП г. Новосибирска «ГОРВОДОКАНАЛ» </w:t>
      </w:r>
      <w:r>
        <w:rPr>
          <w:bCs/>
          <w:szCs w:val="28"/>
        </w:rPr>
        <w:t xml:space="preserve">за период 2015 – 2025 представлена на графиках (рис. 3-4). </w:t>
      </w:r>
    </w:p>
    <w:p w:rsidR="00A91269" w:rsidRDefault="00A91269" w:rsidP="00A91269">
      <w:pPr>
        <w:tabs>
          <w:tab w:val="left" w:pos="9356"/>
        </w:tabs>
        <w:rPr>
          <w:bCs/>
          <w:szCs w:val="28"/>
        </w:rPr>
      </w:pPr>
      <w:r>
        <w:rPr>
          <w:noProof/>
        </w:rPr>
        <w:drawing>
          <wp:inline distT="0" distB="0" distL="0" distR="0" wp14:anchorId="4782B262" wp14:editId="7C02328A">
            <wp:extent cx="6153150" cy="3476625"/>
            <wp:effectExtent l="0" t="0" r="19050" b="9525"/>
            <wp:docPr id="7"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A91269" w:rsidRDefault="00A91269" w:rsidP="00A91269">
      <w:pPr>
        <w:tabs>
          <w:tab w:val="left" w:pos="9356"/>
        </w:tabs>
        <w:spacing w:after="0" w:line="240" w:lineRule="auto"/>
        <w:ind w:firstLine="567"/>
        <w:rPr>
          <w:bCs/>
          <w:szCs w:val="28"/>
        </w:rPr>
      </w:pPr>
      <w:r>
        <w:rPr>
          <w:bCs/>
          <w:szCs w:val="28"/>
        </w:rPr>
        <w:t>Рис. 3</w:t>
      </w:r>
    </w:p>
    <w:p w:rsidR="00A91269" w:rsidRDefault="00A91269" w:rsidP="00A91269">
      <w:pPr>
        <w:tabs>
          <w:tab w:val="left" w:pos="9356"/>
        </w:tabs>
        <w:spacing w:after="0" w:line="240" w:lineRule="auto"/>
        <w:ind w:firstLine="567"/>
        <w:rPr>
          <w:bCs/>
          <w:szCs w:val="28"/>
        </w:rPr>
      </w:pPr>
    </w:p>
    <w:p w:rsidR="00A91269" w:rsidRDefault="00A91269" w:rsidP="00A91269">
      <w:pPr>
        <w:jc w:val="both"/>
        <w:outlineLvl w:val="1"/>
        <w:rPr>
          <w:szCs w:val="28"/>
        </w:rPr>
      </w:pPr>
      <w:r>
        <w:rPr>
          <w:noProof/>
        </w:rPr>
        <w:drawing>
          <wp:inline distT="0" distB="0" distL="0" distR="0" wp14:anchorId="7B59C945" wp14:editId="3E8B670F">
            <wp:extent cx="6153150" cy="3724275"/>
            <wp:effectExtent l="0" t="0" r="19050" b="9525"/>
            <wp:docPr id="16"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A91269" w:rsidRDefault="00A91269" w:rsidP="00A91269">
      <w:pPr>
        <w:ind w:firstLine="540"/>
        <w:outlineLvl w:val="1"/>
        <w:rPr>
          <w:szCs w:val="28"/>
        </w:rPr>
      </w:pPr>
      <w:r>
        <w:rPr>
          <w:szCs w:val="28"/>
        </w:rPr>
        <w:t>Рис. 4</w:t>
      </w:r>
    </w:p>
    <w:p w:rsidR="00A91269" w:rsidRDefault="00A91269" w:rsidP="00A91269">
      <w:pPr>
        <w:spacing w:line="240" w:lineRule="auto"/>
        <w:ind w:firstLine="284"/>
        <w:jc w:val="both"/>
        <w:rPr>
          <w:szCs w:val="28"/>
        </w:rPr>
      </w:pPr>
      <w:r>
        <w:rPr>
          <w:szCs w:val="28"/>
        </w:rPr>
        <w:t>Структура тарифов на питьевую воду и водоотведение МУП г. Новосибирска «ГОРВОДОКАНАЛ» на 2024 - 2025 годы приведена на рис. 5, 6.</w:t>
      </w:r>
    </w:p>
    <w:p w:rsidR="00A91269" w:rsidRDefault="00A91269" w:rsidP="00A91269">
      <w:pPr>
        <w:spacing w:line="240" w:lineRule="auto"/>
        <w:ind w:firstLine="284"/>
        <w:jc w:val="both"/>
        <w:rPr>
          <w:szCs w:val="28"/>
        </w:rPr>
      </w:pPr>
      <w:r>
        <w:rPr>
          <w:noProof/>
          <w:szCs w:val="28"/>
        </w:rPr>
        <w:drawing>
          <wp:anchor distT="0" distB="0" distL="114300" distR="114300" simplePos="0" relativeHeight="251668480" behindDoc="0" locked="0" layoutInCell="1" allowOverlap="1" wp14:anchorId="04FD8232" wp14:editId="0C78602E">
            <wp:simplePos x="0" y="0"/>
            <wp:positionH relativeFrom="column">
              <wp:posOffset>3007751</wp:posOffset>
            </wp:positionH>
            <wp:positionV relativeFrom="paragraph">
              <wp:posOffset>4445</wp:posOffset>
            </wp:positionV>
            <wp:extent cx="3038475" cy="2171700"/>
            <wp:effectExtent l="0" t="0" r="9525" b="0"/>
            <wp:wrapNone/>
            <wp:docPr id="26"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pic:cNvPicPr>
                  </pic:nvPicPr>
                  <pic:blipFill>
                    <a:blip r:embed="rId70"/>
                    <a:stretch/>
                  </pic:blipFill>
                  <pic:spPr bwMode="auto">
                    <a:xfrm>
                      <a:off x="0" y="0"/>
                      <a:ext cx="3038475" cy="217170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010E780A" wp14:editId="231FDB5F">
            <wp:simplePos x="0" y="0"/>
            <wp:positionH relativeFrom="column">
              <wp:posOffset>4445</wp:posOffset>
            </wp:positionH>
            <wp:positionV relativeFrom="paragraph">
              <wp:posOffset>4445</wp:posOffset>
            </wp:positionV>
            <wp:extent cx="2971800" cy="2171700"/>
            <wp:effectExtent l="0" t="0" r="19050" b="19050"/>
            <wp:wrapNone/>
            <wp:docPr id="33"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14:sizeRelH relativeFrom="page">
              <wp14:pctWidth>0</wp14:pctWidth>
            </wp14:sizeRelH>
            <wp14:sizeRelV relativeFrom="page">
              <wp14:pctHeight>0</wp14:pctHeight>
            </wp14:sizeRelV>
          </wp:anchor>
        </w:drawing>
      </w:r>
    </w:p>
    <w:p w:rsidR="00A91269" w:rsidRDefault="00A91269" w:rsidP="00A91269">
      <w:pPr>
        <w:spacing w:line="240" w:lineRule="auto"/>
        <w:ind w:firstLine="284"/>
        <w:jc w:val="both"/>
        <w:rPr>
          <w:szCs w:val="28"/>
        </w:rPr>
      </w:pPr>
    </w:p>
    <w:p w:rsidR="00A91269" w:rsidRDefault="00A91269" w:rsidP="00A91269">
      <w:pPr>
        <w:spacing w:line="240" w:lineRule="auto"/>
        <w:ind w:firstLine="284"/>
        <w:jc w:val="both"/>
        <w:rPr>
          <w:szCs w:val="28"/>
        </w:rPr>
      </w:pPr>
    </w:p>
    <w:p w:rsidR="00A91269" w:rsidRDefault="00A91269" w:rsidP="00A91269">
      <w:pPr>
        <w:spacing w:line="240" w:lineRule="auto"/>
        <w:ind w:firstLine="284"/>
        <w:jc w:val="both"/>
        <w:rPr>
          <w:szCs w:val="28"/>
        </w:rPr>
      </w:pPr>
    </w:p>
    <w:p w:rsidR="00A91269" w:rsidRDefault="00A91269" w:rsidP="00A91269">
      <w:pPr>
        <w:spacing w:line="240" w:lineRule="auto"/>
        <w:ind w:firstLine="284"/>
        <w:jc w:val="both"/>
        <w:rPr>
          <w:szCs w:val="28"/>
        </w:rPr>
      </w:pPr>
    </w:p>
    <w:p w:rsidR="00A91269" w:rsidRDefault="00A91269" w:rsidP="00A91269">
      <w:pPr>
        <w:spacing w:line="240" w:lineRule="auto"/>
        <w:ind w:firstLine="284"/>
        <w:jc w:val="both"/>
        <w:rPr>
          <w:szCs w:val="28"/>
        </w:rPr>
      </w:pPr>
    </w:p>
    <w:p w:rsidR="00A91269" w:rsidRDefault="00A91269" w:rsidP="00A91269">
      <w:r>
        <w:t xml:space="preserve"> </w:t>
      </w:r>
    </w:p>
    <w:p w:rsidR="00A91269" w:rsidRDefault="00A91269" w:rsidP="00A91269"/>
    <w:p w:rsidR="00A91269" w:rsidRDefault="00867D80" w:rsidP="00A91269">
      <w:pPr>
        <w:ind w:firstLine="284"/>
        <w:rPr>
          <w:szCs w:val="28"/>
        </w:rPr>
      </w:pPr>
      <w:r>
        <w:rPr>
          <w:noProof/>
          <w:szCs w:val="28"/>
        </w:rPr>
        <w:drawing>
          <wp:anchor distT="0" distB="0" distL="114300" distR="114300" simplePos="0" relativeHeight="251669504" behindDoc="0" locked="0" layoutInCell="1" allowOverlap="1" wp14:anchorId="182F86C9" wp14:editId="72527FA1">
            <wp:simplePos x="0" y="0"/>
            <wp:positionH relativeFrom="column">
              <wp:posOffset>2978150</wp:posOffset>
            </wp:positionH>
            <wp:positionV relativeFrom="paragraph">
              <wp:posOffset>282575</wp:posOffset>
            </wp:positionV>
            <wp:extent cx="3038475" cy="2181225"/>
            <wp:effectExtent l="0" t="0" r="9525" b="9525"/>
            <wp:wrapNone/>
            <wp:docPr id="35" name="Рисунок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pic:cNvPicPr>
                  </pic:nvPicPr>
                  <pic:blipFill>
                    <a:blip r:embed="rId72"/>
                    <a:stretch/>
                  </pic:blipFill>
                  <pic:spPr bwMode="auto">
                    <a:xfrm>
                      <a:off x="0" y="0"/>
                      <a:ext cx="3038475" cy="2181225"/>
                    </a:xfrm>
                    <a:prstGeom prst="rect">
                      <a:avLst/>
                    </a:prstGeom>
                    <a:noFill/>
                  </pic:spPr>
                </pic:pic>
              </a:graphicData>
            </a:graphic>
            <wp14:sizeRelH relativeFrom="page">
              <wp14:pctWidth>0</wp14:pctWidth>
            </wp14:sizeRelH>
            <wp14:sizeRelV relativeFrom="page">
              <wp14:pctHeight>0</wp14:pctHeight>
            </wp14:sizeRelV>
          </wp:anchor>
        </w:drawing>
      </w:r>
      <w:r w:rsidR="00A91269">
        <w:rPr>
          <w:noProof/>
        </w:rPr>
        <w:drawing>
          <wp:anchor distT="0" distB="0" distL="114300" distR="114300" simplePos="0" relativeHeight="251663360" behindDoc="0" locked="0" layoutInCell="1" allowOverlap="1" wp14:anchorId="61F74B4B" wp14:editId="671071F5">
            <wp:simplePos x="0" y="0"/>
            <wp:positionH relativeFrom="column">
              <wp:posOffset>4445</wp:posOffset>
            </wp:positionH>
            <wp:positionV relativeFrom="paragraph">
              <wp:posOffset>288925</wp:posOffset>
            </wp:positionV>
            <wp:extent cx="2971800" cy="2181225"/>
            <wp:effectExtent l="0" t="0" r="19050" b="9525"/>
            <wp:wrapNone/>
            <wp:docPr id="34"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14:sizeRelH relativeFrom="page">
              <wp14:pctWidth>0</wp14:pctWidth>
            </wp14:sizeRelH>
            <wp14:sizeRelV relativeFrom="page">
              <wp14:pctHeight>0</wp14:pctHeight>
            </wp14:sizeRelV>
          </wp:anchor>
        </w:drawing>
      </w:r>
      <w:r w:rsidR="00A91269">
        <w:rPr>
          <w:szCs w:val="28"/>
        </w:rPr>
        <w:t>Рис. 5</w:t>
      </w:r>
    </w:p>
    <w:p w:rsidR="00A91269" w:rsidRDefault="00A91269" w:rsidP="00A91269">
      <w:pPr>
        <w:ind w:left="-284"/>
        <w:rPr>
          <w:szCs w:val="28"/>
        </w:rPr>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ind w:firstLine="284"/>
        <w:rPr>
          <w:szCs w:val="28"/>
        </w:rPr>
      </w:pPr>
      <w:r>
        <w:rPr>
          <w:szCs w:val="28"/>
        </w:rPr>
        <w:t>Рис. 6</w:t>
      </w:r>
    </w:p>
    <w:p w:rsidR="00A91269" w:rsidRDefault="00A91269" w:rsidP="00A91269">
      <w:pPr>
        <w:pStyle w:val="af7"/>
        <w:spacing w:before="0" w:after="0"/>
        <w:ind w:firstLine="567"/>
        <w:outlineLvl w:val="0"/>
        <w:rPr>
          <w:b/>
          <w:sz w:val="28"/>
          <w:szCs w:val="28"/>
          <w:u w:val="single"/>
        </w:rPr>
      </w:pPr>
      <w:r>
        <w:rPr>
          <w:b/>
          <w:sz w:val="28"/>
          <w:szCs w:val="28"/>
        </w:rPr>
        <w:t>2.4.1.2. Формирование тарифов</w:t>
      </w:r>
      <w:r>
        <w:rPr>
          <w:b/>
          <w:szCs w:val="28"/>
        </w:rPr>
        <w:t xml:space="preserve"> </w:t>
      </w:r>
      <w:r>
        <w:rPr>
          <w:b/>
          <w:sz w:val="28"/>
          <w:szCs w:val="28"/>
        </w:rPr>
        <w:t>МУП «Комбинат бытовых услуг»</w:t>
      </w:r>
    </w:p>
    <w:p w:rsidR="00A91269" w:rsidRDefault="00A91269" w:rsidP="00A91269">
      <w:pPr>
        <w:ind w:firstLine="567"/>
        <w:jc w:val="both"/>
        <w:rPr>
          <w:rFonts w:eastAsia="Calibri"/>
          <w:szCs w:val="28"/>
          <w:lang w:eastAsia="en-US"/>
        </w:rPr>
      </w:pPr>
      <w:r>
        <w:rPr>
          <w:rFonts w:eastAsia="Calibri"/>
          <w:szCs w:val="28"/>
          <w:lang w:eastAsia="en-US"/>
        </w:rPr>
        <w:t xml:space="preserve">Баланс водоснабжения </w:t>
      </w:r>
      <w:r>
        <w:rPr>
          <w:szCs w:val="28"/>
        </w:rPr>
        <w:t xml:space="preserve">МУП «Комбинат бытовых услуг» </w:t>
      </w:r>
      <w:r>
        <w:rPr>
          <w:rFonts w:eastAsia="Calibri"/>
          <w:szCs w:val="28"/>
          <w:lang w:eastAsia="en-US"/>
        </w:rPr>
        <w:t>за период с 2020 по 2025 годы представлен в таблице.</w:t>
      </w:r>
    </w:p>
    <w:tbl>
      <w:tblPr>
        <w:tblW w:w="10631" w:type="dxa"/>
        <w:tblInd w:w="-459" w:type="dxa"/>
        <w:tblLayout w:type="fixed"/>
        <w:tblLook w:val="04A0" w:firstRow="1" w:lastRow="0" w:firstColumn="1" w:lastColumn="0" w:noHBand="0" w:noVBand="1"/>
      </w:tblPr>
      <w:tblGrid>
        <w:gridCol w:w="567"/>
        <w:gridCol w:w="2552"/>
        <w:gridCol w:w="850"/>
        <w:gridCol w:w="1134"/>
        <w:gridCol w:w="1134"/>
        <w:gridCol w:w="1134"/>
        <w:gridCol w:w="992"/>
        <w:gridCol w:w="1134"/>
        <w:gridCol w:w="1134"/>
      </w:tblGrid>
      <w:tr w:rsidR="00A91269" w:rsidTr="005A5E13">
        <w:trPr>
          <w:trHeight w:val="209"/>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bookmarkStart w:id="94" w:name="RANGE!A1:M92"/>
            <w:bookmarkEnd w:id="94"/>
            <w:r>
              <w:rPr>
                <w:sz w:val="16"/>
                <w:szCs w:val="16"/>
              </w:rPr>
              <w:t>№ п/п</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Наименование</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Ед.</w:t>
            </w:r>
            <w:r>
              <w:rPr>
                <w:sz w:val="16"/>
                <w:szCs w:val="16"/>
              </w:rPr>
              <w:br/>
              <w:t>изм.</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2020</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2021</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2022</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2024</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2025</w:t>
            </w:r>
          </w:p>
        </w:tc>
      </w:tr>
      <w:tr w:rsidR="00A91269" w:rsidTr="005A5E13">
        <w:trPr>
          <w:trHeight w:val="223"/>
        </w:trPr>
        <w:tc>
          <w:tcPr>
            <w:tcW w:w="567"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2552"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r>
      <w:tr w:rsidR="00A91269" w:rsidTr="005A5E13">
        <w:trPr>
          <w:trHeight w:val="27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p>
        </w:tc>
      </w:tr>
      <w:tr w:rsidR="00A91269" w:rsidTr="005A5E13">
        <w:trPr>
          <w:trHeight w:val="232"/>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Водоподготовка</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tcPr>
          <w:p w:rsidR="00A91269" w:rsidRDefault="00A91269" w:rsidP="005A5E13">
            <w:pPr>
              <w:pStyle w:val="af7"/>
              <w:spacing w:before="0" w:after="0" w:afterAutospacing="0"/>
              <w:jc w:val="center"/>
              <w:rPr>
                <w:sz w:val="16"/>
                <w:szCs w:val="16"/>
              </w:rPr>
            </w:pPr>
          </w:p>
        </w:tc>
      </w:tr>
      <w:tr w:rsidR="00A91269" w:rsidTr="005A5E13">
        <w:trPr>
          <w:trHeight w:val="507"/>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rPr>
                <w:sz w:val="16"/>
                <w:szCs w:val="16"/>
              </w:rPr>
            </w:pPr>
            <w:r>
              <w:rPr>
                <w:sz w:val="16"/>
                <w:szCs w:val="16"/>
              </w:rPr>
              <w:t>Объем воды из источников водоснабжения:</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12 676,52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12 042,92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12 672,54</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12 867,72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11 740,98</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11 886,35</w:t>
            </w:r>
          </w:p>
        </w:tc>
      </w:tr>
      <w:tr w:rsidR="00A91269" w:rsidTr="005A5E13">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1.1.1</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из поверхностных источников</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12 676,52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12 042,92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12 672,54</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12 867,72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11 740,98</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11 886,35</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1.1.2</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из подземных источников</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5A5E13">
        <w:trPr>
          <w:trHeight w:val="383"/>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прошедшей водоподготовку</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12 676,52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12 042,92</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12 672,54</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12 867,72</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11 740,98</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11 886,35</w:t>
            </w:r>
          </w:p>
        </w:tc>
      </w:tr>
      <w:tr w:rsidR="00A91269" w:rsidTr="005A5E13">
        <w:trPr>
          <w:trHeight w:val="405"/>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1.2.1</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использованной на нужды ВКХ</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1 976,67</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1 563,86</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1 738,44</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1 847,44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1 738,44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1 847,44</w:t>
            </w:r>
          </w:p>
        </w:tc>
      </w:tr>
      <w:tr w:rsidR="00A91269" w:rsidTr="005A5E13">
        <w:trPr>
          <w:trHeight w:val="408"/>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1.3</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технической воды, поданной в сеть</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5A5E13">
        <w:trPr>
          <w:trHeight w:val="427"/>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1.4</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питьевой воды, поданной в сеть</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10 699,85</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10 479,06</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10 934,10</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11 020,28</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10 002,54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10 038,91</w:t>
            </w:r>
          </w:p>
        </w:tc>
      </w:tr>
      <w:tr w:rsidR="00A91269" w:rsidTr="005A5E13">
        <w:trPr>
          <w:trHeight w:val="263"/>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Транспортировка питьевой воды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5A5E13">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2.1</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поступившей в сеть:</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10 699,85</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10 479,06</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10 934,10</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11 020,28</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10 002,54</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10 038,91</w:t>
            </w:r>
          </w:p>
        </w:tc>
      </w:tr>
      <w:tr w:rsidR="00A91269" w:rsidTr="005A5E13">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2.2</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Потери воды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2 862,05</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2 651,24</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2 867,65</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2 772,37</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1 784,00</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1 791,00</w:t>
            </w:r>
          </w:p>
        </w:tc>
      </w:tr>
      <w:tr w:rsidR="00A91269" w:rsidTr="005A5E13">
        <w:trPr>
          <w:trHeight w:val="532"/>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2.3</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Потребление на собственные нужды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304,56</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338,16</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419,23</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620,53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536,37</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620,53</w:t>
            </w:r>
          </w:p>
        </w:tc>
      </w:tr>
      <w:tr w:rsidR="00A91269" w:rsidTr="005A5E13">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2.4</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отпущенной из сети</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7 837,80</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7 827,82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8 066,45</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8 218,54</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r>
      <w:tr w:rsidR="00A91269" w:rsidTr="005A5E13">
        <w:trPr>
          <w:trHeight w:val="248"/>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Отпуск питьевой воды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5A5E13">
        <w:trPr>
          <w:trHeight w:val="419"/>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воды, отпущенной абонентам:</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7 837,80</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7 827,82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8 066,45</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8 218,54</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r>
      <w:tr w:rsidR="00A91269" w:rsidTr="005A5E13">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3.1.1</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 приборам учета</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6 757,82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6 720,47</w:t>
            </w:r>
          </w:p>
        </w:tc>
        <w:tc>
          <w:tcPr>
            <w:tcW w:w="1134" w:type="dxa"/>
            <w:tcBorders>
              <w:top w:val="single" w:sz="4" w:space="0" w:color="auto"/>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6 968,01</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7 143,44</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7 055,62</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7 143,44</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3.1.2</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 нормативам</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1 079,98</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1 107,35</w:t>
            </w:r>
          </w:p>
        </w:tc>
        <w:tc>
          <w:tcPr>
            <w:tcW w:w="1134" w:type="dxa"/>
            <w:tcBorders>
              <w:top w:val="none" w:sz="4" w:space="0" w:color="000000"/>
              <w:left w:val="none" w:sz="4" w:space="0" w:color="000000"/>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1 098,44</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1 104,49</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1 162,92</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1 104,49</w:t>
            </w:r>
          </w:p>
        </w:tc>
      </w:tr>
      <w:tr w:rsidR="00A91269" w:rsidTr="005A5E13">
        <w:trPr>
          <w:trHeight w:val="28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3.4</w:t>
            </w:r>
          </w:p>
        </w:tc>
        <w:tc>
          <w:tcPr>
            <w:tcW w:w="2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По абонентам</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7 837,80</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7 827,82</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8 066,45</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8 218,54</w:t>
            </w:r>
          </w:p>
        </w:tc>
        <w:tc>
          <w:tcPr>
            <w:tcW w:w="1134"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8 247,91</w:t>
            </w:r>
          </w:p>
        </w:tc>
      </w:tr>
      <w:tr w:rsidR="00A91269" w:rsidTr="005A5E13">
        <w:trPr>
          <w:trHeight w:val="28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3.5</w:t>
            </w:r>
          </w:p>
        </w:tc>
        <w:tc>
          <w:tcPr>
            <w:tcW w:w="2552"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реализации</w:t>
            </w:r>
          </w:p>
        </w:tc>
        <w:tc>
          <w:tcPr>
            <w:tcW w:w="850" w:type="dxa"/>
            <w:tcBorders>
              <w:top w:val="single" w:sz="4" w:space="0" w:color="auto"/>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7 533,24</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7 489,66</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7 647,22</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7 627,38</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7 682,17</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7 627,38</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3.5.1</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бюджетные</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275,60</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327,54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304,80</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311,45</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301,26</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311,45</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3.5.2</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население</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5 637,28</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5 388,94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5 641,09</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5 807,97</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5 265,97</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5 807,97</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3.5.3</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 прочие</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1 620,36</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1 773,18</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1 701,33</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1 507,96</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2 114,94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1 507,96</w:t>
            </w:r>
          </w:p>
        </w:tc>
      </w:tr>
      <w:tr w:rsidR="00A91269" w:rsidTr="005A5E13">
        <w:trPr>
          <w:trHeight w:val="300"/>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3.5.4</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собственным абонентам</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304,56</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338,16</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419,23</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620,53</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536,37</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620,53</w:t>
            </w:r>
          </w:p>
        </w:tc>
      </w:tr>
      <w:tr w:rsidR="00A91269" w:rsidTr="005A5E13">
        <w:trPr>
          <w:trHeight w:val="375"/>
        </w:trPr>
        <w:tc>
          <w:tcPr>
            <w:tcW w:w="567" w:type="dxa"/>
            <w:tcBorders>
              <w:top w:val="none" w:sz="4" w:space="0" w:color="000000"/>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4</w:t>
            </w:r>
          </w:p>
        </w:tc>
        <w:tc>
          <w:tcPr>
            <w:tcW w:w="2552"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Темп изменения потребления воды</w:t>
            </w:r>
          </w:p>
        </w:tc>
        <w:tc>
          <w:tcPr>
            <w:tcW w:w="850" w:type="dxa"/>
            <w:tcBorders>
              <w:top w:val="none" w:sz="4" w:space="0" w:color="000000"/>
              <w:left w:val="none" w:sz="4" w:space="0" w:color="000000"/>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w:t>
            </w: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134"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99,42%</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102,10%</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99,74%</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102,57%</w:t>
            </w:r>
          </w:p>
        </w:tc>
        <w:tc>
          <w:tcPr>
            <w:tcW w:w="1134"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99,27%</w:t>
            </w:r>
          </w:p>
        </w:tc>
      </w:tr>
    </w:tbl>
    <w:p w:rsidR="00A91269" w:rsidRDefault="00A91269" w:rsidP="00A91269">
      <w:pPr>
        <w:spacing w:after="0" w:line="240" w:lineRule="auto"/>
        <w:ind w:firstLine="567"/>
        <w:jc w:val="both"/>
        <w:rPr>
          <w:rFonts w:eastAsia="Calibri"/>
          <w:szCs w:val="28"/>
          <w:lang w:eastAsia="en-US"/>
        </w:rPr>
      </w:pPr>
      <w:r>
        <w:rPr>
          <w:rFonts w:eastAsia="Calibri"/>
          <w:szCs w:val="28"/>
          <w:lang w:eastAsia="en-US"/>
        </w:rPr>
        <w:t>Фактический объём реализации воды за 2023 год сложился в размере 7 627,38 тыс. м</w:t>
      </w:r>
      <w:r>
        <w:rPr>
          <w:rFonts w:eastAsia="Calibri"/>
          <w:szCs w:val="28"/>
          <w:vertAlign w:val="superscript"/>
          <w:lang w:eastAsia="en-US"/>
        </w:rPr>
        <w:t>3</w:t>
      </w:r>
      <w:r>
        <w:rPr>
          <w:rFonts w:eastAsia="Calibri"/>
          <w:szCs w:val="28"/>
          <w:lang w:eastAsia="en-US"/>
        </w:rPr>
        <w:t>, что на 137,72 тыс. м</w:t>
      </w:r>
      <w:r>
        <w:rPr>
          <w:rFonts w:eastAsia="Calibri"/>
          <w:szCs w:val="28"/>
          <w:vertAlign w:val="superscript"/>
          <w:lang w:eastAsia="en-US"/>
        </w:rPr>
        <w:t>3</w:t>
      </w:r>
      <w:r>
        <w:rPr>
          <w:rFonts w:eastAsia="Calibri"/>
          <w:szCs w:val="28"/>
          <w:lang w:eastAsia="en-US"/>
        </w:rPr>
        <w:t xml:space="preserve"> (1,80 %) выше плановой величины    </w:t>
      </w:r>
      <w:r>
        <w:rPr>
          <w:szCs w:val="28"/>
        </w:rPr>
        <w:t>(7 489,66 тыс. м</w:t>
      </w:r>
      <w:r>
        <w:rPr>
          <w:szCs w:val="28"/>
          <w:vertAlign w:val="superscript"/>
        </w:rPr>
        <w:t>3</w:t>
      </w:r>
      <w:r>
        <w:rPr>
          <w:szCs w:val="28"/>
        </w:rPr>
        <w:t>)</w:t>
      </w:r>
      <w:r>
        <w:rPr>
          <w:rFonts w:eastAsia="Calibri"/>
          <w:szCs w:val="28"/>
          <w:lang w:eastAsia="en-US"/>
        </w:rPr>
        <w:t>, в том числе по категориям потребителей:</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 «бюджетные» - снижение на 16,09 тыс. м</w:t>
      </w:r>
      <w:r>
        <w:rPr>
          <w:rFonts w:eastAsiaTheme="minorHAnsi"/>
          <w:szCs w:val="28"/>
          <w:vertAlign w:val="superscript"/>
          <w:lang w:eastAsia="en-US"/>
        </w:rPr>
        <w:t>3</w:t>
      </w:r>
      <w:r>
        <w:rPr>
          <w:rFonts w:eastAsiaTheme="minorHAnsi"/>
          <w:szCs w:val="28"/>
          <w:lang w:eastAsia="en-US"/>
        </w:rPr>
        <w:t xml:space="preserve"> (4,9 %),</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 «население» - увеличение на 419,03 тыс. м</w:t>
      </w:r>
      <w:r>
        <w:rPr>
          <w:rFonts w:eastAsiaTheme="minorHAnsi"/>
          <w:szCs w:val="28"/>
          <w:vertAlign w:val="superscript"/>
          <w:lang w:eastAsia="en-US"/>
        </w:rPr>
        <w:t xml:space="preserve">3 </w:t>
      </w:r>
      <w:r>
        <w:rPr>
          <w:rFonts w:eastAsiaTheme="minorHAnsi"/>
          <w:szCs w:val="28"/>
          <w:lang w:eastAsia="en-US"/>
        </w:rPr>
        <w:t>(7,8 %),</w:t>
      </w:r>
    </w:p>
    <w:p w:rsidR="00A91269" w:rsidRDefault="00A91269" w:rsidP="00A91269">
      <w:pPr>
        <w:spacing w:after="0" w:line="240" w:lineRule="auto"/>
        <w:ind w:firstLine="567"/>
        <w:jc w:val="both"/>
        <w:rPr>
          <w:rFonts w:eastAsia="Calibri"/>
          <w:szCs w:val="28"/>
          <w:highlight w:val="yellow"/>
          <w:lang w:eastAsia="en-US"/>
        </w:rPr>
      </w:pPr>
      <w:r>
        <w:rPr>
          <w:rFonts w:eastAsiaTheme="minorHAnsi"/>
          <w:szCs w:val="28"/>
          <w:lang w:eastAsia="en-US"/>
        </w:rPr>
        <w:t>- «прочие»- снижение на 265,22 тыс. м</w:t>
      </w:r>
      <w:r>
        <w:rPr>
          <w:rFonts w:eastAsiaTheme="minorHAnsi"/>
          <w:szCs w:val="28"/>
          <w:vertAlign w:val="superscript"/>
          <w:lang w:eastAsia="en-US"/>
        </w:rPr>
        <w:t>3</w:t>
      </w:r>
      <w:r>
        <w:rPr>
          <w:rFonts w:eastAsiaTheme="minorHAnsi"/>
          <w:szCs w:val="28"/>
          <w:lang w:eastAsia="en-US"/>
        </w:rPr>
        <w:t>(15,0%)</w:t>
      </w:r>
      <w:r>
        <w:rPr>
          <w:rFonts w:eastAsiaTheme="minorHAnsi"/>
          <w:i/>
          <w:szCs w:val="28"/>
          <w:lang w:eastAsia="en-US"/>
        </w:rPr>
        <w:t>.</w:t>
      </w:r>
    </w:p>
    <w:p w:rsidR="00A91269" w:rsidRPr="008F6E21" w:rsidRDefault="00A91269" w:rsidP="00A91269">
      <w:pPr>
        <w:spacing w:after="0" w:line="240" w:lineRule="auto"/>
        <w:ind w:firstLine="567"/>
        <w:jc w:val="both"/>
        <w:rPr>
          <w:rFonts w:eastAsiaTheme="minorHAnsi"/>
          <w:szCs w:val="28"/>
        </w:rPr>
      </w:pPr>
      <w:r w:rsidRPr="008F6E21">
        <w:rPr>
          <w:rFonts w:eastAsiaTheme="minorHAnsi"/>
          <w:szCs w:val="28"/>
          <w:lang w:eastAsia="en-US"/>
        </w:rPr>
        <w:lastRenderedPageBreak/>
        <w:t>Потребление воды на собственные нужды в 2023 году составило 620,53 тыс. м</w:t>
      </w:r>
      <w:r w:rsidRPr="008F6E21">
        <w:rPr>
          <w:rFonts w:eastAsiaTheme="minorHAnsi"/>
          <w:szCs w:val="28"/>
          <w:vertAlign w:val="superscript"/>
          <w:lang w:eastAsia="en-US"/>
        </w:rPr>
        <w:t>3</w:t>
      </w:r>
      <w:r w:rsidRPr="008F6E21">
        <w:rPr>
          <w:rFonts w:eastAsiaTheme="minorHAnsi"/>
          <w:szCs w:val="28"/>
          <w:lang w:eastAsia="en-US"/>
        </w:rPr>
        <w:t>, что на 282,37 тыс. м</w:t>
      </w:r>
      <w:r w:rsidRPr="008F6E21">
        <w:rPr>
          <w:rFonts w:eastAsiaTheme="minorHAnsi"/>
          <w:szCs w:val="28"/>
          <w:vertAlign w:val="superscript"/>
          <w:lang w:eastAsia="en-US"/>
        </w:rPr>
        <w:t>3</w:t>
      </w:r>
      <w:r w:rsidRPr="008F6E21">
        <w:rPr>
          <w:rFonts w:eastAsiaTheme="minorHAnsi"/>
          <w:szCs w:val="28"/>
          <w:lang w:eastAsia="en-US"/>
        </w:rPr>
        <w:t xml:space="preserve"> (83,5%) выше плановой величины.</w:t>
      </w:r>
    </w:p>
    <w:p w:rsidR="00A91269" w:rsidRDefault="00A91269" w:rsidP="00A91269">
      <w:pPr>
        <w:spacing w:after="0" w:line="240" w:lineRule="auto"/>
        <w:ind w:firstLine="567"/>
        <w:jc w:val="both"/>
        <w:rPr>
          <w:szCs w:val="28"/>
          <w:highlight w:val="yellow"/>
        </w:rPr>
      </w:pPr>
      <w:r>
        <w:rPr>
          <w:szCs w:val="28"/>
        </w:rPr>
        <w:t>Фактические потери воды составили в 2023 году 2 772,37 тыс. м</w:t>
      </w:r>
      <w:r>
        <w:rPr>
          <w:szCs w:val="28"/>
          <w:vertAlign w:val="superscript"/>
        </w:rPr>
        <w:t>3</w:t>
      </w:r>
      <w:r>
        <w:rPr>
          <w:szCs w:val="28"/>
        </w:rPr>
        <w:t>, что на 502,37 тыс. м</w:t>
      </w:r>
      <w:r>
        <w:rPr>
          <w:szCs w:val="28"/>
          <w:vertAlign w:val="superscript"/>
        </w:rPr>
        <w:t>3</w:t>
      </w:r>
      <w:r>
        <w:rPr>
          <w:szCs w:val="28"/>
        </w:rPr>
        <w:t xml:space="preserve"> (22,1%) выше плановой величины (учтённой при утверждении тарифа).</w:t>
      </w:r>
    </w:p>
    <w:p w:rsidR="00A91269" w:rsidRDefault="00A91269" w:rsidP="00A91269">
      <w:pPr>
        <w:spacing w:after="0" w:line="240" w:lineRule="auto"/>
        <w:ind w:firstLine="567"/>
        <w:jc w:val="both"/>
        <w:rPr>
          <w:rFonts w:eastAsia="Calibri"/>
          <w:bCs/>
          <w:szCs w:val="28"/>
          <w:lang w:eastAsia="en-US"/>
        </w:rPr>
      </w:pPr>
      <w:r>
        <w:rPr>
          <w:rFonts w:eastAsia="Calibri"/>
          <w:bCs/>
          <w:szCs w:val="28"/>
          <w:lang w:eastAsia="en-US"/>
        </w:rPr>
        <w:t xml:space="preserve">Объём отпуска питьевой воды (реализация) учтён департаментом для расчёта тарифов на питьевую воду (питьевое водоснабжение) на 2025 год в размере </w:t>
      </w:r>
      <w:r>
        <w:rPr>
          <w:rFonts w:eastAsia="Calibri"/>
          <w:b/>
          <w:bCs/>
          <w:szCs w:val="28"/>
          <w:lang w:eastAsia="en-US"/>
        </w:rPr>
        <w:t>7 627,38</w:t>
      </w:r>
      <w:r>
        <w:rPr>
          <w:rFonts w:eastAsia="Calibri"/>
          <w:bCs/>
          <w:szCs w:val="28"/>
          <w:lang w:eastAsia="en-US"/>
        </w:rPr>
        <w:t xml:space="preserve"> тыс. м</w:t>
      </w:r>
      <w:r>
        <w:rPr>
          <w:rFonts w:eastAsia="Calibri"/>
          <w:bCs/>
          <w:szCs w:val="28"/>
          <w:vertAlign w:val="superscript"/>
          <w:lang w:eastAsia="en-US"/>
        </w:rPr>
        <w:t>3</w:t>
      </w:r>
      <w:r>
        <w:rPr>
          <w:rFonts w:eastAsia="Calibri"/>
          <w:bCs/>
          <w:szCs w:val="28"/>
          <w:lang w:eastAsia="en-US"/>
        </w:rPr>
        <w:t>, на уровне фактической величины 2023 года.</w:t>
      </w:r>
    </w:p>
    <w:p w:rsidR="00A91269" w:rsidRDefault="00A91269" w:rsidP="00A91269">
      <w:pPr>
        <w:spacing w:after="0" w:line="240" w:lineRule="auto"/>
        <w:ind w:firstLine="567"/>
        <w:jc w:val="both"/>
        <w:rPr>
          <w:rFonts w:eastAsia="Calibri"/>
          <w:szCs w:val="28"/>
          <w:lang w:eastAsia="en-US"/>
        </w:rPr>
      </w:pPr>
    </w:p>
    <w:p w:rsidR="00A91269" w:rsidRDefault="00A91269" w:rsidP="00A91269">
      <w:pPr>
        <w:spacing w:after="0" w:line="240" w:lineRule="auto"/>
        <w:ind w:firstLine="567"/>
        <w:jc w:val="both"/>
        <w:rPr>
          <w:rFonts w:eastAsia="Calibri"/>
          <w:szCs w:val="28"/>
          <w:lang w:eastAsia="en-US"/>
        </w:rPr>
      </w:pPr>
      <w:r>
        <w:rPr>
          <w:rFonts w:eastAsia="Calibri"/>
          <w:szCs w:val="28"/>
          <w:lang w:eastAsia="en-US"/>
        </w:rPr>
        <w:t xml:space="preserve">Баланс водоотведения </w:t>
      </w:r>
      <w:r>
        <w:rPr>
          <w:szCs w:val="28"/>
        </w:rPr>
        <w:t xml:space="preserve">МУП «Комбинат бытовых услуг» </w:t>
      </w:r>
      <w:r>
        <w:rPr>
          <w:rFonts w:eastAsia="Calibri"/>
          <w:szCs w:val="28"/>
          <w:lang w:eastAsia="en-US"/>
        </w:rPr>
        <w:t>за период с 2020 по 2025 годы представлен в таблице.</w:t>
      </w:r>
    </w:p>
    <w:tbl>
      <w:tblPr>
        <w:tblW w:w="9214" w:type="dxa"/>
        <w:tblInd w:w="108" w:type="dxa"/>
        <w:tblLayout w:type="fixed"/>
        <w:tblLook w:val="04A0" w:firstRow="1" w:lastRow="0" w:firstColumn="1" w:lastColumn="0" w:noHBand="0" w:noVBand="1"/>
      </w:tblPr>
      <w:tblGrid>
        <w:gridCol w:w="739"/>
        <w:gridCol w:w="1839"/>
        <w:gridCol w:w="735"/>
        <w:gridCol w:w="980"/>
        <w:gridCol w:w="980"/>
        <w:gridCol w:w="980"/>
        <w:gridCol w:w="980"/>
        <w:gridCol w:w="989"/>
        <w:gridCol w:w="992"/>
      </w:tblGrid>
      <w:tr w:rsidR="00A91269" w:rsidTr="007F1DFA">
        <w:trPr>
          <w:trHeight w:val="213"/>
        </w:trPr>
        <w:tc>
          <w:tcPr>
            <w:tcW w:w="7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bookmarkStart w:id="95" w:name="RANGE!A1:I41"/>
            <w:bookmarkEnd w:id="95"/>
            <w:r>
              <w:rPr>
                <w:sz w:val="16"/>
                <w:szCs w:val="16"/>
              </w:rPr>
              <w:t>№ п/п</w:t>
            </w:r>
          </w:p>
        </w:tc>
        <w:tc>
          <w:tcPr>
            <w:tcW w:w="183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Наименование</w:t>
            </w:r>
          </w:p>
        </w:tc>
        <w:tc>
          <w:tcPr>
            <w:tcW w:w="73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center"/>
              <w:rPr>
                <w:sz w:val="16"/>
                <w:szCs w:val="16"/>
              </w:rPr>
            </w:pPr>
            <w:r>
              <w:rPr>
                <w:sz w:val="16"/>
                <w:szCs w:val="16"/>
              </w:rPr>
              <w:t>Ед.</w:t>
            </w:r>
            <w:r>
              <w:rPr>
                <w:sz w:val="16"/>
                <w:szCs w:val="16"/>
              </w:rPr>
              <w:br/>
              <w:t>изм.</w:t>
            </w:r>
          </w:p>
        </w:tc>
        <w:tc>
          <w:tcPr>
            <w:tcW w:w="98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2020</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2021</w:t>
            </w:r>
          </w:p>
        </w:tc>
        <w:tc>
          <w:tcPr>
            <w:tcW w:w="98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2022</w:t>
            </w:r>
          </w:p>
        </w:tc>
        <w:tc>
          <w:tcPr>
            <w:tcW w:w="98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2023</w:t>
            </w:r>
          </w:p>
        </w:tc>
        <w:tc>
          <w:tcPr>
            <w:tcW w:w="989"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2024</w:t>
            </w:r>
          </w:p>
        </w:tc>
        <w:tc>
          <w:tcPr>
            <w:tcW w:w="992"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2025</w:t>
            </w:r>
          </w:p>
        </w:tc>
      </w:tr>
      <w:tr w:rsidR="00A91269" w:rsidTr="007F1DFA">
        <w:trPr>
          <w:trHeight w:val="138"/>
        </w:trPr>
        <w:tc>
          <w:tcPr>
            <w:tcW w:w="739"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1839"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735" w:type="dxa"/>
            <w:vMerge/>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80" w:type="dxa"/>
            <w:tcBorders>
              <w:top w:val="none" w:sz="4" w:space="0" w:color="000000"/>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80"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80" w:type="dxa"/>
            <w:tcBorders>
              <w:top w:val="single" w:sz="4" w:space="0" w:color="auto"/>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факт</w:t>
            </w:r>
          </w:p>
        </w:tc>
        <w:tc>
          <w:tcPr>
            <w:tcW w:w="989"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c>
          <w:tcPr>
            <w:tcW w:w="992" w:type="dxa"/>
            <w:tcBorders>
              <w:top w:val="none" w:sz="4" w:space="0" w:color="000000"/>
              <w:left w:val="none" w:sz="4" w:space="0" w:color="000000"/>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план</w:t>
            </w:r>
          </w:p>
        </w:tc>
      </w:tr>
      <w:tr w:rsidR="00A91269" w:rsidTr="007F1DFA">
        <w:trPr>
          <w:trHeight w:val="207"/>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w:t>
            </w:r>
          </w:p>
        </w:tc>
      </w:tr>
      <w:tr w:rsidR="00A91269" w:rsidTr="007F1DFA">
        <w:trPr>
          <w:trHeight w:val="159"/>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Прием сточных вод</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7F1DFA">
        <w:trPr>
          <w:trHeight w:val="352"/>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1.1</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rPr>
                <w:sz w:val="16"/>
                <w:szCs w:val="16"/>
              </w:rPr>
            </w:pPr>
            <w:r>
              <w:rPr>
                <w:sz w:val="16"/>
                <w:szCs w:val="16"/>
              </w:rPr>
              <w:t>Объем сточных вод, принятых у абонентов</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6 563,42</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6 662,11</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6 714,48</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6 576,14</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6 701,13</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6 576,14</w:t>
            </w:r>
          </w:p>
        </w:tc>
      </w:tr>
      <w:tr w:rsidR="00A91269" w:rsidTr="007F1DFA">
        <w:trPr>
          <w:trHeight w:val="284"/>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у прочих абонентов, в том числе:</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6 520,65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6 623,80</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6 676,43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6 535,30</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6 663,08</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6 535,30</w:t>
            </w:r>
          </w:p>
        </w:tc>
      </w:tr>
      <w:tr w:rsidR="00A91269" w:rsidTr="007F1DFA">
        <w:trPr>
          <w:trHeight w:val="188"/>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1.2.1</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бюджетные</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344,76</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414,82</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394,40</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396,65</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393,61</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396,65</w:t>
            </w:r>
          </w:p>
        </w:tc>
      </w:tr>
      <w:tr w:rsidR="00A91269" w:rsidTr="007F1DFA">
        <w:trPr>
          <w:trHeight w:val="201"/>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1.2.2</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население</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4 683,53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4 591,30</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4 852,14</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5 008,00</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4 842,44</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5 008,00</w:t>
            </w:r>
          </w:p>
        </w:tc>
      </w:tr>
      <w:tr w:rsidR="00A91269" w:rsidTr="007F1DFA">
        <w:trPr>
          <w:trHeight w:val="195"/>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1.2.3</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прочие</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1 492,36</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1 617,68</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1 429,89</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1 130,65</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1 427,03</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1 130,65</w:t>
            </w:r>
          </w:p>
        </w:tc>
      </w:tr>
      <w:tr w:rsidR="00A91269" w:rsidTr="007F1DFA">
        <w:trPr>
          <w:trHeight w:val="178"/>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1.2.4</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от собственных абонентов</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42,77</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38,31</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38,05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40,84</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38,05</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40,84</w:t>
            </w:r>
          </w:p>
        </w:tc>
      </w:tr>
      <w:tr w:rsidR="00A91269" w:rsidTr="007F1DFA">
        <w:trPr>
          <w:trHeight w:val="306"/>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1.3</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Неучтенный приток сточных вод</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1 600,43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1 759,44</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1 337,15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1 223,86</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103,40</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7F1DFA">
        <w:trPr>
          <w:trHeight w:val="325"/>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Объем транспортируемых сточных вод</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8 163,85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8 421,55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8 051,63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7 800,00</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6 804,53</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6 576,14</w:t>
            </w:r>
          </w:p>
        </w:tc>
      </w:tr>
      <w:tr w:rsidR="00A91269" w:rsidTr="007F1DFA">
        <w:trPr>
          <w:trHeight w:val="280"/>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2.1</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both"/>
              <w:rPr>
                <w:sz w:val="16"/>
                <w:szCs w:val="16"/>
              </w:rPr>
            </w:pPr>
            <w:r>
              <w:rPr>
                <w:sz w:val="16"/>
                <w:szCs w:val="16"/>
              </w:rPr>
              <w:t>На собственные очистные сооружения</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r>
      <w:tr w:rsidR="00A91269" w:rsidTr="007F1DFA">
        <w:trPr>
          <w:trHeight w:val="393"/>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2.2</w:t>
            </w: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Другим организациям (МУП г. Новосибирска "ГОРВОДОКАНАЛ")</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тыс. м</w:t>
            </w:r>
            <w:r>
              <w:rPr>
                <w:sz w:val="16"/>
                <w:szCs w:val="16"/>
                <w:vertAlign w:val="superscript"/>
              </w:rPr>
              <w:t>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8 163,85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8 421,55</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8 051,63</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7 800,00</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6 804,53</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6 576,14</w:t>
            </w:r>
          </w:p>
        </w:tc>
      </w:tr>
      <w:tr w:rsidR="00A91269" w:rsidTr="007F1DFA">
        <w:trPr>
          <w:trHeight w:val="330"/>
        </w:trPr>
        <w:tc>
          <w:tcPr>
            <w:tcW w:w="7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3</w:t>
            </w: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rsidR="00A91269" w:rsidRDefault="00A91269" w:rsidP="005A5E13">
            <w:pPr>
              <w:pStyle w:val="af7"/>
              <w:spacing w:before="0" w:after="0" w:afterAutospacing="0"/>
              <w:jc w:val="both"/>
              <w:rPr>
                <w:sz w:val="16"/>
                <w:szCs w:val="16"/>
              </w:rPr>
            </w:pPr>
            <w:r>
              <w:rPr>
                <w:sz w:val="16"/>
                <w:szCs w:val="16"/>
              </w:rPr>
              <w:t>Темп изменения объема отводимых сточных вод</w:t>
            </w:r>
          </w:p>
        </w:tc>
        <w:tc>
          <w:tcPr>
            <w:tcW w:w="7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1269" w:rsidRDefault="00A91269" w:rsidP="005A5E13">
            <w:pPr>
              <w:pStyle w:val="af7"/>
              <w:spacing w:before="0" w:after="0" w:afterAutospacing="0"/>
              <w:jc w:val="center"/>
              <w:rPr>
                <w:sz w:val="16"/>
                <w:szCs w:val="16"/>
              </w:rPr>
            </w:pPr>
            <w:r>
              <w:rPr>
                <w:sz w:val="16"/>
                <w:szCs w:val="16"/>
              </w:rPr>
              <w:t>%</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101,6%</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100,79%</w:t>
            </w:r>
          </w:p>
        </w:tc>
        <w:tc>
          <w:tcPr>
            <w:tcW w:w="980"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97,89%</w:t>
            </w:r>
          </w:p>
        </w:tc>
        <w:tc>
          <w:tcPr>
            <w:tcW w:w="989"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100,86%</w:t>
            </w:r>
          </w:p>
        </w:tc>
        <w:tc>
          <w:tcPr>
            <w:tcW w:w="992" w:type="dxa"/>
            <w:tcBorders>
              <w:top w:val="single" w:sz="4" w:space="0" w:color="auto"/>
              <w:left w:val="single" w:sz="4" w:space="0" w:color="auto"/>
              <w:bottom w:val="single" w:sz="4" w:space="0" w:color="auto"/>
              <w:right w:val="single" w:sz="4" w:space="0" w:color="auto"/>
            </w:tcBorders>
            <w:vAlign w:val="center"/>
          </w:tcPr>
          <w:p w:rsidR="00A91269" w:rsidRDefault="00A91269" w:rsidP="005A5E13">
            <w:pPr>
              <w:pStyle w:val="af7"/>
              <w:spacing w:before="0" w:after="0" w:afterAutospacing="0"/>
              <w:jc w:val="center"/>
              <w:rPr>
                <w:sz w:val="16"/>
                <w:szCs w:val="16"/>
              </w:rPr>
            </w:pPr>
            <w:r>
              <w:rPr>
                <w:sz w:val="16"/>
                <w:szCs w:val="16"/>
              </w:rPr>
              <w:t>98,08%</w:t>
            </w:r>
          </w:p>
        </w:tc>
      </w:tr>
    </w:tbl>
    <w:p w:rsidR="00A91269" w:rsidRDefault="00A91269" w:rsidP="00A91269">
      <w:pPr>
        <w:spacing w:after="0" w:line="240" w:lineRule="auto"/>
        <w:ind w:firstLine="567"/>
        <w:jc w:val="both"/>
        <w:rPr>
          <w:rFonts w:eastAsia="Calibri"/>
          <w:szCs w:val="28"/>
          <w:lang w:eastAsia="en-US"/>
        </w:rPr>
      </w:pPr>
    </w:p>
    <w:p w:rsidR="00A91269" w:rsidRPr="008F6E21" w:rsidRDefault="00A91269" w:rsidP="00A91269">
      <w:pPr>
        <w:spacing w:after="0" w:line="240" w:lineRule="auto"/>
        <w:ind w:firstLine="567"/>
        <w:jc w:val="both"/>
        <w:rPr>
          <w:rFonts w:eastAsia="Times New Roman"/>
          <w:bCs/>
          <w:szCs w:val="28"/>
        </w:rPr>
      </w:pPr>
      <w:r w:rsidRPr="008F6E21">
        <w:rPr>
          <w:rFonts w:eastAsia="Calibri"/>
          <w:szCs w:val="28"/>
          <w:lang w:eastAsia="en-US"/>
        </w:rPr>
        <w:t>Фактический объём реализации сточных вод за 2023 год сложился в размере 6 535,30 тыс. м</w:t>
      </w:r>
      <w:r w:rsidRPr="008F6E21">
        <w:rPr>
          <w:rFonts w:eastAsia="Calibri"/>
          <w:szCs w:val="28"/>
          <w:vertAlign w:val="superscript"/>
          <w:lang w:eastAsia="en-US"/>
        </w:rPr>
        <w:t>3</w:t>
      </w:r>
      <w:r w:rsidRPr="008F6E21">
        <w:rPr>
          <w:rFonts w:eastAsia="Calibri"/>
          <w:szCs w:val="28"/>
          <w:lang w:eastAsia="en-US"/>
        </w:rPr>
        <w:t>, что на 71,28 тыс. м</w:t>
      </w:r>
      <w:r w:rsidRPr="008F6E21">
        <w:rPr>
          <w:rFonts w:eastAsia="Calibri"/>
          <w:szCs w:val="28"/>
          <w:vertAlign w:val="superscript"/>
          <w:lang w:eastAsia="en-US"/>
        </w:rPr>
        <w:t>3</w:t>
      </w:r>
      <w:r w:rsidRPr="008F6E21">
        <w:rPr>
          <w:rFonts w:eastAsia="Calibri"/>
          <w:szCs w:val="28"/>
          <w:lang w:eastAsia="en-US"/>
        </w:rPr>
        <w:t xml:space="preserve"> (1,1 %) ниже плановой величины </w:t>
      </w:r>
      <w:r w:rsidRPr="008F6E21">
        <w:rPr>
          <w:rFonts w:eastAsiaTheme="minorHAnsi"/>
          <w:szCs w:val="28"/>
          <w:lang w:eastAsia="en-US"/>
        </w:rPr>
        <w:t>(6 606,58 тыс. м</w:t>
      </w:r>
      <w:r w:rsidRPr="008F6E21">
        <w:rPr>
          <w:rFonts w:eastAsiaTheme="minorHAnsi"/>
          <w:szCs w:val="28"/>
          <w:vertAlign w:val="superscript"/>
          <w:lang w:eastAsia="en-US"/>
        </w:rPr>
        <w:t>3</w:t>
      </w:r>
      <w:r w:rsidRPr="008F6E21">
        <w:rPr>
          <w:rFonts w:eastAsiaTheme="minorHAnsi"/>
          <w:szCs w:val="28"/>
          <w:lang w:eastAsia="en-US"/>
        </w:rPr>
        <w:t>); в том числе по категориям потребителей:</w:t>
      </w:r>
    </w:p>
    <w:p w:rsidR="00A91269" w:rsidRPr="008F6E21" w:rsidRDefault="00A91269" w:rsidP="00A91269">
      <w:pPr>
        <w:spacing w:after="0" w:line="240" w:lineRule="auto"/>
        <w:ind w:firstLine="567"/>
        <w:jc w:val="both"/>
        <w:rPr>
          <w:rFonts w:eastAsiaTheme="minorHAnsi"/>
          <w:szCs w:val="28"/>
        </w:rPr>
      </w:pPr>
      <w:r w:rsidRPr="008F6E21">
        <w:rPr>
          <w:rFonts w:eastAsiaTheme="minorHAnsi"/>
          <w:szCs w:val="28"/>
          <w:lang w:eastAsia="en-US"/>
        </w:rPr>
        <w:t>- «бюджетные» - увеличение на 38,81 тыс. м</w:t>
      </w:r>
      <w:r w:rsidRPr="008F6E21">
        <w:rPr>
          <w:rFonts w:eastAsiaTheme="minorHAnsi"/>
          <w:szCs w:val="28"/>
          <w:vertAlign w:val="superscript"/>
          <w:lang w:eastAsia="en-US"/>
        </w:rPr>
        <w:t>3</w:t>
      </w:r>
      <w:r w:rsidRPr="008F6E21">
        <w:rPr>
          <w:rFonts w:eastAsiaTheme="minorHAnsi"/>
          <w:szCs w:val="28"/>
          <w:lang w:eastAsia="en-US"/>
        </w:rPr>
        <w:t xml:space="preserve"> (10,8 %),</w:t>
      </w:r>
    </w:p>
    <w:p w:rsidR="00A91269" w:rsidRPr="008F6E21" w:rsidRDefault="00A91269" w:rsidP="00A91269">
      <w:pPr>
        <w:spacing w:after="0" w:line="240" w:lineRule="auto"/>
        <w:ind w:firstLine="567"/>
        <w:jc w:val="both"/>
        <w:rPr>
          <w:rFonts w:eastAsiaTheme="minorHAnsi"/>
          <w:szCs w:val="28"/>
        </w:rPr>
      </w:pPr>
      <w:r w:rsidRPr="008F6E21">
        <w:rPr>
          <w:rFonts w:eastAsiaTheme="minorHAnsi"/>
          <w:szCs w:val="28"/>
          <w:lang w:eastAsia="en-US"/>
        </w:rPr>
        <w:t>- «население» - увеличение на 338,69 тыс. м</w:t>
      </w:r>
      <w:r w:rsidRPr="008F6E21">
        <w:rPr>
          <w:rFonts w:eastAsiaTheme="minorHAnsi"/>
          <w:szCs w:val="28"/>
          <w:vertAlign w:val="superscript"/>
          <w:lang w:eastAsia="en-US"/>
        </w:rPr>
        <w:t xml:space="preserve">3 </w:t>
      </w:r>
      <w:r w:rsidRPr="008F6E21">
        <w:rPr>
          <w:rFonts w:eastAsiaTheme="minorHAnsi"/>
          <w:szCs w:val="28"/>
          <w:lang w:eastAsia="en-US"/>
        </w:rPr>
        <w:t>(7,3 %),</w:t>
      </w:r>
    </w:p>
    <w:p w:rsidR="00A91269" w:rsidRPr="008F6E21" w:rsidRDefault="00A91269" w:rsidP="00A91269">
      <w:pPr>
        <w:spacing w:after="0" w:line="240" w:lineRule="auto"/>
        <w:ind w:firstLine="567"/>
        <w:jc w:val="both"/>
        <w:rPr>
          <w:rFonts w:eastAsiaTheme="minorHAnsi"/>
          <w:i/>
          <w:szCs w:val="28"/>
        </w:rPr>
      </w:pPr>
      <w:r w:rsidRPr="008F6E21">
        <w:rPr>
          <w:rFonts w:eastAsiaTheme="minorHAnsi"/>
          <w:szCs w:val="28"/>
          <w:lang w:eastAsia="en-US"/>
        </w:rPr>
        <w:t>- «прочие» - снижение на 448,78 тыс. м</w:t>
      </w:r>
      <w:r w:rsidRPr="008F6E21">
        <w:rPr>
          <w:rFonts w:eastAsiaTheme="minorHAnsi"/>
          <w:szCs w:val="28"/>
          <w:vertAlign w:val="superscript"/>
          <w:lang w:eastAsia="en-US"/>
        </w:rPr>
        <w:t>3</w:t>
      </w:r>
      <w:r w:rsidRPr="008F6E21">
        <w:rPr>
          <w:rFonts w:eastAsiaTheme="minorHAnsi"/>
          <w:szCs w:val="28"/>
          <w:lang w:eastAsia="en-US"/>
        </w:rPr>
        <w:t>(28,4%)</w:t>
      </w:r>
      <w:r w:rsidRPr="008F6E21">
        <w:rPr>
          <w:rFonts w:eastAsiaTheme="minorHAnsi"/>
          <w:i/>
          <w:szCs w:val="28"/>
          <w:lang w:eastAsia="en-US"/>
        </w:rPr>
        <w:t>.</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 xml:space="preserve">Объём принятых сточных вод при корректировке на 2025 год тарифов на водоотведение, установленный на долгосрочный период регулирования 2024-2028 годов, принят в размере </w:t>
      </w:r>
      <w:r>
        <w:rPr>
          <w:rFonts w:eastAsiaTheme="minorHAnsi"/>
          <w:b/>
          <w:szCs w:val="28"/>
          <w:lang w:eastAsia="en-US"/>
        </w:rPr>
        <w:t>6 535,30</w:t>
      </w:r>
      <w:r>
        <w:rPr>
          <w:rFonts w:eastAsiaTheme="minorHAnsi"/>
          <w:szCs w:val="28"/>
          <w:lang w:eastAsia="en-US"/>
        </w:rPr>
        <w:t xml:space="preserve"> тыс. м</w:t>
      </w:r>
      <w:r>
        <w:rPr>
          <w:rFonts w:eastAsiaTheme="minorHAnsi"/>
          <w:szCs w:val="28"/>
          <w:vertAlign w:val="superscript"/>
          <w:lang w:eastAsia="en-US"/>
        </w:rPr>
        <w:t>3</w:t>
      </w:r>
      <w:r>
        <w:rPr>
          <w:rFonts w:eastAsiaTheme="minorHAnsi"/>
          <w:szCs w:val="28"/>
          <w:lang w:eastAsia="en-US"/>
        </w:rPr>
        <w:t>, на уровне фактической величины 2023 года.</w:t>
      </w:r>
    </w:p>
    <w:p w:rsidR="00F75F48" w:rsidRDefault="00A91269" w:rsidP="00F75F48">
      <w:pPr>
        <w:spacing w:after="0" w:line="240" w:lineRule="auto"/>
        <w:ind w:firstLine="567"/>
        <w:jc w:val="both"/>
        <w:rPr>
          <w:bCs/>
          <w:szCs w:val="28"/>
        </w:rPr>
      </w:pPr>
      <w:r>
        <w:rPr>
          <w:noProof/>
        </w:rPr>
        <w:lastRenderedPageBreak/>
        <w:drawing>
          <wp:anchor distT="0" distB="0" distL="114300" distR="114300" simplePos="0" relativeHeight="251672576" behindDoc="0" locked="0" layoutInCell="1" allowOverlap="1" wp14:anchorId="7CF0AB8D" wp14:editId="37F2417A">
            <wp:simplePos x="0" y="0"/>
            <wp:positionH relativeFrom="column">
              <wp:posOffset>50800</wp:posOffset>
            </wp:positionH>
            <wp:positionV relativeFrom="paragraph">
              <wp:posOffset>815340</wp:posOffset>
            </wp:positionV>
            <wp:extent cx="5544820" cy="2297430"/>
            <wp:effectExtent l="0" t="0" r="17780" b="26670"/>
            <wp:wrapTopAndBottom/>
            <wp:docPr id="3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14:sizeRelH relativeFrom="page">
              <wp14:pctWidth>0</wp14:pctWidth>
            </wp14:sizeRelH>
            <wp14:sizeRelV relativeFrom="page">
              <wp14:pctHeight>0</wp14:pctHeight>
            </wp14:sizeRelV>
          </wp:anchor>
        </w:drawing>
      </w:r>
      <w:r>
        <w:rPr>
          <w:bCs/>
          <w:szCs w:val="28"/>
        </w:rPr>
        <w:t xml:space="preserve">Динамика объёмов реализации питьевой воды и сточных вод </w:t>
      </w:r>
      <w:r>
        <w:rPr>
          <w:szCs w:val="28"/>
        </w:rPr>
        <w:t xml:space="preserve">МУП «Комбинат бытовых услуг» </w:t>
      </w:r>
      <w:r>
        <w:rPr>
          <w:bCs/>
          <w:szCs w:val="28"/>
        </w:rPr>
        <w:t xml:space="preserve">за период 2015 – 2025 представлена на графиках (рис. </w:t>
      </w:r>
      <w:r w:rsidR="00F75F48">
        <w:rPr>
          <w:bCs/>
          <w:szCs w:val="28"/>
        </w:rPr>
        <w:t>7</w:t>
      </w:r>
      <w:r>
        <w:rPr>
          <w:bCs/>
          <w:szCs w:val="28"/>
        </w:rPr>
        <w:t>).</w:t>
      </w:r>
    </w:p>
    <w:p w:rsidR="00A91269" w:rsidRDefault="00A91269" w:rsidP="00F75F48">
      <w:pPr>
        <w:spacing w:after="0"/>
        <w:ind w:firstLine="142"/>
        <w:jc w:val="both"/>
      </w:pPr>
      <w:r>
        <w:rPr>
          <w:noProof/>
        </w:rPr>
        <w:drawing>
          <wp:inline distT="0" distB="0" distL="0" distR="0" wp14:anchorId="63C6A588" wp14:editId="56C945CB">
            <wp:extent cx="5533292" cy="2180492"/>
            <wp:effectExtent l="0" t="0" r="10795" b="10795"/>
            <wp:docPr id="42"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A91269" w:rsidRPr="00F75F48" w:rsidRDefault="00A91269" w:rsidP="00A91269">
      <w:pPr>
        <w:spacing w:after="0"/>
        <w:ind w:firstLine="284"/>
        <w:rPr>
          <w:sz w:val="24"/>
        </w:rPr>
      </w:pPr>
      <w:r w:rsidRPr="00F75F48">
        <w:rPr>
          <w:sz w:val="24"/>
        </w:rPr>
        <w:t xml:space="preserve">Рис. </w:t>
      </w:r>
      <w:r w:rsidR="00F75F48">
        <w:rPr>
          <w:sz w:val="24"/>
        </w:rPr>
        <w:t>7</w:t>
      </w:r>
    </w:p>
    <w:p w:rsidR="00F75F48" w:rsidRDefault="00F75F48" w:rsidP="00A91269">
      <w:pPr>
        <w:pStyle w:val="af7"/>
        <w:spacing w:before="0" w:beforeAutospacing="0" w:after="0" w:afterAutospacing="0"/>
        <w:ind w:firstLine="567"/>
        <w:jc w:val="both"/>
        <w:outlineLvl w:val="0"/>
        <w:rPr>
          <w:sz w:val="28"/>
          <w:szCs w:val="28"/>
        </w:rPr>
      </w:pPr>
    </w:p>
    <w:p w:rsidR="00A91269" w:rsidRDefault="00A91269" w:rsidP="00A91269">
      <w:pPr>
        <w:pStyle w:val="af7"/>
        <w:spacing w:before="0" w:beforeAutospacing="0" w:after="0" w:afterAutospacing="0"/>
        <w:ind w:firstLine="567"/>
        <w:jc w:val="both"/>
        <w:outlineLvl w:val="0"/>
        <w:rPr>
          <w:sz w:val="28"/>
          <w:szCs w:val="28"/>
        </w:rPr>
      </w:pPr>
      <w:r>
        <w:rPr>
          <w:sz w:val="28"/>
          <w:szCs w:val="28"/>
        </w:rPr>
        <w:t>Для МУП «Комбинат бытовых услуг» установлены следующие тарифы:</w:t>
      </w:r>
    </w:p>
    <w:p w:rsidR="00A91269" w:rsidRDefault="00A91269" w:rsidP="00A91269">
      <w:pPr>
        <w:pStyle w:val="af7"/>
        <w:spacing w:before="0" w:beforeAutospacing="0" w:after="0" w:afterAutospacing="0"/>
        <w:ind w:firstLine="567"/>
        <w:jc w:val="right"/>
        <w:outlineLvl w:val="0"/>
        <w:rPr>
          <w:u w:val="single"/>
        </w:rPr>
      </w:pPr>
      <w:r>
        <w:t>(с НДС)</w:t>
      </w:r>
    </w:p>
    <w:tbl>
      <w:tblPr>
        <w:tblW w:w="93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5"/>
        <w:gridCol w:w="1206"/>
        <w:gridCol w:w="1744"/>
        <w:gridCol w:w="1878"/>
        <w:gridCol w:w="1475"/>
      </w:tblGrid>
      <w:tr w:rsidR="00A91269" w:rsidTr="00F75F48">
        <w:trPr>
          <w:trHeight w:val="293"/>
        </w:trPr>
        <w:tc>
          <w:tcPr>
            <w:tcW w:w="3085" w:type="dxa"/>
            <w:vAlign w:val="center"/>
          </w:tcPr>
          <w:p w:rsidR="00A91269" w:rsidRDefault="00A91269" w:rsidP="005A5E13">
            <w:pPr>
              <w:pStyle w:val="af7"/>
              <w:spacing w:before="0" w:after="0" w:afterAutospacing="0"/>
              <w:jc w:val="center"/>
              <w:rPr>
                <w:sz w:val="20"/>
                <w:szCs w:val="20"/>
              </w:rPr>
            </w:pPr>
            <w:r>
              <w:rPr>
                <w:sz w:val="20"/>
                <w:szCs w:val="20"/>
              </w:rPr>
              <w:t>Наименование тарифа</w:t>
            </w:r>
          </w:p>
        </w:tc>
        <w:tc>
          <w:tcPr>
            <w:tcW w:w="1206" w:type="dxa"/>
            <w:vAlign w:val="center"/>
          </w:tcPr>
          <w:p w:rsidR="00A91269" w:rsidRDefault="00A91269" w:rsidP="005A5E13">
            <w:pPr>
              <w:pStyle w:val="af7"/>
              <w:spacing w:before="0" w:after="0" w:afterAutospacing="0"/>
              <w:jc w:val="center"/>
              <w:rPr>
                <w:sz w:val="20"/>
                <w:szCs w:val="20"/>
              </w:rPr>
            </w:pPr>
            <w:r>
              <w:rPr>
                <w:sz w:val="20"/>
                <w:szCs w:val="20"/>
              </w:rPr>
              <w:t>Ед. изм.</w:t>
            </w:r>
          </w:p>
        </w:tc>
        <w:tc>
          <w:tcPr>
            <w:tcW w:w="1744" w:type="dxa"/>
            <w:vAlign w:val="center"/>
          </w:tcPr>
          <w:p w:rsidR="00A91269" w:rsidRDefault="00A91269" w:rsidP="005A5E13">
            <w:pPr>
              <w:pStyle w:val="af7"/>
              <w:spacing w:before="0" w:after="0" w:afterAutospacing="0"/>
              <w:jc w:val="center"/>
              <w:rPr>
                <w:sz w:val="20"/>
                <w:szCs w:val="20"/>
              </w:rPr>
            </w:pPr>
            <w:r>
              <w:rPr>
                <w:sz w:val="20"/>
                <w:szCs w:val="20"/>
              </w:rPr>
              <w:t>с 01.01.2025</w:t>
            </w:r>
          </w:p>
        </w:tc>
        <w:tc>
          <w:tcPr>
            <w:tcW w:w="1878" w:type="dxa"/>
            <w:vAlign w:val="center"/>
          </w:tcPr>
          <w:p w:rsidR="00A91269" w:rsidRDefault="00A91269" w:rsidP="005A5E13">
            <w:pPr>
              <w:pStyle w:val="af7"/>
              <w:spacing w:before="0" w:after="0" w:afterAutospacing="0"/>
              <w:jc w:val="center"/>
              <w:rPr>
                <w:sz w:val="20"/>
                <w:szCs w:val="20"/>
              </w:rPr>
            </w:pPr>
            <w:r>
              <w:rPr>
                <w:sz w:val="20"/>
                <w:szCs w:val="20"/>
              </w:rPr>
              <w:t>с 01.07.2025</w:t>
            </w:r>
          </w:p>
        </w:tc>
        <w:tc>
          <w:tcPr>
            <w:tcW w:w="1475" w:type="dxa"/>
            <w:vAlign w:val="center"/>
          </w:tcPr>
          <w:p w:rsidR="00A91269" w:rsidRDefault="00A91269" w:rsidP="005A5E13">
            <w:pPr>
              <w:pStyle w:val="af7"/>
              <w:spacing w:before="0" w:after="0" w:afterAutospacing="0"/>
              <w:jc w:val="center"/>
              <w:rPr>
                <w:sz w:val="20"/>
                <w:szCs w:val="20"/>
              </w:rPr>
            </w:pPr>
            <w:r>
              <w:rPr>
                <w:sz w:val="20"/>
                <w:szCs w:val="20"/>
              </w:rPr>
              <w:t>откл.,%</w:t>
            </w:r>
          </w:p>
        </w:tc>
      </w:tr>
      <w:tr w:rsidR="00A91269" w:rsidTr="00F75F48">
        <w:trPr>
          <w:trHeight w:val="312"/>
        </w:trPr>
        <w:tc>
          <w:tcPr>
            <w:tcW w:w="3085" w:type="dxa"/>
          </w:tcPr>
          <w:p w:rsidR="00A91269" w:rsidRDefault="00A91269" w:rsidP="005A5E13">
            <w:pPr>
              <w:pStyle w:val="af7"/>
              <w:spacing w:before="0" w:after="0" w:afterAutospacing="0"/>
              <w:jc w:val="both"/>
              <w:rPr>
                <w:sz w:val="20"/>
                <w:szCs w:val="20"/>
              </w:rPr>
            </w:pPr>
            <w:r>
              <w:rPr>
                <w:sz w:val="20"/>
                <w:szCs w:val="20"/>
              </w:rPr>
              <w:t>Тариф на питьевую воду (питьевое водоснабжение)</w:t>
            </w:r>
          </w:p>
        </w:tc>
        <w:tc>
          <w:tcPr>
            <w:tcW w:w="1206" w:type="dxa"/>
            <w:vAlign w:val="center"/>
          </w:tcPr>
          <w:p w:rsidR="00A91269" w:rsidRDefault="00A91269" w:rsidP="005A5E13">
            <w:pPr>
              <w:pStyle w:val="af7"/>
              <w:spacing w:before="0" w:after="0" w:afterAutospacing="0"/>
              <w:jc w:val="center"/>
              <w:rPr>
                <w:sz w:val="20"/>
                <w:szCs w:val="20"/>
              </w:rPr>
            </w:pPr>
            <w:r>
              <w:rPr>
                <w:sz w:val="20"/>
                <w:szCs w:val="20"/>
              </w:rPr>
              <w:t>руб./м</w:t>
            </w:r>
            <w:r>
              <w:rPr>
                <w:sz w:val="20"/>
                <w:szCs w:val="20"/>
                <w:vertAlign w:val="superscript"/>
              </w:rPr>
              <w:t>3</w:t>
            </w:r>
          </w:p>
        </w:tc>
        <w:tc>
          <w:tcPr>
            <w:tcW w:w="1744" w:type="dxa"/>
            <w:vAlign w:val="center"/>
          </w:tcPr>
          <w:p w:rsidR="00A91269" w:rsidRDefault="00A91269" w:rsidP="005A5E13">
            <w:pPr>
              <w:pStyle w:val="af7"/>
              <w:spacing w:before="0" w:after="0" w:afterAutospacing="0"/>
              <w:jc w:val="center"/>
              <w:rPr>
                <w:sz w:val="20"/>
                <w:szCs w:val="20"/>
              </w:rPr>
            </w:pPr>
            <w:r>
              <w:rPr>
                <w:sz w:val="20"/>
                <w:szCs w:val="20"/>
              </w:rPr>
              <w:t>27,32</w:t>
            </w:r>
          </w:p>
        </w:tc>
        <w:tc>
          <w:tcPr>
            <w:tcW w:w="1878" w:type="dxa"/>
            <w:vAlign w:val="center"/>
          </w:tcPr>
          <w:p w:rsidR="00A91269" w:rsidRDefault="00A91269" w:rsidP="005A5E13">
            <w:pPr>
              <w:pStyle w:val="af7"/>
              <w:spacing w:before="0" w:after="0" w:afterAutospacing="0"/>
              <w:jc w:val="center"/>
              <w:rPr>
                <w:sz w:val="20"/>
                <w:szCs w:val="20"/>
              </w:rPr>
            </w:pPr>
            <w:r>
              <w:rPr>
                <w:sz w:val="20"/>
                <w:szCs w:val="20"/>
              </w:rPr>
              <w:t>30,56</w:t>
            </w:r>
          </w:p>
        </w:tc>
        <w:tc>
          <w:tcPr>
            <w:tcW w:w="1475" w:type="dxa"/>
            <w:vAlign w:val="center"/>
          </w:tcPr>
          <w:p w:rsidR="00A91269" w:rsidRDefault="00A91269" w:rsidP="005A5E13">
            <w:pPr>
              <w:pStyle w:val="af7"/>
              <w:spacing w:before="0" w:after="0" w:afterAutospacing="0"/>
              <w:jc w:val="center"/>
              <w:rPr>
                <w:sz w:val="20"/>
                <w:szCs w:val="20"/>
              </w:rPr>
            </w:pPr>
            <w:r>
              <w:rPr>
                <w:sz w:val="20"/>
                <w:szCs w:val="20"/>
              </w:rPr>
              <w:t>111,86</w:t>
            </w:r>
          </w:p>
        </w:tc>
      </w:tr>
      <w:tr w:rsidR="00A91269" w:rsidTr="00F75F48">
        <w:trPr>
          <w:trHeight w:val="312"/>
        </w:trPr>
        <w:tc>
          <w:tcPr>
            <w:tcW w:w="3085" w:type="dxa"/>
          </w:tcPr>
          <w:p w:rsidR="00A91269" w:rsidRDefault="00A91269" w:rsidP="005A5E13">
            <w:pPr>
              <w:pStyle w:val="af7"/>
              <w:spacing w:before="0" w:after="0" w:afterAutospacing="0"/>
              <w:jc w:val="both"/>
              <w:rPr>
                <w:sz w:val="20"/>
                <w:szCs w:val="20"/>
              </w:rPr>
            </w:pPr>
            <w:r>
              <w:rPr>
                <w:sz w:val="20"/>
                <w:szCs w:val="20"/>
              </w:rPr>
              <w:t>Тариф на водоотведение</w:t>
            </w:r>
          </w:p>
        </w:tc>
        <w:tc>
          <w:tcPr>
            <w:tcW w:w="1206" w:type="dxa"/>
            <w:vAlign w:val="center"/>
          </w:tcPr>
          <w:p w:rsidR="00A91269" w:rsidRDefault="00A91269" w:rsidP="005A5E13">
            <w:pPr>
              <w:pStyle w:val="af7"/>
              <w:spacing w:before="0" w:after="0" w:afterAutospacing="0"/>
              <w:jc w:val="center"/>
              <w:rPr>
                <w:sz w:val="20"/>
                <w:szCs w:val="20"/>
              </w:rPr>
            </w:pPr>
            <w:r>
              <w:rPr>
                <w:sz w:val="20"/>
                <w:szCs w:val="20"/>
              </w:rPr>
              <w:t>руб./м</w:t>
            </w:r>
            <w:r>
              <w:rPr>
                <w:sz w:val="20"/>
                <w:szCs w:val="20"/>
                <w:vertAlign w:val="superscript"/>
              </w:rPr>
              <w:t>3</w:t>
            </w:r>
          </w:p>
        </w:tc>
        <w:tc>
          <w:tcPr>
            <w:tcW w:w="1744" w:type="dxa"/>
            <w:vAlign w:val="center"/>
          </w:tcPr>
          <w:p w:rsidR="00A91269" w:rsidRDefault="00A91269" w:rsidP="005A5E13">
            <w:pPr>
              <w:pStyle w:val="af7"/>
              <w:spacing w:before="0" w:after="0" w:afterAutospacing="0"/>
              <w:jc w:val="center"/>
              <w:rPr>
                <w:sz w:val="20"/>
                <w:szCs w:val="20"/>
              </w:rPr>
            </w:pPr>
            <w:r>
              <w:rPr>
                <w:sz w:val="20"/>
                <w:szCs w:val="20"/>
              </w:rPr>
              <w:t>44,17</w:t>
            </w:r>
          </w:p>
        </w:tc>
        <w:tc>
          <w:tcPr>
            <w:tcW w:w="1878" w:type="dxa"/>
            <w:vAlign w:val="center"/>
          </w:tcPr>
          <w:p w:rsidR="00A91269" w:rsidRDefault="00A91269" w:rsidP="005A5E13">
            <w:pPr>
              <w:pStyle w:val="af7"/>
              <w:spacing w:before="0" w:after="0" w:afterAutospacing="0"/>
              <w:jc w:val="center"/>
              <w:rPr>
                <w:sz w:val="20"/>
                <w:szCs w:val="20"/>
              </w:rPr>
            </w:pPr>
            <w:r>
              <w:rPr>
                <w:sz w:val="20"/>
                <w:szCs w:val="20"/>
              </w:rPr>
              <w:t>49,42</w:t>
            </w:r>
          </w:p>
        </w:tc>
        <w:tc>
          <w:tcPr>
            <w:tcW w:w="1475" w:type="dxa"/>
            <w:vAlign w:val="center"/>
          </w:tcPr>
          <w:p w:rsidR="00A91269" w:rsidRDefault="00A91269" w:rsidP="005A5E13">
            <w:pPr>
              <w:pStyle w:val="af7"/>
              <w:spacing w:before="0" w:after="0" w:afterAutospacing="0"/>
              <w:jc w:val="center"/>
              <w:rPr>
                <w:sz w:val="20"/>
                <w:szCs w:val="20"/>
              </w:rPr>
            </w:pPr>
            <w:r>
              <w:rPr>
                <w:sz w:val="20"/>
                <w:szCs w:val="20"/>
              </w:rPr>
              <w:t>111,89</w:t>
            </w:r>
          </w:p>
        </w:tc>
      </w:tr>
    </w:tbl>
    <w:p w:rsidR="00A91269" w:rsidRDefault="00A91269" w:rsidP="00A91269">
      <w:pPr>
        <w:spacing w:after="0" w:line="240" w:lineRule="auto"/>
        <w:ind w:firstLine="284"/>
        <w:jc w:val="both"/>
        <w:rPr>
          <w:bCs/>
          <w:szCs w:val="28"/>
        </w:rPr>
      </w:pPr>
    </w:p>
    <w:p w:rsidR="00A91269" w:rsidRDefault="00A91269" w:rsidP="00A91269">
      <w:pPr>
        <w:spacing w:after="0" w:line="240" w:lineRule="auto"/>
        <w:ind w:firstLine="284"/>
        <w:jc w:val="both"/>
        <w:rPr>
          <w:bCs/>
          <w:szCs w:val="28"/>
        </w:rPr>
      </w:pPr>
      <w:r>
        <w:rPr>
          <w:bCs/>
          <w:szCs w:val="28"/>
        </w:rPr>
        <w:t xml:space="preserve">Динамика тарифов </w:t>
      </w:r>
      <w:r>
        <w:rPr>
          <w:szCs w:val="28"/>
        </w:rPr>
        <w:t xml:space="preserve">МУП «Комбинат бытовых услуг» </w:t>
      </w:r>
      <w:r>
        <w:rPr>
          <w:bCs/>
          <w:szCs w:val="28"/>
        </w:rPr>
        <w:t>за период 2015 – 2025 представлена на графиках (рис. 9-10).</w:t>
      </w:r>
    </w:p>
    <w:p w:rsidR="00A91269" w:rsidRDefault="00A91269" w:rsidP="00A91269">
      <w:pPr>
        <w:spacing w:after="0" w:line="240" w:lineRule="auto"/>
        <w:ind w:firstLine="284"/>
        <w:jc w:val="both"/>
        <w:rPr>
          <w:bCs/>
          <w:szCs w:val="28"/>
        </w:rPr>
      </w:pPr>
    </w:p>
    <w:p w:rsidR="00A91269" w:rsidRDefault="00A91269" w:rsidP="00A91269">
      <w:pPr>
        <w:jc w:val="both"/>
        <w:rPr>
          <w:szCs w:val="28"/>
        </w:rPr>
      </w:pPr>
      <w:r>
        <w:rPr>
          <w:noProof/>
        </w:rPr>
        <w:lastRenderedPageBreak/>
        <w:drawing>
          <wp:inline distT="0" distB="0" distL="0" distR="0" wp14:anchorId="02877276" wp14:editId="213EDA0F">
            <wp:extent cx="5503985" cy="2919047"/>
            <wp:effectExtent l="0" t="0" r="20955" b="15240"/>
            <wp:docPr id="44" name="Диаграмма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A91269" w:rsidRDefault="00A91269" w:rsidP="00A91269">
      <w:pPr>
        <w:ind w:firstLine="284"/>
        <w:rPr>
          <w:szCs w:val="28"/>
        </w:rPr>
      </w:pPr>
      <w:r>
        <w:rPr>
          <w:szCs w:val="28"/>
        </w:rPr>
        <w:t>Рис. 9</w:t>
      </w:r>
    </w:p>
    <w:p w:rsidR="00A91269" w:rsidRDefault="00A91269" w:rsidP="00A91269">
      <w:pPr>
        <w:jc w:val="both"/>
        <w:rPr>
          <w:szCs w:val="28"/>
        </w:rPr>
      </w:pPr>
      <w:r>
        <w:rPr>
          <w:noProof/>
        </w:rPr>
        <w:drawing>
          <wp:inline distT="0" distB="0" distL="0" distR="0" wp14:anchorId="034025FB" wp14:editId="4EFDBEF6">
            <wp:extent cx="5503985" cy="2778370"/>
            <wp:effectExtent l="0" t="0" r="20955" b="22225"/>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A91269" w:rsidRDefault="00A91269" w:rsidP="00A91269">
      <w:pPr>
        <w:ind w:firstLine="284"/>
        <w:rPr>
          <w:szCs w:val="28"/>
        </w:rPr>
      </w:pPr>
      <w:r>
        <w:rPr>
          <w:szCs w:val="28"/>
        </w:rPr>
        <w:t>Рис. 10</w:t>
      </w:r>
    </w:p>
    <w:p w:rsidR="00F75F48" w:rsidRDefault="00F75F48" w:rsidP="00A91269">
      <w:pPr>
        <w:spacing w:after="0" w:line="240" w:lineRule="auto"/>
        <w:ind w:firstLine="284"/>
        <w:jc w:val="both"/>
        <w:rPr>
          <w:szCs w:val="28"/>
        </w:rPr>
      </w:pPr>
    </w:p>
    <w:p w:rsidR="00F75F48" w:rsidRDefault="00F75F48" w:rsidP="00A91269">
      <w:pPr>
        <w:spacing w:after="0" w:line="240" w:lineRule="auto"/>
        <w:ind w:firstLine="284"/>
        <w:jc w:val="both"/>
        <w:rPr>
          <w:szCs w:val="28"/>
        </w:rPr>
      </w:pPr>
    </w:p>
    <w:p w:rsidR="00A91269" w:rsidRDefault="00A91269" w:rsidP="00A91269">
      <w:pPr>
        <w:spacing w:after="0" w:line="240" w:lineRule="auto"/>
        <w:ind w:firstLine="284"/>
        <w:jc w:val="both"/>
        <w:rPr>
          <w:szCs w:val="28"/>
        </w:rPr>
      </w:pPr>
      <w:r>
        <w:rPr>
          <w:szCs w:val="28"/>
        </w:rPr>
        <w:t>Структура тарифов на питьевую воду и водоотведение МУП «Комбинат бытовых услуг» г. Бердска на 2024-2025 годы приведена на рис. 11, 12.</w:t>
      </w:r>
    </w:p>
    <w:p w:rsidR="00A91269" w:rsidRDefault="00A91269" w:rsidP="00A91269">
      <w:pPr>
        <w:spacing w:after="0" w:line="240" w:lineRule="auto"/>
        <w:ind w:firstLine="284"/>
        <w:jc w:val="both"/>
        <w:rPr>
          <w:szCs w:val="28"/>
        </w:rPr>
      </w:pPr>
      <w:r>
        <w:rPr>
          <w:noProof/>
          <w:color w:val="FF0000"/>
        </w:rPr>
        <w:drawing>
          <wp:anchor distT="0" distB="0" distL="114300" distR="114300" simplePos="0" relativeHeight="251661312" behindDoc="0" locked="0" layoutInCell="1" allowOverlap="1" wp14:anchorId="7793C6B9" wp14:editId="7B3B9280">
            <wp:simplePos x="0" y="0"/>
            <wp:positionH relativeFrom="column">
              <wp:posOffset>-89535</wp:posOffset>
            </wp:positionH>
            <wp:positionV relativeFrom="paragraph">
              <wp:posOffset>261620</wp:posOffset>
            </wp:positionV>
            <wp:extent cx="3068955" cy="2210435"/>
            <wp:effectExtent l="0" t="0" r="0" b="0"/>
            <wp:wrapNone/>
            <wp:docPr id="47" name="Рисунок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pic:cNvPicPr>
                  </pic:nvPicPr>
                  <pic:blipFill>
                    <a:blip r:embed="rId78"/>
                    <a:stretch/>
                  </pic:blipFill>
                  <pic:spPr bwMode="auto">
                    <a:xfrm>
                      <a:off x="0" y="0"/>
                      <a:ext cx="3068955" cy="2210435"/>
                    </a:xfrm>
                    <a:prstGeom prst="rect">
                      <a:avLst/>
                    </a:prstGeom>
                    <a:noFill/>
                  </pic:spPr>
                </pic:pic>
              </a:graphicData>
            </a:graphic>
            <wp14:sizeRelH relativeFrom="page">
              <wp14:pctWidth>0</wp14:pctWidth>
            </wp14:sizeRelH>
            <wp14:sizeRelV relativeFrom="page">
              <wp14:pctHeight>0</wp14:pctHeight>
            </wp14:sizeRelV>
          </wp:anchor>
        </w:drawing>
      </w:r>
    </w:p>
    <w:p w:rsidR="00A91269" w:rsidRDefault="00F75F48" w:rsidP="00A91269">
      <w:pPr>
        <w:tabs>
          <w:tab w:val="left" w:pos="10995"/>
        </w:tabs>
        <w:ind w:firstLine="284"/>
      </w:pPr>
      <w:r>
        <w:rPr>
          <w:noProof/>
        </w:rPr>
        <w:drawing>
          <wp:anchor distT="0" distB="0" distL="114300" distR="114300" simplePos="0" relativeHeight="251666432" behindDoc="0" locked="0" layoutInCell="1" allowOverlap="1" wp14:anchorId="37703CE6" wp14:editId="67DD1BE5">
            <wp:simplePos x="0" y="0"/>
            <wp:positionH relativeFrom="column">
              <wp:posOffset>3052445</wp:posOffset>
            </wp:positionH>
            <wp:positionV relativeFrom="paragraph">
              <wp:posOffset>58420</wp:posOffset>
            </wp:positionV>
            <wp:extent cx="3007995" cy="2209800"/>
            <wp:effectExtent l="0" t="0" r="1905" b="0"/>
            <wp:wrapNone/>
            <wp:docPr id="4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pic:cNvPicPr>
                  </pic:nvPicPr>
                  <pic:blipFill>
                    <a:blip r:embed="rId79"/>
                    <a:stretch/>
                  </pic:blipFill>
                  <pic:spPr bwMode="auto">
                    <a:xfrm>
                      <a:off x="0" y="0"/>
                      <a:ext cx="3007995" cy="2209800"/>
                    </a:xfrm>
                    <a:prstGeom prst="rect">
                      <a:avLst/>
                    </a:prstGeom>
                    <a:noFill/>
                  </pic:spPr>
                </pic:pic>
              </a:graphicData>
            </a:graphic>
            <wp14:sizeRelH relativeFrom="page">
              <wp14:pctWidth>0</wp14:pctWidth>
            </wp14:sizeRelH>
            <wp14:sizeRelV relativeFrom="page">
              <wp14:pctHeight>0</wp14:pctHeight>
            </wp14:sizeRelV>
          </wp:anchor>
        </w:drawing>
      </w:r>
    </w:p>
    <w:p w:rsidR="00A91269" w:rsidRDefault="00A91269" w:rsidP="00A91269">
      <w:pPr>
        <w:tabs>
          <w:tab w:val="left" w:pos="10995"/>
        </w:tabs>
        <w:ind w:firstLine="284"/>
      </w:pPr>
    </w:p>
    <w:p w:rsidR="00A91269" w:rsidRDefault="00A91269" w:rsidP="00A91269">
      <w:pPr>
        <w:tabs>
          <w:tab w:val="left" w:pos="10995"/>
        </w:tabs>
        <w:ind w:firstLine="284"/>
      </w:pPr>
    </w:p>
    <w:p w:rsidR="00A91269" w:rsidRDefault="00A91269" w:rsidP="00A91269">
      <w:pPr>
        <w:tabs>
          <w:tab w:val="left" w:pos="10995"/>
        </w:tabs>
        <w:ind w:firstLine="284"/>
      </w:pPr>
    </w:p>
    <w:p w:rsidR="00A91269" w:rsidRDefault="00A91269" w:rsidP="00A91269">
      <w:pPr>
        <w:tabs>
          <w:tab w:val="left" w:pos="10995"/>
        </w:tabs>
        <w:ind w:firstLine="284"/>
      </w:pPr>
    </w:p>
    <w:p w:rsidR="00A91269" w:rsidRDefault="00A91269" w:rsidP="00A91269">
      <w:pPr>
        <w:ind w:firstLine="284"/>
        <w:rPr>
          <w:szCs w:val="28"/>
        </w:rPr>
      </w:pPr>
    </w:p>
    <w:p w:rsidR="00A91269" w:rsidRDefault="00A91269" w:rsidP="00A91269">
      <w:pPr>
        <w:ind w:firstLine="284"/>
        <w:rPr>
          <w:szCs w:val="28"/>
        </w:rPr>
      </w:pPr>
    </w:p>
    <w:p w:rsidR="00A91269" w:rsidRDefault="00A91269" w:rsidP="00A91269">
      <w:pPr>
        <w:spacing w:after="0" w:line="240" w:lineRule="auto"/>
        <w:ind w:firstLine="284"/>
        <w:rPr>
          <w:szCs w:val="28"/>
        </w:rPr>
      </w:pPr>
    </w:p>
    <w:p w:rsidR="00A91269" w:rsidRPr="00F75F48" w:rsidRDefault="00A91269" w:rsidP="00A91269">
      <w:pPr>
        <w:spacing w:after="0" w:line="240" w:lineRule="auto"/>
        <w:ind w:firstLine="284"/>
        <w:rPr>
          <w:sz w:val="24"/>
        </w:rPr>
      </w:pPr>
      <w:r w:rsidRPr="00F75F48">
        <w:rPr>
          <w:sz w:val="24"/>
        </w:rPr>
        <w:t>Рис. 11</w:t>
      </w:r>
    </w:p>
    <w:p w:rsidR="00A91269" w:rsidRDefault="00A91269" w:rsidP="00A91269">
      <w:pPr>
        <w:spacing w:after="0" w:line="240" w:lineRule="auto"/>
        <w:ind w:firstLine="284"/>
        <w:rPr>
          <w:szCs w:val="28"/>
        </w:rPr>
      </w:pPr>
      <w:r>
        <w:rPr>
          <w:noProof/>
          <w:szCs w:val="28"/>
        </w:rPr>
        <w:drawing>
          <wp:anchor distT="0" distB="0" distL="114300" distR="114300" simplePos="0" relativeHeight="251667456" behindDoc="0" locked="0" layoutInCell="1" allowOverlap="1" wp14:anchorId="2883FFF4" wp14:editId="6AFEEC5C">
            <wp:simplePos x="0" y="0"/>
            <wp:positionH relativeFrom="column">
              <wp:posOffset>3103734</wp:posOffset>
            </wp:positionH>
            <wp:positionV relativeFrom="paragraph">
              <wp:posOffset>146050</wp:posOffset>
            </wp:positionV>
            <wp:extent cx="2952750" cy="2216943"/>
            <wp:effectExtent l="0" t="0" r="0" b="0"/>
            <wp:wrapNone/>
            <wp:docPr id="52"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pic:cNvPicPr>
                  </pic:nvPicPr>
                  <pic:blipFill>
                    <a:blip r:embed="rId80"/>
                    <a:stretch/>
                  </pic:blipFill>
                  <pic:spPr bwMode="auto">
                    <a:xfrm>
                      <a:off x="0" y="0"/>
                      <a:ext cx="2952750" cy="2216943"/>
                    </a:xfrm>
                    <a:prstGeom prst="rect">
                      <a:avLst/>
                    </a:prstGeom>
                    <a:noFill/>
                  </pic:spPr>
                </pic:pic>
              </a:graphicData>
            </a:graphic>
            <wp14:sizeRelH relativeFrom="page">
              <wp14:pctWidth>0</wp14:pctWidth>
            </wp14:sizeRelH>
            <wp14:sizeRelV relativeFrom="page">
              <wp14:pctHeight>0</wp14:pctHeight>
            </wp14:sizeRelV>
          </wp:anchor>
        </w:drawing>
      </w:r>
      <w:r>
        <w:rPr>
          <w:noProof/>
          <w:szCs w:val="28"/>
        </w:rPr>
        <w:drawing>
          <wp:anchor distT="0" distB="0" distL="114300" distR="114300" simplePos="0" relativeHeight="251662336" behindDoc="0" locked="0" layoutInCell="1" allowOverlap="1" wp14:anchorId="50BE7284" wp14:editId="353C1DC7">
            <wp:simplePos x="0" y="0"/>
            <wp:positionH relativeFrom="column">
              <wp:posOffset>-175260</wp:posOffset>
            </wp:positionH>
            <wp:positionV relativeFrom="paragraph">
              <wp:posOffset>142240</wp:posOffset>
            </wp:positionV>
            <wp:extent cx="3156585" cy="2249805"/>
            <wp:effectExtent l="0" t="0" r="5715" b="0"/>
            <wp:wrapNone/>
            <wp:docPr id="53" name="Рисунок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pic:cNvPicPr>
                  </pic:nvPicPr>
                  <pic:blipFill>
                    <a:blip r:embed="rId81"/>
                    <a:stretch/>
                  </pic:blipFill>
                  <pic:spPr bwMode="auto">
                    <a:xfrm>
                      <a:off x="0" y="0"/>
                      <a:ext cx="3156585" cy="2249805"/>
                    </a:xfrm>
                    <a:prstGeom prst="rect">
                      <a:avLst/>
                    </a:prstGeom>
                    <a:noFill/>
                  </pic:spPr>
                </pic:pic>
              </a:graphicData>
            </a:graphic>
            <wp14:sizeRelH relativeFrom="page">
              <wp14:pctWidth>0</wp14:pctWidth>
            </wp14:sizeRelH>
            <wp14:sizeRelV relativeFrom="page">
              <wp14:pctHeight>0</wp14:pctHeight>
            </wp14:sizeRelV>
          </wp:anchor>
        </w:drawing>
      </w:r>
    </w:p>
    <w:p w:rsidR="00A91269" w:rsidRDefault="00A91269" w:rsidP="00A91269">
      <w:pPr>
        <w:tabs>
          <w:tab w:val="center" w:pos="5102"/>
        </w:tabs>
        <w:jc w:val="both"/>
        <w:rPr>
          <w:color w:val="FF0000"/>
          <w:szCs w:val="28"/>
        </w:rPr>
      </w:pPr>
    </w:p>
    <w:p w:rsidR="00A91269" w:rsidRDefault="00A91269" w:rsidP="00A91269">
      <w:pPr>
        <w:tabs>
          <w:tab w:val="center" w:pos="5102"/>
        </w:tabs>
        <w:jc w:val="both"/>
        <w:rPr>
          <w:color w:val="FF0000"/>
          <w:szCs w:val="28"/>
        </w:rPr>
      </w:pPr>
    </w:p>
    <w:p w:rsidR="00A91269" w:rsidRDefault="00A91269" w:rsidP="00A91269">
      <w:pPr>
        <w:tabs>
          <w:tab w:val="center" w:pos="5102"/>
        </w:tabs>
        <w:jc w:val="both"/>
        <w:rPr>
          <w:color w:val="FF0000"/>
          <w:szCs w:val="28"/>
        </w:rPr>
      </w:pPr>
    </w:p>
    <w:p w:rsidR="00A91269" w:rsidRDefault="00A91269" w:rsidP="00A91269">
      <w:pPr>
        <w:rPr>
          <w:szCs w:val="28"/>
        </w:rPr>
      </w:pPr>
    </w:p>
    <w:p w:rsidR="00A91269" w:rsidRDefault="00A91269" w:rsidP="00A91269">
      <w:pPr>
        <w:rPr>
          <w:szCs w:val="28"/>
        </w:rPr>
      </w:pPr>
    </w:p>
    <w:p w:rsidR="00A91269" w:rsidRDefault="00A91269" w:rsidP="00A91269">
      <w:pPr>
        <w:spacing w:after="0"/>
        <w:rPr>
          <w:szCs w:val="28"/>
        </w:rPr>
      </w:pPr>
    </w:p>
    <w:p w:rsidR="00A91269" w:rsidRDefault="00A91269" w:rsidP="00A91269">
      <w:pPr>
        <w:spacing w:after="0"/>
        <w:rPr>
          <w:szCs w:val="28"/>
        </w:rPr>
      </w:pPr>
    </w:p>
    <w:p w:rsidR="00A91269" w:rsidRDefault="00A91269" w:rsidP="00A91269">
      <w:pPr>
        <w:spacing w:after="0"/>
        <w:rPr>
          <w:szCs w:val="28"/>
        </w:rPr>
      </w:pPr>
    </w:p>
    <w:p w:rsidR="00A91269" w:rsidRDefault="00A91269" w:rsidP="00A91269">
      <w:pPr>
        <w:spacing w:after="0" w:line="240" w:lineRule="auto"/>
        <w:ind w:firstLine="567"/>
        <w:jc w:val="both"/>
        <w:outlineLvl w:val="1"/>
        <w:rPr>
          <w:szCs w:val="28"/>
        </w:rPr>
      </w:pPr>
      <w:r>
        <w:rPr>
          <w:szCs w:val="28"/>
        </w:rPr>
        <w:t>Ниже приведена динамика тарифов на питьевую воду и водоотведение для потребителей городов миллионников и регионов Сибирского Федерального округа с 2021-2025 годы.</w:t>
      </w:r>
    </w:p>
    <w:p w:rsidR="00A91269" w:rsidRDefault="00A91269" w:rsidP="00A91269">
      <w:pPr>
        <w:spacing w:after="0" w:line="240" w:lineRule="auto"/>
        <w:ind w:firstLine="567"/>
        <w:jc w:val="both"/>
        <w:outlineLvl w:val="1"/>
        <w:rPr>
          <w:szCs w:val="28"/>
        </w:rPr>
      </w:pPr>
      <w:r>
        <w:rPr>
          <w:szCs w:val="28"/>
        </w:rPr>
        <w:t>Тарифы на питьевую воду по городам - миллионникам за период 2021-2025 гг.</w:t>
      </w:r>
    </w:p>
    <w:p w:rsidR="00A91269" w:rsidRDefault="00A91269" w:rsidP="00A91269">
      <w:pPr>
        <w:tabs>
          <w:tab w:val="left" w:pos="9498"/>
        </w:tabs>
        <w:spacing w:after="0" w:line="240" w:lineRule="auto"/>
        <w:ind w:right="565"/>
        <w:jc w:val="right"/>
        <w:outlineLvl w:val="1"/>
      </w:pPr>
      <w:r w:rsidRPr="00F75F48">
        <w:rPr>
          <w:sz w:val="24"/>
        </w:rPr>
        <w:t xml:space="preserve">             </w:t>
      </w:r>
      <w:r w:rsidRPr="00F75F48">
        <w:rPr>
          <w:sz w:val="22"/>
          <w:szCs w:val="22"/>
        </w:rPr>
        <w:t>с НДС, руб./м</w:t>
      </w:r>
      <w:r w:rsidRPr="00F75F48">
        <w:rPr>
          <w:sz w:val="22"/>
          <w:szCs w:val="22"/>
          <w:vertAlign w:val="superscript"/>
        </w:rPr>
        <w:t>3</w:t>
      </w:r>
      <w:r>
        <w:rPr>
          <w:noProof/>
        </w:rPr>
        <w:drawing>
          <wp:inline distT="0" distB="0" distL="0" distR="0" wp14:anchorId="5E4F1D61" wp14:editId="1C26F406">
            <wp:extent cx="5029200" cy="2292169"/>
            <wp:effectExtent l="0" t="0" r="0" b="0"/>
            <wp:docPr id="5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852437" name="Picture 2"/>
                    <pic:cNvPicPr>
                      <a:picLocks noChangeAspect="1"/>
                    </pic:cNvPicPr>
                  </pic:nvPicPr>
                  <pic:blipFill>
                    <a:blip r:embed="rId82">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89"/>
                        </a:ext>
                      </a:extLst>
                    </a:blip>
                    <a:stretch/>
                  </pic:blipFill>
                  <pic:spPr bwMode="auto">
                    <a:xfrm>
                      <a:off x="0" y="0"/>
                      <a:ext cx="5029200" cy="2292169"/>
                    </a:xfrm>
                    <a:prstGeom prst="rect">
                      <a:avLst/>
                    </a:prstGeom>
                    <a:noFill/>
                    <a:ln>
                      <a:noFill/>
                    </a:ln>
                  </pic:spPr>
                </pic:pic>
              </a:graphicData>
            </a:graphic>
          </wp:inline>
        </w:drawing>
      </w:r>
    </w:p>
    <w:p w:rsidR="00A91269" w:rsidRDefault="00A91269" w:rsidP="00A91269">
      <w:pPr>
        <w:spacing w:after="0" w:line="240" w:lineRule="auto"/>
        <w:ind w:firstLine="567"/>
        <w:jc w:val="both"/>
        <w:outlineLvl w:val="1"/>
        <w:rPr>
          <w:szCs w:val="28"/>
        </w:rPr>
      </w:pPr>
    </w:p>
    <w:p w:rsidR="00A91269" w:rsidRDefault="00A91269" w:rsidP="00A91269">
      <w:pPr>
        <w:spacing w:after="0" w:line="240" w:lineRule="auto"/>
        <w:ind w:right="-2" w:firstLine="567"/>
        <w:jc w:val="both"/>
        <w:outlineLvl w:val="1"/>
        <w:rPr>
          <w:szCs w:val="28"/>
        </w:rPr>
      </w:pPr>
      <w:r>
        <w:rPr>
          <w:szCs w:val="28"/>
        </w:rPr>
        <w:t xml:space="preserve">Минимальный тариф из перечисленных городов – миллионников за период 2021-2025 годов сложился в городе Омске, максимальный тариф в городе Москве. </w:t>
      </w:r>
    </w:p>
    <w:p w:rsidR="00A91269" w:rsidRDefault="00A91269" w:rsidP="00A91269">
      <w:pPr>
        <w:spacing w:after="0" w:line="240" w:lineRule="auto"/>
        <w:ind w:right="140" w:firstLine="567"/>
        <w:jc w:val="both"/>
        <w:outlineLvl w:val="1"/>
        <w:rPr>
          <w:szCs w:val="28"/>
        </w:rPr>
      </w:pPr>
      <w:r>
        <w:rPr>
          <w:szCs w:val="28"/>
        </w:rPr>
        <w:t>На графике ниже видно, что установленный тариф на питьевую воду по городу Новосибирску ближе к минимальному значению.</w:t>
      </w:r>
    </w:p>
    <w:p w:rsidR="00A91269" w:rsidRDefault="00A91269" w:rsidP="00A91269">
      <w:pPr>
        <w:spacing w:after="0" w:line="240" w:lineRule="auto"/>
        <w:ind w:left="-709"/>
        <w:outlineLvl w:val="1"/>
        <w:rPr>
          <w:szCs w:val="28"/>
        </w:rPr>
      </w:pPr>
    </w:p>
    <w:p w:rsidR="00A91269" w:rsidRDefault="00A91269" w:rsidP="00F75F48">
      <w:pPr>
        <w:spacing w:after="0" w:line="240" w:lineRule="auto"/>
        <w:ind w:firstLine="142"/>
        <w:outlineLvl w:val="1"/>
        <w:rPr>
          <w:szCs w:val="28"/>
        </w:rPr>
      </w:pPr>
      <w:r>
        <w:rPr>
          <w:noProof/>
        </w:rPr>
        <w:lastRenderedPageBreak/>
        <w:drawing>
          <wp:inline distT="0" distB="0" distL="0" distR="0" wp14:anchorId="1D6C3F3B" wp14:editId="5CC284FC">
            <wp:extent cx="5404338" cy="3270738"/>
            <wp:effectExtent l="0" t="0" r="25400" b="25400"/>
            <wp:docPr id="59" name="Диаграмма 9" title="Динамика величин тарифов на водоснабжение за период 2012-2021 г.г."/>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p>
    <w:p w:rsidR="00F75F48" w:rsidRDefault="00F75F48" w:rsidP="00A91269">
      <w:pPr>
        <w:spacing w:after="0" w:line="240" w:lineRule="auto"/>
        <w:ind w:firstLine="567"/>
        <w:outlineLvl w:val="1"/>
        <w:rPr>
          <w:b/>
          <w:sz w:val="20"/>
          <w:szCs w:val="20"/>
        </w:rPr>
      </w:pPr>
    </w:p>
    <w:p w:rsidR="00F75F48" w:rsidRDefault="00F75F48" w:rsidP="00A91269">
      <w:pPr>
        <w:spacing w:after="0" w:line="240" w:lineRule="auto"/>
        <w:ind w:firstLine="567"/>
        <w:outlineLvl w:val="1"/>
        <w:rPr>
          <w:b/>
          <w:sz w:val="20"/>
          <w:szCs w:val="20"/>
        </w:rPr>
      </w:pPr>
    </w:p>
    <w:p w:rsidR="00A91269" w:rsidRPr="00F75F48" w:rsidRDefault="00A91269" w:rsidP="00F75F48">
      <w:pPr>
        <w:spacing w:after="0" w:line="240" w:lineRule="auto"/>
        <w:ind w:left="426"/>
        <w:outlineLvl w:val="1"/>
        <w:rPr>
          <w:b/>
          <w:sz w:val="24"/>
        </w:rPr>
      </w:pPr>
      <w:r w:rsidRPr="00F75F48">
        <w:rPr>
          <w:b/>
          <w:sz w:val="24"/>
        </w:rPr>
        <w:t xml:space="preserve">Тарифы на питьевую воду по Сибирскому федеральному округу </w:t>
      </w:r>
    </w:p>
    <w:p w:rsidR="00A91269" w:rsidRDefault="00F75F48" w:rsidP="00F75F48">
      <w:pPr>
        <w:spacing w:after="0" w:line="240" w:lineRule="auto"/>
        <w:outlineLvl w:val="1"/>
        <w:rPr>
          <w:b/>
          <w:sz w:val="24"/>
        </w:rPr>
      </w:pPr>
      <w:r w:rsidRPr="00F75F48">
        <w:rPr>
          <w:noProof/>
          <w:sz w:val="24"/>
        </w:rPr>
        <w:drawing>
          <wp:anchor distT="0" distB="0" distL="114300" distR="114300" simplePos="0" relativeHeight="251671552" behindDoc="0" locked="0" layoutInCell="1" allowOverlap="1" wp14:anchorId="2D74AD7C" wp14:editId="70304423">
            <wp:simplePos x="0" y="0"/>
            <wp:positionH relativeFrom="column">
              <wp:posOffset>384175</wp:posOffset>
            </wp:positionH>
            <wp:positionV relativeFrom="paragraph">
              <wp:posOffset>502920</wp:posOffset>
            </wp:positionV>
            <wp:extent cx="5416550" cy="2402840"/>
            <wp:effectExtent l="0" t="0" r="0" b="0"/>
            <wp:wrapTopAndBottom/>
            <wp:docPr id="60"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pic:cNvPicPr>
                  </pic:nvPicPr>
                  <pic:blipFill>
                    <a:blip r:embed="rId91">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92"/>
                        </a:ext>
                      </a:extLst>
                    </a:blip>
                    <a:stretch/>
                  </pic:blipFill>
                  <pic:spPr bwMode="auto">
                    <a:xfrm>
                      <a:off x="0" y="0"/>
                      <a:ext cx="5416550" cy="2402840"/>
                    </a:xfrm>
                    <a:prstGeom prst="rect">
                      <a:avLst/>
                    </a:prstGeom>
                    <a:noFill/>
                    <a:ln>
                      <a:noFill/>
                    </a:ln>
                  </pic:spPr>
                </pic:pic>
              </a:graphicData>
            </a:graphic>
            <wp14:sizeRelH relativeFrom="page">
              <wp14:pctWidth>0</wp14:pctWidth>
            </wp14:sizeRelH>
            <wp14:sizeRelV relativeFrom="page">
              <wp14:pctHeight>0</wp14:pctHeight>
            </wp14:sizeRelV>
          </wp:anchor>
        </w:drawing>
      </w:r>
      <w:r w:rsidR="00A91269" w:rsidRPr="00F75F48">
        <w:rPr>
          <w:b/>
          <w:sz w:val="24"/>
        </w:rPr>
        <w:t>за период 2021-2025 гг.</w:t>
      </w:r>
    </w:p>
    <w:p w:rsidR="00F75F48" w:rsidRPr="00F75F48" w:rsidRDefault="00F75F48" w:rsidP="00F75F48">
      <w:pPr>
        <w:spacing w:after="0" w:line="240" w:lineRule="auto"/>
        <w:ind w:right="849"/>
        <w:jc w:val="right"/>
        <w:outlineLvl w:val="1"/>
        <w:rPr>
          <w:sz w:val="24"/>
        </w:rPr>
      </w:pPr>
      <w:r w:rsidRPr="00F75F48">
        <w:rPr>
          <w:sz w:val="24"/>
        </w:rPr>
        <w:t>с НДС, руб./м</w:t>
      </w:r>
      <w:r w:rsidRPr="00F75F48">
        <w:rPr>
          <w:sz w:val="24"/>
          <w:vertAlign w:val="superscript"/>
        </w:rPr>
        <w:t>3</w:t>
      </w:r>
    </w:p>
    <w:p w:rsidR="00F75F48" w:rsidRDefault="00F75F48" w:rsidP="00F75F48">
      <w:pPr>
        <w:spacing w:after="0" w:line="240" w:lineRule="auto"/>
        <w:jc w:val="right"/>
        <w:outlineLvl w:val="1"/>
        <w:rPr>
          <w:b/>
          <w:sz w:val="24"/>
        </w:rPr>
      </w:pPr>
    </w:p>
    <w:p w:rsidR="00F75F48" w:rsidRDefault="00F75F48" w:rsidP="00F75F48">
      <w:pPr>
        <w:spacing w:after="0" w:line="240" w:lineRule="auto"/>
        <w:outlineLvl w:val="1"/>
        <w:rPr>
          <w:b/>
          <w:sz w:val="24"/>
        </w:rPr>
      </w:pPr>
    </w:p>
    <w:p w:rsidR="00F75F48" w:rsidRPr="00F75F48" w:rsidRDefault="00F75F48" w:rsidP="00F75F48">
      <w:pPr>
        <w:spacing w:after="0" w:line="240" w:lineRule="auto"/>
        <w:outlineLvl w:val="1"/>
        <w:rPr>
          <w:b/>
          <w:sz w:val="24"/>
        </w:rPr>
      </w:pPr>
    </w:p>
    <w:p w:rsidR="00A91269" w:rsidRPr="00F75F48" w:rsidRDefault="00A91269" w:rsidP="00A91269">
      <w:pPr>
        <w:spacing w:after="0" w:line="240" w:lineRule="auto"/>
        <w:ind w:right="849"/>
        <w:jc w:val="right"/>
        <w:outlineLvl w:val="1"/>
        <w:rPr>
          <w:sz w:val="24"/>
        </w:rPr>
      </w:pPr>
    </w:p>
    <w:p w:rsidR="00A91269" w:rsidRDefault="00A91269" w:rsidP="00A91269">
      <w:pPr>
        <w:spacing w:after="0" w:line="240" w:lineRule="auto"/>
        <w:ind w:left="-709"/>
        <w:outlineLvl w:val="1"/>
        <w:rPr>
          <w:rFonts w:asciiTheme="minorHAnsi" w:eastAsiaTheme="minorHAnsi" w:hAnsiTheme="minorHAnsi" w:cstheme="minorBidi"/>
          <w:sz w:val="22"/>
          <w:szCs w:val="22"/>
          <w:lang w:eastAsia="en-US"/>
        </w:rPr>
      </w:pPr>
      <w:r>
        <w:rPr>
          <w:szCs w:val="28"/>
        </w:rPr>
        <w:fldChar w:fldCharType="begin"/>
      </w:r>
      <w:r>
        <w:rPr>
          <w:szCs w:val="28"/>
        </w:rPr>
        <w:instrText xml:space="preserve"> LINK Excel.Sheet.12 "\\\\10.54.1.6\\Water1\\СПРАВКИ ОТДЕЛА\\Годовой отчет 2024 ВВ\\3. Графики по СФО и Городам миллионикам.xlsx" "данные для графиков (СФО)!R4C1:R16C15" \a \f 5 \h  \* MERGEFORMAT </w:instrText>
      </w:r>
      <w:r>
        <w:rPr>
          <w:szCs w:val="28"/>
        </w:rPr>
        <w:fldChar w:fldCharType="separate"/>
      </w:r>
    </w:p>
    <w:p w:rsidR="00A91269" w:rsidRDefault="00A91269" w:rsidP="00A91269">
      <w:pPr>
        <w:spacing w:after="0" w:line="240" w:lineRule="auto"/>
        <w:ind w:left="-709"/>
        <w:outlineLvl w:val="1"/>
        <w:rPr>
          <w:szCs w:val="28"/>
        </w:rPr>
      </w:pPr>
      <w:r>
        <w:rPr>
          <w:szCs w:val="28"/>
        </w:rPr>
        <w:fldChar w:fldCharType="end"/>
      </w:r>
    </w:p>
    <w:p w:rsidR="00A91269" w:rsidRDefault="00A91269" w:rsidP="00A91269">
      <w:pPr>
        <w:spacing w:after="0" w:line="240" w:lineRule="auto"/>
        <w:ind w:left="-709"/>
        <w:outlineLvl w:val="1"/>
        <w:rPr>
          <w:szCs w:val="28"/>
        </w:rPr>
      </w:pPr>
    </w:p>
    <w:p w:rsidR="00A91269" w:rsidRDefault="00A91269" w:rsidP="00F75F48">
      <w:pPr>
        <w:spacing w:after="0" w:line="240" w:lineRule="auto"/>
        <w:outlineLvl w:val="1"/>
        <w:rPr>
          <w:szCs w:val="28"/>
        </w:rPr>
      </w:pPr>
      <w:r w:rsidRPr="00F75F48">
        <w:rPr>
          <w:noProof/>
          <w:sz w:val="20"/>
          <w:szCs w:val="20"/>
        </w:rPr>
        <w:lastRenderedPageBreak/>
        <w:drawing>
          <wp:inline distT="0" distB="0" distL="0" distR="0" wp14:anchorId="06B2E79B" wp14:editId="186BE693">
            <wp:extent cx="5339862" cy="1680046"/>
            <wp:effectExtent l="0" t="0" r="0" b="0"/>
            <wp:docPr id="6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pic:cNvPicPr>
                  </pic:nvPicPr>
                  <pic:blipFill>
                    <a:blip r:embed="rId93">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94"/>
                        </a:ext>
                      </a:extLst>
                    </a:blip>
                    <a:stretch/>
                  </pic:blipFill>
                  <pic:spPr bwMode="auto">
                    <a:xfrm>
                      <a:off x="0" y="0"/>
                      <a:ext cx="5350910" cy="1683522"/>
                    </a:xfrm>
                    <a:prstGeom prst="rect">
                      <a:avLst/>
                    </a:prstGeom>
                    <a:noFill/>
                    <a:ln>
                      <a:noFill/>
                    </a:ln>
                  </pic:spPr>
                </pic:pic>
              </a:graphicData>
            </a:graphic>
          </wp:inline>
        </w:drawing>
      </w:r>
    </w:p>
    <w:p w:rsidR="00A91269" w:rsidRDefault="00A91269" w:rsidP="00A91269">
      <w:pPr>
        <w:spacing w:after="0" w:line="240" w:lineRule="auto"/>
        <w:ind w:right="140" w:firstLine="567"/>
        <w:jc w:val="both"/>
        <w:outlineLvl w:val="1"/>
        <w:rPr>
          <w:szCs w:val="28"/>
        </w:rPr>
      </w:pPr>
    </w:p>
    <w:p w:rsidR="00A91269" w:rsidRDefault="007F1DFA" w:rsidP="00A91269">
      <w:pPr>
        <w:spacing w:after="0" w:line="240" w:lineRule="auto"/>
        <w:ind w:right="140" w:firstLine="567"/>
        <w:jc w:val="both"/>
        <w:outlineLvl w:val="1"/>
        <w:rPr>
          <w:szCs w:val="28"/>
        </w:rPr>
      </w:pPr>
      <w:r>
        <w:rPr>
          <w:noProof/>
        </w:rPr>
        <w:drawing>
          <wp:anchor distT="0" distB="0" distL="114300" distR="114300" simplePos="0" relativeHeight="251673600" behindDoc="0" locked="0" layoutInCell="1" allowOverlap="1" wp14:anchorId="7E7950E4" wp14:editId="0F214393">
            <wp:simplePos x="0" y="0"/>
            <wp:positionH relativeFrom="column">
              <wp:posOffset>179705</wp:posOffset>
            </wp:positionH>
            <wp:positionV relativeFrom="paragraph">
              <wp:posOffset>1153160</wp:posOffset>
            </wp:positionV>
            <wp:extent cx="5169535" cy="3217545"/>
            <wp:effectExtent l="0" t="0" r="12065" b="20955"/>
            <wp:wrapTopAndBottom/>
            <wp:docPr id="62" name="Диаграмма 5" title="Динамика величин тарифов на водоснабжение за период 2012-2021 г.г."/>
            <wp:cNvGraphicFramePr/>
            <a:graphic xmlns:a="http://schemas.openxmlformats.org/drawingml/2006/main">
              <a:graphicData uri="http://schemas.openxmlformats.org/drawingml/2006/chart">
                <c:chart xmlns:c="http://schemas.openxmlformats.org/drawingml/2006/chart" xmlns:r="http://schemas.openxmlformats.org/officeDocument/2006/relationships" r:id="rId95"/>
              </a:graphicData>
            </a:graphic>
            <wp14:sizeRelH relativeFrom="page">
              <wp14:pctWidth>0</wp14:pctWidth>
            </wp14:sizeRelH>
            <wp14:sizeRelV relativeFrom="page">
              <wp14:pctHeight>0</wp14:pctHeight>
            </wp14:sizeRelV>
          </wp:anchor>
        </w:drawing>
      </w:r>
      <w:r w:rsidR="00A91269">
        <w:rPr>
          <w:szCs w:val="28"/>
        </w:rPr>
        <w:t>Максимальное значение тарифов на питьевую воду в крупных городах Сибирского федерального округа за анализируемый период наблюдается в городах: Томске, Горно-Алтайске и Кемерово, минимальное значение в городе Иркутске, тариф, установленный в городе Новосибирске имеет значение ближе к минимальному.</w:t>
      </w:r>
    </w:p>
    <w:p w:rsidR="00A91269" w:rsidRDefault="00A91269" w:rsidP="007F1DFA">
      <w:pPr>
        <w:spacing w:after="0" w:line="240" w:lineRule="auto"/>
        <w:ind w:left="567" w:right="140" w:firstLine="567"/>
        <w:jc w:val="both"/>
        <w:outlineLvl w:val="1"/>
        <w:rPr>
          <w:szCs w:val="28"/>
        </w:rPr>
      </w:pPr>
      <w:r>
        <w:rPr>
          <w:szCs w:val="28"/>
        </w:rPr>
        <w:t>Тарифы на водоотведение по городам - миллионникам за период 2021-2025 гг.</w:t>
      </w:r>
    </w:p>
    <w:p w:rsidR="00A91269" w:rsidRPr="00AE6BA4" w:rsidRDefault="00AE6BA4" w:rsidP="00A91269">
      <w:pPr>
        <w:tabs>
          <w:tab w:val="left" w:pos="9356"/>
        </w:tabs>
        <w:spacing w:after="0" w:line="240" w:lineRule="auto"/>
        <w:ind w:right="567"/>
        <w:jc w:val="right"/>
        <w:outlineLvl w:val="1"/>
        <w:rPr>
          <w:sz w:val="22"/>
          <w:szCs w:val="22"/>
        </w:rPr>
      </w:pPr>
      <w:r w:rsidRPr="00AE6BA4">
        <w:rPr>
          <w:noProof/>
          <w:sz w:val="22"/>
          <w:szCs w:val="22"/>
        </w:rPr>
        <w:drawing>
          <wp:anchor distT="0" distB="0" distL="114300" distR="114300" simplePos="0" relativeHeight="251681792" behindDoc="0" locked="0" layoutInCell="1" allowOverlap="1" wp14:anchorId="0A2A24EA" wp14:editId="0DD6D591">
            <wp:simplePos x="0" y="0"/>
            <wp:positionH relativeFrom="column">
              <wp:posOffset>103505</wp:posOffset>
            </wp:positionH>
            <wp:positionV relativeFrom="paragraph">
              <wp:posOffset>203835</wp:posOffset>
            </wp:positionV>
            <wp:extent cx="5715000" cy="2039620"/>
            <wp:effectExtent l="0" t="0" r="0" b="0"/>
            <wp:wrapTopAndBottom/>
            <wp:docPr id="63"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96">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97"/>
                        </a:ext>
                      </a:extLst>
                    </a:blip>
                    <a:stretch/>
                  </pic:blipFill>
                  <pic:spPr bwMode="auto">
                    <a:xfrm>
                      <a:off x="0" y="0"/>
                      <a:ext cx="5715000" cy="2039620"/>
                    </a:xfrm>
                    <a:prstGeom prst="rect">
                      <a:avLst/>
                    </a:prstGeom>
                    <a:noFill/>
                    <a:ln>
                      <a:noFill/>
                    </a:ln>
                  </pic:spPr>
                </pic:pic>
              </a:graphicData>
            </a:graphic>
            <wp14:sizeRelH relativeFrom="page">
              <wp14:pctWidth>0</wp14:pctWidth>
            </wp14:sizeRelH>
            <wp14:sizeRelV relativeFrom="page">
              <wp14:pctHeight>0</wp14:pctHeight>
            </wp14:sizeRelV>
          </wp:anchor>
        </w:drawing>
      </w:r>
      <w:r w:rsidR="00A91269" w:rsidRPr="00AE6BA4">
        <w:rPr>
          <w:sz w:val="22"/>
          <w:szCs w:val="22"/>
        </w:rPr>
        <w:t>с НДС, руб./м</w:t>
      </w:r>
      <w:r w:rsidR="00A91269" w:rsidRPr="00AE6BA4">
        <w:rPr>
          <w:sz w:val="22"/>
          <w:szCs w:val="22"/>
          <w:vertAlign w:val="superscript"/>
        </w:rPr>
        <w:t>3</w:t>
      </w:r>
    </w:p>
    <w:p w:rsidR="00A91269" w:rsidRDefault="00A91269" w:rsidP="00A91269">
      <w:pPr>
        <w:spacing w:after="0" w:line="240" w:lineRule="auto"/>
        <w:ind w:firstLine="567"/>
        <w:jc w:val="both"/>
        <w:outlineLvl w:val="1"/>
        <w:rPr>
          <w:szCs w:val="28"/>
        </w:rPr>
      </w:pPr>
      <w:r>
        <w:rPr>
          <w:szCs w:val="28"/>
        </w:rPr>
        <w:lastRenderedPageBreak/>
        <w:t>Максимальные значения тарифов на водоотведение из перечня городов - миллионников (представленных в таблице) установлены в городах: Москве, Казани и Санкт-Петербурге, минимальное значение тарифа на протяжении всего анализируемого периода в городе Новосибирске.</w:t>
      </w:r>
    </w:p>
    <w:p w:rsidR="00A91269" w:rsidRDefault="00AE6BA4" w:rsidP="00AE6BA4">
      <w:pPr>
        <w:spacing w:after="0" w:line="240" w:lineRule="auto"/>
        <w:outlineLvl w:val="1"/>
        <w:rPr>
          <w:szCs w:val="28"/>
        </w:rPr>
      </w:pPr>
      <w:r>
        <w:rPr>
          <w:noProof/>
        </w:rPr>
        <w:drawing>
          <wp:anchor distT="0" distB="0" distL="114300" distR="114300" simplePos="0" relativeHeight="251675648" behindDoc="0" locked="0" layoutInCell="1" allowOverlap="1" wp14:anchorId="05CBC3C4" wp14:editId="7521F07F">
            <wp:simplePos x="0" y="0"/>
            <wp:positionH relativeFrom="column">
              <wp:posOffset>-60325</wp:posOffset>
            </wp:positionH>
            <wp:positionV relativeFrom="paragraph">
              <wp:posOffset>208280</wp:posOffset>
            </wp:positionV>
            <wp:extent cx="5936615" cy="2186305"/>
            <wp:effectExtent l="0" t="0" r="6985" b="4445"/>
            <wp:wrapTopAndBottom/>
            <wp:docPr id="256"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pic:cNvPicPr>
                  </pic:nvPicPr>
                  <pic:blipFill>
                    <a:blip r:embed="rId98">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99"/>
                        </a:ext>
                      </a:extLst>
                    </a:blip>
                    <a:stretch/>
                  </pic:blipFill>
                  <pic:spPr bwMode="auto">
                    <a:xfrm>
                      <a:off x="0" y="0"/>
                      <a:ext cx="5936615" cy="21863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0" locked="0" layoutInCell="1" allowOverlap="1" wp14:anchorId="32141E1E" wp14:editId="48D4209E">
            <wp:simplePos x="0" y="0"/>
            <wp:positionH relativeFrom="column">
              <wp:posOffset>196850</wp:posOffset>
            </wp:positionH>
            <wp:positionV relativeFrom="paragraph">
              <wp:posOffset>3009900</wp:posOffset>
            </wp:positionV>
            <wp:extent cx="5380355" cy="3985260"/>
            <wp:effectExtent l="0" t="0" r="10795" b="15240"/>
            <wp:wrapTopAndBottom/>
            <wp:docPr id="257" name="Диаграмма 15" title="Динамика величин тарифов на водоснабжение за период 2012-2021 г.г."/>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14:sizeRelH relativeFrom="page">
              <wp14:pctWidth>0</wp14:pctWidth>
            </wp14:sizeRelH>
            <wp14:sizeRelV relativeFrom="page">
              <wp14:pctHeight>0</wp14:pctHeight>
            </wp14:sizeRelV>
          </wp:anchor>
        </w:drawing>
      </w: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E6BA4" w:rsidRDefault="00AE6BA4" w:rsidP="00AE6BA4">
      <w:pPr>
        <w:spacing w:after="0" w:line="240" w:lineRule="auto"/>
        <w:outlineLvl w:val="1"/>
        <w:rPr>
          <w:b/>
          <w:sz w:val="24"/>
        </w:rPr>
      </w:pPr>
    </w:p>
    <w:p w:rsidR="00A91269" w:rsidRPr="00AE6BA4" w:rsidRDefault="00A91269" w:rsidP="00AE6BA4">
      <w:pPr>
        <w:spacing w:after="0" w:line="240" w:lineRule="auto"/>
        <w:outlineLvl w:val="1"/>
        <w:rPr>
          <w:b/>
          <w:sz w:val="24"/>
        </w:rPr>
      </w:pPr>
      <w:r w:rsidRPr="00AE6BA4">
        <w:rPr>
          <w:b/>
          <w:sz w:val="24"/>
        </w:rPr>
        <w:t>Тарифы на водоотведение по Сибирскому федеральному округу</w:t>
      </w:r>
    </w:p>
    <w:p w:rsidR="00A91269" w:rsidRPr="00AE6BA4" w:rsidRDefault="00A91269" w:rsidP="00AE6BA4">
      <w:pPr>
        <w:spacing w:after="0" w:line="240" w:lineRule="auto"/>
        <w:outlineLvl w:val="1"/>
        <w:rPr>
          <w:b/>
          <w:sz w:val="24"/>
        </w:rPr>
      </w:pPr>
      <w:r w:rsidRPr="00AE6BA4">
        <w:rPr>
          <w:b/>
          <w:sz w:val="24"/>
        </w:rPr>
        <w:t>за период 2021-2025 гг.</w:t>
      </w:r>
    </w:p>
    <w:p w:rsidR="00AE6BA4" w:rsidRPr="00AE6BA4" w:rsidRDefault="00AE6BA4" w:rsidP="00AE6BA4">
      <w:pPr>
        <w:spacing w:after="0"/>
        <w:ind w:right="707"/>
        <w:jc w:val="right"/>
        <w:outlineLvl w:val="1"/>
        <w:rPr>
          <w:sz w:val="24"/>
          <w:vertAlign w:val="superscript"/>
        </w:rPr>
      </w:pPr>
      <w:r w:rsidRPr="00AE6BA4">
        <w:rPr>
          <w:sz w:val="24"/>
        </w:rPr>
        <w:t>с НДС, руб./м</w:t>
      </w:r>
      <w:r w:rsidRPr="00AE6BA4">
        <w:rPr>
          <w:sz w:val="24"/>
          <w:vertAlign w:val="superscript"/>
        </w:rPr>
        <w:t>3</w:t>
      </w:r>
    </w:p>
    <w:p w:rsidR="00AE6BA4" w:rsidRDefault="00AE6BA4" w:rsidP="00A91269">
      <w:pPr>
        <w:spacing w:after="0" w:line="240" w:lineRule="auto"/>
        <w:ind w:left="-709"/>
        <w:outlineLvl w:val="1"/>
        <w:rPr>
          <w:szCs w:val="28"/>
        </w:rPr>
      </w:pPr>
    </w:p>
    <w:p w:rsidR="00A91269" w:rsidRDefault="00AE6BA4" w:rsidP="00AE6BA4">
      <w:pPr>
        <w:spacing w:after="0" w:line="240" w:lineRule="auto"/>
        <w:ind w:firstLine="851"/>
        <w:jc w:val="both"/>
        <w:outlineLvl w:val="1"/>
        <w:rPr>
          <w:szCs w:val="28"/>
        </w:rPr>
      </w:pPr>
      <w:r>
        <w:rPr>
          <w:noProof/>
        </w:rPr>
        <w:drawing>
          <wp:anchor distT="0" distB="0" distL="114300" distR="114300" simplePos="0" relativeHeight="251677696" behindDoc="0" locked="0" layoutInCell="1" allowOverlap="1" wp14:anchorId="0CF41E53" wp14:editId="0C3C103A">
            <wp:simplePos x="0" y="0"/>
            <wp:positionH relativeFrom="column">
              <wp:posOffset>283210</wp:posOffset>
            </wp:positionH>
            <wp:positionV relativeFrom="paragraph">
              <wp:posOffset>54610</wp:posOffset>
            </wp:positionV>
            <wp:extent cx="5515610" cy="2417445"/>
            <wp:effectExtent l="0" t="0" r="8890" b="1905"/>
            <wp:wrapTopAndBottom/>
            <wp:docPr id="258"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pic:cNvPicPr>
                  </pic:nvPicPr>
                  <pic:blipFill>
                    <a:blip r:embed="rId101">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102"/>
                        </a:ext>
                      </a:extLst>
                    </a:blip>
                    <a:stretch/>
                  </pic:blipFill>
                  <pic:spPr bwMode="auto">
                    <a:xfrm>
                      <a:off x="0" y="0"/>
                      <a:ext cx="5515610" cy="2417445"/>
                    </a:xfrm>
                    <a:prstGeom prst="rect">
                      <a:avLst/>
                    </a:prstGeom>
                    <a:noFill/>
                    <a:ln>
                      <a:noFill/>
                    </a:ln>
                  </pic:spPr>
                </pic:pic>
              </a:graphicData>
            </a:graphic>
            <wp14:sizeRelH relativeFrom="page">
              <wp14:pctWidth>0</wp14:pctWidth>
            </wp14:sizeRelH>
            <wp14:sizeRelV relativeFrom="page">
              <wp14:pctHeight>0</wp14:pctHeight>
            </wp14:sizeRelV>
          </wp:anchor>
        </w:drawing>
      </w:r>
      <w:r w:rsidR="00A91269">
        <w:rPr>
          <w:szCs w:val="28"/>
        </w:rPr>
        <w:t>Максимальные значения тарифов на водоотведение за период 2021-2025 гг  среди крупных городов Сибирского Федерального округа наблюдается в городах: Горно-Алтайске, Томске, Абакане и Кемерово, минимальное значение тарифа в городе Иркутске, тариф, установленный в городе Новосибирске имеет значение ближе к минимальному.</w:t>
      </w:r>
    </w:p>
    <w:p w:rsidR="00A91269" w:rsidRDefault="00A91269" w:rsidP="00AE6BA4">
      <w:pPr>
        <w:spacing w:after="0" w:line="240" w:lineRule="auto"/>
        <w:outlineLvl w:val="1"/>
        <w:rPr>
          <w:szCs w:val="28"/>
        </w:rPr>
      </w:pPr>
      <w:r>
        <w:rPr>
          <w:noProof/>
        </w:rPr>
        <w:drawing>
          <wp:inline distT="0" distB="0" distL="0" distR="0" wp14:anchorId="77472BC7" wp14:editId="00675FAB">
            <wp:extent cx="5474677" cy="1757924"/>
            <wp:effectExtent l="0" t="0" r="0" b="0"/>
            <wp:docPr id="259"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pic:cNvPicPr>
                  </pic:nvPicPr>
                  <pic:blipFill>
                    <a:blip r:embed="rId103">
                      <a:extLst>
                        <a:ext uri="{96DAC541-7B7A-43D3-8B79-37D633B846F1}">
                          <asvg:svgBlip xmlns:asvg="http://schemas.microsoft.com/office/drawing/2016/SVG/main" xmlns:w15="http://schemas.microsoft.com/office/word/2012/wordml" xmlns:w="http://schemas.openxmlformats.org/wordprocessingml/2006/main" xmlns:w10="urn:schemas-microsoft-com:office:word" xmlns:v="urn:schemas-microsoft-com:vml" xmlns:o="urn:schemas-microsoft-com:office:office" xmlns="" r:embed="rId104"/>
                        </a:ext>
                      </a:extLst>
                    </a:blip>
                    <a:stretch/>
                  </pic:blipFill>
                  <pic:spPr bwMode="auto">
                    <a:xfrm>
                      <a:off x="0" y="0"/>
                      <a:ext cx="5478690" cy="1759212"/>
                    </a:xfrm>
                    <a:prstGeom prst="rect">
                      <a:avLst/>
                    </a:prstGeom>
                    <a:noFill/>
                    <a:ln>
                      <a:noFill/>
                    </a:ln>
                  </pic:spPr>
                </pic:pic>
              </a:graphicData>
            </a:graphic>
          </wp:inline>
        </w:drawing>
      </w:r>
    </w:p>
    <w:p w:rsidR="00A91269" w:rsidRDefault="00A91269" w:rsidP="00A91269">
      <w:pPr>
        <w:spacing w:after="0" w:line="240" w:lineRule="auto"/>
        <w:ind w:left="-709"/>
        <w:outlineLvl w:val="1"/>
        <w:rPr>
          <w:szCs w:val="28"/>
        </w:rPr>
      </w:pPr>
    </w:p>
    <w:p w:rsidR="00A91269" w:rsidRDefault="00A91269" w:rsidP="00A91269">
      <w:pPr>
        <w:spacing w:after="0" w:line="240" w:lineRule="auto"/>
        <w:ind w:left="-709"/>
        <w:outlineLvl w:val="1"/>
        <w:rPr>
          <w:szCs w:val="28"/>
        </w:rPr>
      </w:pPr>
      <w:r>
        <w:rPr>
          <w:noProof/>
        </w:rPr>
        <w:lastRenderedPageBreak/>
        <w:drawing>
          <wp:inline distT="0" distB="0" distL="0" distR="0" wp14:anchorId="18CDC5AA" wp14:editId="2924DA7C">
            <wp:extent cx="5158153" cy="2737339"/>
            <wp:effectExtent l="0" t="0" r="23495" b="25400"/>
            <wp:docPr id="260" name="Диаграмма 45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inline>
        </w:drawing>
      </w:r>
    </w:p>
    <w:p w:rsidR="00A91269" w:rsidRPr="007D3CAF" w:rsidRDefault="00A91269" w:rsidP="007D3CAF">
      <w:pPr>
        <w:pStyle w:val="4"/>
      </w:pPr>
      <w:bookmarkStart w:id="96" w:name="_Toc193810568"/>
      <w:r w:rsidRPr="007D3CAF">
        <w:t>2.4.2. Мониторинг производственных программ, цен (тарифов) в сфере водоснабжения и водоотведения</w:t>
      </w:r>
      <w:bookmarkEnd w:id="96"/>
    </w:p>
    <w:p w:rsidR="00A91269" w:rsidRDefault="00A91269" w:rsidP="00A91269">
      <w:pPr>
        <w:spacing w:after="0" w:line="240" w:lineRule="auto"/>
        <w:ind w:firstLine="539"/>
        <w:jc w:val="both"/>
        <w:outlineLvl w:val="1"/>
        <w:rPr>
          <w:szCs w:val="28"/>
        </w:rPr>
      </w:pPr>
      <w:r>
        <w:rPr>
          <w:szCs w:val="28"/>
        </w:rPr>
        <w:t>Департамент в рамках осуществления полномочий в соответствии со статьей 5 Федерального закона от 07.12.2011 № 416-ФЗ «О водоснабжении и водоотведении»</w:t>
      </w:r>
      <w:r>
        <w:rPr>
          <w:bCs/>
          <w:iCs/>
          <w:szCs w:val="28"/>
        </w:rPr>
        <w:t xml:space="preserve"> </w:t>
      </w:r>
      <w:r>
        <w:rPr>
          <w:szCs w:val="28"/>
        </w:rPr>
        <w:t>в отношении регулируемых организаций проводит мониторинг (в формате шаблонов) выполнения производственных программ, правильности применения тарифов в сфере водоснабжения и водоотведения, утверждённых органом регулирования.</w:t>
      </w:r>
    </w:p>
    <w:p w:rsidR="007D3CAF" w:rsidRDefault="00A91269" w:rsidP="00A91269">
      <w:pPr>
        <w:spacing w:after="0" w:line="240" w:lineRule="auto"/>
        <w:ind w:firstLine="539"/>
        <w:jc w:val="both"/>
        <w:outlineLvl w:val="1"/>
        <w:rPr>
          <w:spacing w:val="2"/>
          <w:szCs w:val="28"/>
        </w:rPr>
      </w:pPr>
      <w:r>
        <w:rPr>
          <w:szCs w:val="28"/>
        </w:rPr>
        <w:t xml:space="preserve">Информация в установленные сроки направляется в ФАС России </w:t>
      </w:r>
      <w:r>
        <w:rPr>
          <w:spacing w:val="2"/>
          <w:szCs w:val="28"/>
        </w:rPr>
        <w:t>по системе ЕИАС. В отчетный период направлено 33 шаблона</w:t>
      </w:r>
      <w:r w:rsidR="007D3CAF">
        <w:rPr>
          <w:spacing w:val="2"/>
          <w:szCs w:val="28"/>
        </w:rPr>
        <w:t>.</w:t>
      </w:r>
    </w:p>
    <w:p w:rsidR="00A91269" w:rsidRDefault="00A91269" w:rsidP="007D3CAF">
      <w:pPr>
        <w:pStyle w:val="4"/>
      </w:pPr>
      <w:bookmarkStart w:id="97" w:name="_Toc193810569"/>
      <w:r>
        <w:rPr>
          <w:iCs/>
        </w:rPr>
        <w:t>2.4.</w:t>
      </w:r>
      <w:r w:rsidR="007D3CAF">
        <w:rPr>
          <w:iCs/>
        </w:rPr>
        <w:t>3</w:t>
      </w:r>
      <w:r>
        <w:rPr>
          <w:iCs/>
        </w:rPr>
        <w:t xml:space="preserve">. </w:t>
      </w:r>
      <w:r>
        <w:t>Согласование долгосрочных параметров для концессионных соглашений</w:t>
      </w:r>
      <w:bookmarkEnd w:id="97"/>
    </w:p>
    <w:p w:rsidR="00A91269" w:rsidRDefault="00A91269" w:rsidP="00A91269">
      <w:pPr>
        <w:spacing w:after="0" w:line="240" w:lineRule="auto"/>
        <w:ind w:firstLine="567"/>
        <w:jc w:val="both"/>
        <w:rPr>
          <w:szCs w:val="28"/>
        </w:rPr>
      </w:pPr>
      <w:r>
        <w:rPr>
          <w:szCs w:val="28"/>
        </w:rPr>
        <w:t xml:space="preserve">В соответствии с Главой </w:t>
      </w:r>
      <w:r>
        <w:rPr>
          <w:szCs w:val="28"/>
          <w:lang w:val="en-US"/>
        </w:rPr>
        <w:t>VII</w:t>
      </w:r>
      <w:r>
        <w:rPr>
          <w:szCs w:val="28"/>
        </w:rPr>
        <w:t xml:space="preserve"> Правил регулирования тарифов в сфере водоснабжения и водоотведения», утверждённых постановлением Правительства Российской Федерации от 13.05.2013 № 406 департаментом согласованы долгосрочные параметры регулирования и направлены сведения о ценах, значениях и параметрах, подлежащих представлению органом регулирования организатору конкурса, для следующих муниципальных образований Новосибирской области:</w:t>
      </w:r>
    </w:p>
    <w:p w:rsidR="00A91269" w:rsidRDefault="00A91269" w:rsidP="00A91269">
      <w:pPr>
        <w:spacing w:after="0" w:line="240" w:lineRule="auto"/>
        <w:ind w:firstLine="567"/>
        <w:jc w:val="both"/>
        <w:rPr>
          <w:szCs w:val="28"/>
        </w:rPr>
      </w:pPr>
      <w:r>
        <w:rPr>
          <w:szCs w:val="28"/>
        </w:rPr>
        <w:t>1. Краснозёрский район (р.п. Краснозерское);</w:t>
      </w:r>
    </w:p>
    <w:p w:rsidR="00A91269" w:rsidRDefault="00A91269" w:rsidP="00A91269">
      <w:pPr>
        <w:spacing w:after="0" w:line="240" w:lineRule="auto"/>
        <w:ind w:firstLine="567"/>
        <w:jc w:val="both"/>
        <w:rPr>
          <w:szCs w:val="28"/>
        </w:rPr>
      </w:pPr>
      <w:r>
        <w:rPr>
          <w:szCs w:val="28"/>
        </w:rPr>
        <w:t>2. Кыштовский район (с. Кыштовка);</w:t>
      </w:r>
    </w:p>
    <w:p w:rsidR="00A91269" w:rsidRDefault="00A91269" w:rsidP="00A91269">
      <w:pPr>
        <w:spacing w:after="0" w:line="240" w:lineRule="auto"/>
        <w:ind w:firstLine="567"/>
        <w:jc w:val="both"/>
        <w:rPr>
          <w:szCs w:val="28"/>
        </w:rPr>
      </w:pPr>
      <w:r>
        <w:rPr>
          <w:szCs w:val="28"/>
        </w:rPr>
        <w:t>3. Черепановский район (г. Черепаново, р.п. Дорогино, р.п. Посевная).</w:t>
      </w:r>
    </w:p>
    <w:p w:rsidR="00A91269" w:rsidRDefault="00A91269" w:rsidP="00A91269">
      <w:pPr>
        <w:spacing w:after="0" w:line="240" w:lineRule="auto"/>
        <w:ind w:firstLine="567"/>
        <w:jc w:val="both"/>
        <w:rPr>
          <w:szCs w:val="28"/>
        </w:rPr>
      </w:pPr>
      <w:r>
        <w:rPr>
          <w:szCs w:val="28"/>
        </w:rPr>
        <w:t>Кроме того в 2024 году были рассмотрены, но не согласованы долгосрочные параметры регулирования для следующих муниципальных образований Новосибирской области:</w:t>
      </w:r>
    </w:p>
    <w:p w:rsidR="00A91269" w:rsidRDefault="00A91269" w:rsidP="00A91269">
      <w:pPr>
        <w:spacing w:after="0" w:line="240" w:lineRule="auto"/>
        <w:ind w:firstLine="567"/>
        <w:jc w:val="both"/>
        <w:rPr>
          <w:szCs w:val="28"/>
        </w:rPr>
      </w:pPr>
      <w:r>
        <w:rPr>
          <w:szCs w:val="28"/>
        </w:rPr>
        <w:t>1. Краснозерский район (Полойский и Мохнатологовский сельсоветы);</w:t>
      </w:r>
    </w:p>
    <w:p w:rsidR="00A91269" w:rsidRDefault="00A91269" w:rsidP="00A91269">
      <w:pPr>
        <w:spacing w:after="0" w:line="240" w:lineRule="auto"/>
        <w:ind w:firstLine="567"/>
        <w:jc w:val="both"/>
        <w:rPr>
          <w:szCs w:val="28"/>
        </w:rPr>
      </w:pPr>
      <w:r>
        <w:rPr>
          <w:szCs w:val="28"/>
        </w:rPr>
        <w:t>2. Венгеровский район (Венгеровский, Новотартасский, Павловский, Петропавловский 1-й сельсоветы);</w:t>
      </w:r>
    </w:p>
    <w:p w:rsidR="00A91269" w:rsidRDefault="00A91269" w:rsidP="00A91269">
      <w:pPr>
        <w:spacing w:after="0" w:line="240" w:lineRule="auto"/>
        <w:ind w:firstLine="567"/>
        <w:jc w:val="both"/>
        <w:rPr>
          <w:szCs w:val="28"/>
        </w:rPr>
      </w:pPr>
      <w:r>
        <w:rPr>
          <w:szCs w:val="28"/>
        </w:rPr>
        <w:t>3. Маслянинский район (р.п. Маслянино);</w:t>
      </w:r>
    </w:p>
    <w:p w:rsidR="00A91269" w:rsidRDefault="00A91269" w:rsidP="00A91269">
      <w:pPr>
        <w:spacing w:after="0" w:line="240" w:lineRule="auto"/>
        <w:ind w:firstLine="567"/>
        <w:jc w:val="both"/>
        <w:rPr>
          <w:szCs w:val="28"/>
        </w:rPr>
      </w:pPr>
      <w:r>
        <w:rPr>
          <w:szCs w:val="28"/>
        </w:rPr>
        <w:lastRenderedPageBreak/>
        <w:t>4. Чулымский район (Базовский, Большеникольский, Воздвиженский, Иткульский, Кабинетный, Каякский, Кокошинский, Ужанихинский, Осиновский, Серебрянский и Чикманский сельсоветы).</w:t>
      </w:r>
    </w:p>
    <w:p w:rsidR="00A91269" w:rsidRDefault="00A91269" w:rsidP="00A91269">
      <w:pPr>
        <w:spacing w:after="0" w:line="240" w:lineRule="auto"/>
        <w:ind w:firstLine="567"/>
        <w:jc w:val="both"/>
        <w:rPr>
          <w:szCs w:val="28"/>
        </w:rPr>
      </w:pPr>
      <w:r>
        <w:rPr>
          <w:szCs w:val="28"/>
        </w:rPr>
        <w:t>На территории Новосибирской области заключено три Концессионных соглашения на объекты водоснабжения и водоотведения:</w:t>
      </w:r>
    </w:p>
    <w:p w:rsidR="00A91269" w:rsidRDefault="00A91269" w:rsidP="00A91269">
      <w:pPr>
        <w:spacing w:after="0" w:line="240" w:lineRule="auto"/>
        <w:ind w:firstLine="567"/>
        <w:jc w:val="both"/>
        <w:rPr>
          <w:szCs w:val="28"/>
        </w:rPr>
      </w:pPr>
      <w:r>
        <w:rPr>
          <w:rFonts w:eastAsiaTheme="minorHAnsi"/>
          <w:szCs w:val="28"/>
          <w:lang w:eastAsia="en-US"/>
        </w:rPr>
        <w:t>1. Концессионное соглашение от 29.11.2023 № 78/69 в отношении объектов водоснабжения Северного района, предназначенных для холодного водоснабжения потребителей, находящихся на террритории Северного района Новосибирской области;</w:t>
      </w:r>
    </w:p>
    <w:p w:rsidR="00A91269" w:rsidRDefault="00A91269" w:rsidP="00A91269">
      <w:pPr>
        <w:spacing w:after="0" w:line="240" w:lineRule="auto"/>
        <w:ind w:firstLine="567"/>
        <w:jc w:val="both"/>
        <w:rPr>
          <w:rFonts w:ascii="Times New Roman CYR" w:eastAsiaTheme="minorHAnsi" w:hAnsi="Times New Roman CYR" w:cs="Times New Roman CYR"/>
          <w:szCs w:val="28"/>
          <w:lang w:eastAsia="en-US"/>
        </w:rPr>
      </w:pPr>
      <w:r>
        <w:rPr>
          <w:szCs w:val="28"/>
        </w:rPr>
        <w:t>2. </w:t>
      </w:r>
      <w:r>
        <w:rPr>
          <w:rFonts w:ascii="Times New Roman CYR" w:eastAsiaTheme="minorHAnsi" w:hAnsi="Times New Roman CYR" w:cs="Times New Roman CYR"/>
          <w:szCs w:val="28"/>
          <w:lang w:eastAsia="en-US"/>
        </w:rPr>
        <w:t>Концессионное соглашение от 18.12.2023 № 3 (84) в отношении объектов водоснабжения Венгеровского района, предназначенных для холодного водоснабжения потребителей, находящихся на территории Венгеровского района Новосибирской области;</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3. Концессионное соглашение от 18.12.2023 № 85 (6479) в отношении объектов водоснабжения и водоотведения Краснозерского района, предназначенных для холодного водоснабжения и водоотведения потребителей, находящихся на территории Краснозерского района Новосибирской области.</w:t>
      </w:r>
    </w:p>
    <w:p w:rsidR="00A91269" w:rsidRDefault="00A91269" w:rsidP="007D3CAF">
      <w:pPr>
        <w:pStyle w:val="4"/>
      </w:pPr>
      <w:bookmarkStart w:id="98" w:name="_Toc193810570"/>
      <w:r>
        <w:rPr>
          <w:iCs/>
        </w:rPr>
        <w:t>2.4.</w:t>
      </w:r>
      <w:r w:rsidR="007D3CAF">
        <w:rPr>
          <w:iCs/>
        </w:rPr>
        <w:t>4</w:t>
      </w:r>
      <w:r>
        <w:rPr>
          <w:iCs/>
        </w:rPr>
        <w:t xml:space="preserve">. </w:t>
      </w:r>
      <w:r>
        <w:t>Контроль над фактическим исполнением установленных требований к программам в области энергосбережения и повышения энергетической эффективности</w:t>
      </w:r>
      <w:bookmarkEnd w:id="98"/>
    </w:p>
    <w:p w:rsidR="00A91269" w:rsidRDefault="00A91269" w:rsidP="00A91269">
      <w:pPr>
        <w:spacing w:after="0" w:line="240" w:lineRule="auto"/>
        <w:ind w:firstLine="567"/>
        <w:jc w:val="both"/>
        <w:rPr>
          <w:szCs w:val="28"/>
        </w:rPr>
      </w:pPr>
      <w:r>
        <w:rPr>
          <w:szCs w:val="28"/>
        </w:rPr>
        <w:t xml:space="preserve">Департаментом осуществлялся контроль над фактическим исполнением установленных требований к программам в области энергосбережения и повышения энергетической эффективности. </w:t>
      </w:r>
    </w:p>
    <w:p w:rsidR="00A91269" w:rsidRDefault="00A91269" w:rsidP="00A91269">
      <w:pPr>
        <w:spacing w:after="0" w:line="240" w:lineRule="auto"/>
        <w:ind w:firstLine="567"/>
        <w:jc w:val="both"/>
        <w:rPr>
          <w:szCs w:val="28"/>
        </w:rPr>
      </w:pPr>
      <w:r>
        <w:rPr>
          <w:szCs w:val="28"/>
        </w:rPr>
        <w:t>В 2024 году департаментом проведена работа с отчетами о фактическом исполнении установленных требований к программам в области энергосбережения и повышения энергетической эффективности за 2023 год представленными 186 организациями.</w:t>
      </w:r>
    </w:p>
    <w:p w:rsidR="00A91269" w:rsidRDefault="00A91269" w:rsidP="007D3CAF">
      <w:pPr>
        <w:pStyle w:val="4"/>
      </w:pPr>
      <w:bookmarkStart w:id="99" w:name="_Toc193810571"/>
      <w:r>
        <w:t>2.4.</w:t>
      </w:r>
      <w:r w:rsidR="007D3CAF">
        <w:t>5</w:t>
      </w:r>
      <w:r>
        <w:t>. Контроль над фактическим исполнением установленных требований к производственным программам регулируемых организаций в сфере водоснабжения и водоотведения</w:t>
      </w:r>
      <w:bookmarkEnd w:id="99"/>
    </w:p>
    <w:p w:rsidR="00A91269" w:rsidRDefault="00A91269" w:rsidP="00A91269">
      <w:pPr>
        <w:spacing w:after="0" w:line="240" w:lineRule="auto"/>
        <w:ind w:firstLine="567"/>
        <w:jc w:val="both"/>
        <w:rPr>
          <w:b/>
          <w:szCs w:val="28"/>
        </w:rPr>
      </w:pPr>
      <w:r>
        <w:rPr>
          <w:szCs w:val="28"/>
        </w:rPr>
        <w:t>Департаментом осуществляется контроль над фактическим выполнением производственных программ регулируемых организаций в сфере водоснабжения и водоотведения. В 2024 году 230 организации представили отчеты за 2023 год о выполнении производственных программ. Информация о выполнении производственных программ размещена департаментом на портале Государственной информационной системе жилищно-коммунального хозяйства (ГИС ЖКХ).</w:t>
      </w:r>
    </w:p>
    <w:p w:rsidR="00A91269" w:rsidRDefault="007D3CAF" w:rsidP="007D3CAF">
      <w:pPr>
        <w:pStyle w:val="4"/>
      </w:pPr>
      <w:bookmarkStart w:id="100" w:name="_Toc193810572"/>
      <w:r>
        <w:rPr>
          <w:iCs/>
        </w:rPr>
        <w:t>2.4.6</w:t>
      </w:r>
      <w:r w:rsidR="00A91269">
        <w:rPr>
          <w:iCs/>
        </w:rPr>
        <w:t xml:space="preserve">. </w:t>
      </w:r>
      <w:r w:rsidR="00A91269">
        <w:t>Утверждение и корректировка инвестиционных программ в сфере водоснабжения и водоотведения</w:t>
      </w:r>
      <w:bookmarkEnd w:id="100"/>
    </w:p>
    <w:p w:rsidR="00A91269" w:rsidRDefault="00A91269" w:rsidP="00A91269">
      <w:pPr>
        <w:spacing w:after="0" w:line="240" w:lineRule="auto"/>
        <w:ind w:firstLine="567"/>
        <w:jc w:val="both"/>
        <w:rPr>
          <w:szCs w:val="28"/>
          <w:lang w:eastAsia="en-US"/>
        </w:rPr>
      </w:pPr>
      <w:r>
        <w:rPr>
          <w:szCs w:val="28"/>
          <w:lang w:eastAsia="en-US"/>
        </w:rPr>
        <w:t>В 2024 году департаментом утверждены (скорректированы) следующие проекты инвестиционных программ:</w:t>
      </w:r>
    </w:p>
    <w:p w:rsidR="00A91269" w:rsidRDefault="00A91269" w:rsidP="00A91269">
      <w:pPr>
        <w:spacing w:after="0" w:line="240" w:lineRule="auto"/>
        <w:ind w:firstLine="567"/>
        <w:jc w:val="both"/>
        <w:rPr>
          <w:szCs w:val="28"/>
          <w:lang w:eastAsia="en-US"/>
        </w:rPr>
      </w:pPr>
      <w:r>
        <w:rPr>
          <w:szCs w:val="28"/>
          <w:lang w:eastAsia="en-US"/>
        </w:rPr>
        <w:lastRenderedPageBreak/>
        <w:t>- Проект инвестиционной программы Муниципального унитарного предприятия города Новосибирска «ГОРВОДОКАНАЛ» «Развитие систем водоснабжения и водоотведения» на 2025 – 2029 годы (утвержден приказом от 30.10.2024 № 258-В);</w:t>
      </w:r>
    </w:p>
    <w:p w:rsidR="00A91269" w:rsidRDefault="00A91269" w:rsidP="00A91269">
      <w:pPr>
        <w:spacing w:after="0" w:line="240" w:lineRule="auto"/>
        <w:ind w:firstLine="567"/>
        <w:jc w:val="both"/>
        <w:rPr>
          <w:szCs w:val="28"/>
        </w:rPr>
      </w:pPr>
      <w:r>
        <w:rPr>
          <w:szCs w:val="28"/>
          <w:lang w:eastAsia="en-US"/>
        </w:rPr>
        <w:t xml:space="preserve">- Проект корректировки инвестиционной программы </w:t>
      </w:r>
      <w:r>
        <w:rPr>
          <w:szCs w:val="28"/>
        </w:rPr>
        <w:t>Муниципального унитарного предприятия города Новосибирска «ГОРВОДОКАНАЛ» «Развитие систем водоснабжения и водоотведения» на 2020-2024 годы (корректировка от 19.11.2024);</w:t>
      </w:r>
    </w:p>
    <w:p w:rsidR="00A91269" w:rsidRDefault="00A91269" w:rsidP="00A91269">
      <w:pPr>
        <w:spacing w:after="0" w:line="240" w:lineRule="auto"/>
        <w:ind w:firstLine="567"/>
        <w:jc w:val="both"/>
        <w:rPr>
          <w:szCs w:val="28"/>
          <w:lang w:eastAsia="en-US"/>
        </w:rPr>
      </w:pPr>
      <w:r>
        <w:rPr>
          <w:szCs w:val="28"/>
        </w:rPr>
        <w:t xml:space="preserve">Кроме того в 2024 году были рассмотрены, но не утверждены </w:t>
      </w:r>
      <w:r w:rsidR="007D3CAF">
        <w:rPr>
          <w:szCs w:val="28"/>
        </w:rPr>
        <w:t xml:space="preserve">(направлены на доработку) </w:t>
      </w:r>
      <w:r>
        <w:rPr>
          <w:szCs w:val="28"/>
          <w:lang w:eastAsia="en-US"/>
        </w:rPr>
        <w:t>следующие проекты инвестиционных программ:</w:t>
      </w:r>
    </w:p>
    <w:p w:rsidR="00A91269" w:rsidRDefault="00A91269" w:rsidP="00A91269">
      <w:pPr>
        <w:spacing w:after="0" w:line="240" w:lineRule="auto"/>
        <w:ind w:firstLine="567"/>
        <w:jc w:val="both"/>
        <w:rPr>
          <w:szCs w:val="28"/>
        </w:rPr>
      </w:pPr>
      <w:r>
        <w:rPr>
          <w:szCs w:val="28"/>
        </w:rPr>
        <w:t>1) МУП Ордынского района Новосибирской области  «ЕУК ЖКХ» «Развитие систем водоснабжения и приведение качества воды к нормативному состоянию Ордынского района Новосибирской области на 2023 – 2033 годы»;</w:t>
      </w:r>
    </w:p>
    <w:p w:rsidR="00A91269" w:rsidRDefault="00A91269" w:rsidP="00A91269">
      <w:pPr>
        <w:pStyle w:val="ab"/>
        <w:ind w:firstLine="567"/>
        <w:rPr>
          <w:szCs w:val="28"/>
        </w:rPr>
      </w:pPr>
      <w:r>
        <w:rPr>
          <w:szCs w:val="28"/>
        </w:rPr>
        <w:t>2) МУП р.п. Колывань «Коммунальное хозяйство» «Модернизация централизованной системы водоснабжения р.п.  Колывань Колыванского района Новосибирской области на 2025 – 2027 годы».</w:t>
      </w:r>
    </w:p>
    <w:p w:rsidR="00A91269" w:rsidRDefault="00A91269" w:rsidP="007D3CAF">
      <w:pPr>
        <w:pStyle w:val="4"/>
      </w:pPr>
      <w:bookmarkStart w:id="101" w:name="_Toc193810573"/>
      <w:r>
        <w:t>2.4.</w:t>
      </w:r>
      <w:r w:rsidR="007D3CAF">
        <w:t>7</w:t>
      </w:r>
      <w:r>
        <w:t>. Установление нормативов потерь питьевой и технической воды в централизованных системах водоснабжения при ее производстве и транспортировке</w:t>
      </w:r>
      <w:bookmarkEnd w:id="101"/>
    </w:p>
    <w:p w:rsidR="00A91269" w:rsidRDefault="00A91269" w:rsidP="00A91269">
      <w:pPr>
        <w:spacing w:after="0" w:line="240" w:lineRule="auto"/>
        <w:ind w:firstLine="567"/>
        <w:jc w:val="both"/>
        <w:rPr>
          <w:b/>
          <w:szCs w:val="28"/>
        </w:rPr>
      </w:pPr>
      <w:r>
        <w:rPr>
          <w:szCs w:val="28"/>
        </w:rPr>
        <w:t>Установление нормативов потерь питьевой и технической воды при ее производстве и транспортировке осуществляется департаментом в отношении каждой организации, эксплуатирующей объекты централизованных систем холодного водоснабжения.</w:t>
      </w:r>
    </w:p>
    <w:p w:rsidR="00A91269" w:rsidRDefault="00A91269" w:rsidP="00A91269">
      <w:pPr>
        <w:spacing w:after="0" w:line="240" w:lineRule="auto"/>
        <w:ind w:firstLine="567"/>
        <w:jc w:val="both"/>
        <w:rPr>
          <w:rFonts w:eastAsiaTheme="minorHAnsi"/>
          <w:szCs w:val="28"/>
          <w:lang w:eastAsia="en-US"/>
        </w:rPr>
      </w:pPr>
      <w:r>
        <w:rPr>
          <w:rFonts w:eastAsiaTheme="minorHAnsi"/>
          <w:szCs w:val="28"/>
          <w:lang w:eastAsia="en-US"/>
        </w:rPr>
        <w:t>Установление нормативов потерь питьевой и технической воды</w:t>
      </w:r>
      <w:r>
        <w:rPr>
          <w:rFonts w:eastAsiaTheme="minorHAnsi"/>
          <w:b/>
          <w:szCs w:val="28"/>
          <w:lang w:eastAsia="en-US"/>
        </w:rPr>
        <w:t xml:space="preserve"> </w:t>
      </w:r>
      <w:r>
        <w:rPr>
          <w:szCs w:val="28"/>
        </w:rPr>
        <w:t>в централизованных системах водоснабжения при ее производстве и транспортировке</w:t>
      </w:r>
      <w:r>
        <w:rPr>
          <w:rFonts w:eastAsiaTheme="minorHAnsi"/>
          <w:szCs w:val="28"/>
          <w:lang w:eastAsia="en-US"/>
        </w:rPr>
        <w:t xml:space="preserve"> производится департаментом в соответствии с:</w:t>
      </w:r>
    </w:p>
    <w:p w:rsidR="00A91269" w:rsidRDefault="00A91269" w:rsidP="00A91269">
      <w:pPr>
        <w:spacing w:after="0" w:line="240" w:lineRule="auto"/>
        <w:ind w:firstLine="567"/>
        <w:jc w:val="both"/>
        <w:rPr>
          <w:rFonts w:eastAsiaTheme="minorHAnsi"/>
          <w:szCs w:val="28"/>
          <w:lang w:eastAsia="en-US"/>
        </w:rPr>
      </w:pPr>
      <w:r>
        <w:rPr>
          <w:rFonts w:eastAsia="Calibri"/>
          <w:szCs w:val="28"/>
          <w:lang w:eastAsia="en-US"/>
        </w:rPr>
        <w:t xml:space="preserve">- </w:t>
      </w:r>
      <w:r>
        <w:rPr>
          <w:rFonts w:eastAsiaTheme="minorHAnsi"/>
          <w:szCs w:val="28"/>
          <w:lang w:eastAsia="en-US"/>
        </w:rPr>
        <w:t>Федеральным законом от 07.12.2011 № 416-ФЗ «О водоснабжении и водоотведении»;</w:t>
      </w:r>
    </w:p>
    <w:p w:rsidR="00A91269" w:rsidRDefault="00A91269" w:rsidP="00A91269">
      <w:pPr>
        <w:spacing w:after="0" w:line="240" w:lineRule="auto"/>
        <w:ind w:firstLine="567"/>
        <w:jc w:val="both"/>
        <w:rPr>
          <w:rFonts w:eastAsiaTheme="minorHAnsi"/>
          <w:szCs w:val="28"/>
          <w:lang w:eastAsia="en-US"/>
        </w:rPr>
      </w:pPr>
      <w:r>
        <w:rPr>
          <w:rFonts w:eastAsia="Calibri"/>
          <w:szCs w:val="28"/>
          <w:lang w:eastAsia="en-US"/>
        </w:rPr>
        <w:t>- </w:t>
      </w:r>
      <w:r>
        <w:rPr>
          <w:rFonts w:eastAsiaTheme="minorHAnsi"/>
          <w:szCs w:val="28"/>
          <w:lang w:eastAsia="en-US"/>
        </w:rPr>
        <w:t xml:space="preserve">Порядком </w:t>
      </w:r>
      <w:r>
        <w:rPr>
          <w:rFonts w:eastAsiaTheme="minorEastAsia"/>
          <w:szCs w:val="28"/>
        </w:rPr>
        <w:t>установления нормативов потерь горячей, питьевой, технической воды в централизованных системах водоснабжения при ее производстве и транспортировке, утверждённым Приказом Минстроя России от 28.10.2022 № 917/пр</w:t>
      </w:r>
      <w:r>
        <w:rPr>
          <w:rFonts w:eastAsiaTheme="minorHAnsi"/>
          <w:szCs w:val="28"/>
          <w:lang w:eastAsia="en-US"/>
        </w:rPr>
        <w:t>;</w:t>
      </w:r>
    </w:p>
    <w:p w:rsidR="00A91269" w:rsidRDefault="00A91269" w:rsidP="00A91269">
      <w:pPr>
        <w:spacing w:after="0" w:line="240" w:lineRule="auto"/>
        <w:ind w:firstLine="567"/>
        <w:jc w:val="both"/>
        <w:rPr>
          <w:szCs w:val="28"/>
        </w:rPr>
      </w:pPr>
      <w:r>
        <w:rPr>
          <w:rFonts w:eastAsia="Calibri"/>
          <w:szCs w:val="28"/>
          <w:lang w:eastAsia="en-US"/>
        </w:rPr>
        <w:t>- </w:t>
      </w:r>
      <w:r>
        <w:rPr>
          <w:rFonts w:eastAsiaTheme="minorHAnsi"/>
          <w:szCs w:val="28"/>
          <w:lang w:eastAsia="en-US"/>
        </w:rPr>
        <w:t>Методическими указаниями по расчету расходов и потерь горячей, питьевой, технической воды в централизованных системах водоснабжения при ее производстве и транспортировке, утвержденными приказом Министерства строительства и жилищно-коммунального хозяйства РФ от 17.10.2014 № 640/пр.</w:t>
      </w:r>
    </w:p>
    <w:p w:rsidR="00A91269" w:rsidRDefault="00A91269" w:rsidP="00A91269">
      <w:pPr>
        <w:spacing w:after="0" w:line="240" w:lineRule="auto"/>
        <w:ind w:firstLine="567"/>
        <w:jc w:val="both"/>
        <w:rPr>
          <w:szCs w:val="28"/>
        </w:rPr>
      </w:pPr>
      <w:r>
        <w:rPr>
          <w:szCs w:val="28"/>
        </w:rPr>
        <w:t>Нормативы потерь воды при производстве устанавливаются для организаций, которые осуществляют деятельность по водоподготовке и не осуществляют деятельность по транспортировке питьевой, технической воды в рамках одной централизованной системы водоснабжения (совокупности централизованных систем водоснабжения).</w:t>
      </w:r>
    </w:p>
    <w:p w:rsidR="00A91269" w:rsidRDefault="00A91269" w:rsidP="00A91269">
      <w:pPr>
        <w:spacing w:after="0" w:line="240" w:lineRule="auto"/>
        <w:ind w:firstLine="567"/>
        <w:jc w:val="both"/>
        <w:rPr>
          <w:szCs w:val="28"/>
        </w:rPr>
      </w:pPr>
      <w:r>
        <w:rPr>
          <w:szCs w:val="28"/>
        </w:rPr>
        <w:lastRenderedPageBreak/>
        <w:t>Нормативы потерь воды при транспортировке устанавливаются для гарантирующих организаций, иных организаций, осуществляющих водоснабжение, за исключением организаций, которые не осуществляют транспортировку питьевой, технической воды в рамках одной централизованной системы водоснабжения (совокупности централизованных систем водоснабжения), а также устанавливаются для транзитных организаций, осуществляющих транспортировку питьевой, технической воды.</w:t>
      </w:r>
    </w:p>
    <w:p w:rsidR="00A91269" w:rsidRDefault="00A91269" w:rsidP="00A91269">
      <w:pPr>
        <w:spacing w:after="0" w:line="240" w:lineRule="auto"/>
        <w:ind w:firstLine="567"/>
        <w:jc w:val="both"/>
        <w:rPr>
          <w:szCs w:val="28"/>
        </w:rPr>
      </w:pPr>
      <w:r>
        <w:rPr>
          <w:szCs w:val="28"/>
        </w:rPr>
        <w:t xml:space="preserve">Для </w:t>
      </w:r>
      <w:r>
        <w:rPr>
          <w:bCs/>
          <w:iCs/>
          <w:szCs w:val="28"/>
        </w:rPr>
        <w:t>организаций, осуществляющих водоснабжение, департаментом установлены</w:t>
      </w:r>
      <w:r>
        <w:rPr>
          <w:szCs w:val="28"/>
        </w:rPr>
        <w:t xml:space="preserve"> нормативы потерь воды в 2024 году (на 2025 год) при транспортировке в количестве – 30.</w:t>
      </w:r>
    </w:p>
    <w:p w:rsidR="00A91269" w:rsidRDefault="00A91269" w:rsidP="00A91269">
      <w:pPr>
        <w:spacing w:after="0" w:line="240" w:lineRule="auto"/>
        <w:ind w:firstLine="567"/>
        <w:jc w:val="both"/>
        <w:rPr>
          <w:szCs w:val="28"/>
        </w:rPr>
      </w:pPr>
    </w:p>
    <w:p w:rsidR="00A91269" w:rsidRDefault="00A91269" w:rsidP="007D3CAF">
      <w:pPr>
        <w:pStyle w:val="4"/>
      </w:pPr>
      <w:bookmarkStart w:id="102" w:name="_Toc193810574"/>
      <w:r>
        <w:t>2.4.10. Нормативы потребления коммунальных услуг по холодному водоснабжению, горячему водоснабжению и водоотведению</w:t>
      </w:r>
      <w:bookmarkEnd w:id="102"/>
    </w:p>
    <w:p w:rsidR="00A91269" w:rsidRDefault="00A91269" w:rsidP="00A91269">
      <w:pPr>
        <w:spacing w:after="0" w:line="240" w:lineRule="auto"/>
        <w:ind w:firstLine="567"/>
        <w:jc w:val="both"/>
        <w:rPr>
          <w:szCs w:val="28"/>
        </w:rPr>
      </w:pPr>
      <w:r>
        <w:rPr>
          <w:szCs w:val="28"/>
        </w:rPr>
        <w:t>Специалистами отдела проведен сбор сведений, необходимых для целей определения возможности установления (пересмотра) нормативов потребления коммунальных услуг по холодному водоснабжению, горячему водоснабжению и водоотведению на территории Новосибирской области с применением метода аналогов согласно приказам департамента от 26.04.2023 № 79, от 19.09.2023 № 209.</w:t>
      </w:r>
    </w:p>
    <w:p w:rsidR="00A91269" w:rsidRDefault="00A91269" w:rsidP="00A91269">
      <w:pPr>
        <w:spacing w:after="0" w:line="240" w:lineRule="auto"/>
        <w:ind w:firstLine="567"/>
        <w:jc w:val="both"/>
        <w:rPr>
          <w:szCs w:val="28"/>
        </w:rPr>
      </w:pPr>
    </w:p>
    <w:p w:rsidR="00A91269" w:rsidRDefault="00A91269" w:rsidP="00A91269">
      <w:pPr>
        <w:spacing w:after="0" w:line="240" w:lineRule="auto"/>
        <w:ind w:firstLine="567"/>
        <w:jc w:val="both"/>
        <w:rPr>
          <w:b/>
          <w:szCs w:val="28"/>
        </w:rPr>
      </w:pPr>
      <w:r>
        <w:rPr>
          <w:b/>
          <w:szCs w:val="28"/>
        </w:rPr>
        <w:t>2.4.11. Стандарты раскрытия информации в сфере водоснабжения и водоотведения</w:t>
      </w:r>
    </w:p>
    <w:p w:rsidR="00A91269" w:rsidRDefault="00A91269" w:rsidP="00A91269">
      <w:pPr>
        <w:spacing w:after="0" w:line="240" w:lineRule="auto"/>
        <w:ind w:firstLine="567"/>
        <w:jc w:val="both"/>
        <w:rPr>
          <w:szCs w:val="28"/>
        </w:rPr>
      </w:pPr>
      <w:r>
        <w:rPr>
          <w:szCs w:val="28"/>
        </w:rPr>
        <w:t xml:space="preserve">В соответствии с пунктом 1 части 3 статьи 56, частью 2 статьи 57, частью 1 статьи 58, статьями 74, 90 Федерального закона </w:t>
      </w:r>
      <w:r>
        <w:rPr>
          <w:rFonts w:eastAsiaTheme="minorHAnsi"/>
          <w:szCs w:val="28"/>
          <w:lang w:eastAsia="en-US"/>
        </w:rPr>
        <w:t xml:space="preserve">от 31.07.2020 № 248-ФЗ </w:t>
      </w:r>
      <w:r>
        <w:rPr>
          <w:szCs w:val="28"/>
        </w:rPr>
        <w:t>«</w:t>
      </w:r>
      <w:r>
        <w:rPr>
          <w:rFonts w:eastAsiaTheme="minorHAnsi"/>
          <w:szCs w:val="28"/>
          <w:lang w:eastAsia="en-US"/>
        </w:rPr>
        <w:t>О государственном контроле (надзоре) и муниципальном контроле в Российской Федерации</w:t>
      </w:r>
      <w:r>
        <w:rPr>
          <w:szCs w:val="28"/>
        </w:rPr>
        <w:t xml:space="preserve">», </w:t>
      </w:r>
      <w:r>
        <w:rPr>
          <w:rFonts w:eastAsiaTheme="minorHAnsi"/>
          <w:szCs w:val="28"/>
          <w:lang w:eastAsia="en-US"/>
        </w:rPr>
        <w:t>постановлением Правительства Р</w:t>
      </w:r>
      <w:r w:rsidR="007D3CAF">
        <w:rPr>
          <w:rFonts w:eastAsiaTheme="minorHAnsi"/>
          <w:szCs w:val="28"/>
          <w:lang w:eastAsia="en-US"/>
        </w:rPr>
        <w:t>Ф</w:t>
      </w:r>
      <w:r>
        <w:rPr>
          <w:rFonts w:eastAsiaTheme="minorHAnsi"/>
          <w:szCs w:val="28"/>
          <w:lang w:eastAsia="en-US"/>
        </w:rPr>
        <w:t xml:space="preserve"> от 10.03.2022 № 336 «Об особенностях организации и осуществления государственного контроля (надзора), муниципального контроля», постановлением Правительства Новосибирской области от 28.09.2021 № 384-п «О региональном государственном контроле (надзоре) в области государственного регулирования цен (тарифов)», </w:t>
      </w:r>
      <w:r>
        <w:rPr>
          <w:szCs w:val="28"/>
        </w:rPr>
        <w:t>подпунктом 4 пункта 7 Положения о департаменте специалистами отдела проводились наблюдения за соблюдением организациями, осуществляющими на территории Новосибирской области холодное водоснабжение, водоотведение и (или) горячее водоснабжение, стандартов раскрытия информации в сфере водоснабжения и водоотведения.</w:t>
      </w:r>
    </w:p>
    <w:p w:rsidR="00A91269" w:rsidRDefault="00A91269" w:rsidP="00A91269">
      <w:pPr>
        <w:spacing w:after="0" w:line="240" w:lineRule="auto"/>
        <w:ind w:firstLine="567"/>
        <w:jc w:val="both"/>
        <w:rPr>
          <w:szCs w:val="28"/>
        </w:rPr>
      </w:pPr>
      <w:r>
        <w:rPr>
          <w:szCs w:val="28"/>
        </w:rPr>
        <w:t xml:space="preserve">По результатам проведенных наблюдений, в случае выявления нарушений контролируемыми лицами обязательных требований стандартов раскрытия информации в сфере водоснабжения и водоотведения, специалистами отдела направлялись руководителю департамента мотивированные представления об объявлении предостережений контролируемым лицам о недопустимости нарушений обязательных </w:t>
      </w:r>
      <w:r>
        <w:rPr>
          <w:szCs w:val="28"/>
        </w:rPr>
        <w:lastRenderedPageBreak/>
        <w:t>требований стандартов раскрытия информации в сфере водоснабжения и водоотведения.</w:t>
      </w:r>
    </w:p>
    <w:p w:rsidR="00253348" w:rsidRDefault="00A91269" w:rsidP="00A91269">
      <w:pPr>
        <w:spacing w:after="0" w:line="240" w:lineRule="auto"/>
        <w:ind w:firstLine="709"/>
        <w:jc w:val="both"/>
        <w:rPr>
          <w:rFonts w:eastAsia="Times New Roman"/>
          <w:szCs w:val="28"/>
        </w:rPr>
      </w:pPr>
      <w:r>
        <w:rPr>
          <w:szCs w:val="28"/>
        </w:rPr>
        <w:t>Раскрытие информации в сфере водоснабжения и водоотведения с 01.09.2023 года осуществляется на основании постановления Правительства РФ</w:t>
      </w:r>
      <w:r w:rsidR="00BE7779">
        <w:rPr>
          <w:szCs w:val="28"/>
        </w:rPr>
        <w:t xml:space="preserve"> </w:t>
      </w:r>
      <w:r>
        <w:rPr>
          <w:szCs w:val="28"/>
        </w:rPr>
        <w:t>от 26.01.2023 № 108 «О стандартах раскрытия информации в сфере водоснабжения и водоотведения». Раскрываемая информация в сфере водоснабжения и водоотведения отражается</w:t>
      </w:r>
      <w:r w:rsidR="00BE7779">
        <w:rPr>
          <w:szCs w:val="28"/>
        </w:rPr>
        <w:t xml:space="preserve"> в сети Интернет на сайте департамента. </w:t>
      </w: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253348" w:rsidRDefault="00253348" w:rsidP="00A712E1">
      <w:pPr>
        <w:spacing w:after="0" w:line="240" w:lineRule="auto"/>
        <w:ind w:firstLine="709"/>
        <w:jc w:val="both"/>
        <w:rPr>
          <w:rFonts w:eastAsia="Times New Roman"/>
          <w:szCs w:val="28"/>
        </w:rPr>
      </w:pPr>
    </w:p>
    <w:p w:rsidR="00253348" w:rsidRPr="00983B04" w:rsidRDefault="00253348" w:rsidP="00A712E1">
      <w:pPr>
        <w:spacing w:after="0" w:line="240" w:lineRule="auto"/>
        <w:ind w:firstLine="709"/>
        <w:jc w:val="both"/>
        <w:rPr>
          <w:rFonts w:eastAsia="Times New Roman"/>
          <w:szCs w:val="28"/>
        </w:rPr>
      </w:pPr>
    </w:p>
    <w:p w:rsidR="00A712E1" w:rsidRPr="00885741" w:rsidRDefault="00A712E1" w:rsidP="00A712E1">
      <w:pPr>
        <w:autoSpaceDE w:val="0"/>
        <w:autoSpaceDN w:val="0"/>
        <w:adjustRightInd w:val="0"/>
        <w:spacing w:after="0" w:line="240" w:lineRule="auto"/>
        <w:ind w:firstLine="709"/>
        <w:jc w:val="both"/>
        <w:rPr>
          <w:rFonts w:eastAsia="Calibri"/>
          <w:b/>
          <w:szCs w:val="28"/>
        </w:rPr>
      </w:pPr>
    </w:p>
    <w:p w:rsidR="00A91269" w:rsidRPr="008D1DCB" w:rsidRDefault="00A91269" w:rsidP="00BE7779">
      <w:pPr>
        <w:pStyle w:val="20231"/>
      </w:pPr>
      <w:bookmarkStart w:id="103" w:name="_Toc131067969"/>
      <w:bookmarkStart w:id="104" w:name="_Toc162431947"/>
      <w:bookmarkStart w:id="105" w:name="_Toc193810575"/>
      <w:r w:rsidRPr="008D1DCB">
        <w:t>2.5.  Регулирование розничных цен на топливо твердое, топливо печное бытовое</w:t>
      </w:r>
      <w:bookmarkEnd w:id="103"/>
      <w:bookmarkEnd w:id="104"/>
      <w:bookmarkEnd w:id="105"/>
    </w:p>
    <w:p w:rsidR="00A91269" w:rsidRPr="00BE7779" w:rsidRDefault="00A91269" w:rsidP="00BE7779">
      <w:pPr>
        <w:pStyle w:val="4"/>
      </w:pPr>
      <w:bookmarkStart w:id="106" w:name="_Toc131067970"/>
      <w:bookmarkStart w:id="107" w:name="_Toc162431948"/>
      <w:bookmarkStart w:id="108" w:name="_Toc193810576"/>
      <w:r w:rsidRPr="00BE7779">
        <w:t>2.5.1. Уголь</w:t>
      </w:r>
      <w:bookmarkEnd w:id="106"/>
      <w:bookmarkEnd w:id="107"/>
      <w:bookmarkEnd w:id="108"/>
    </w:p>
    <w:p w:rsidR="00A91269" w:rsidRPr="00F02FEE" w:rsidRDefault="00A91269" w:rsidP="00A91269">
      <w:pPr>
        <w:spacing w:after="0" w:line="240" w:lineRule="auto"/>
        <w:ind w:firstLine="709"/>
        <w:jc w:val="both"/>
        <w:rPr>
          <w:snapToGrid w:val="0"/>
          <w:szCs w:val="28"/>
        </w:rPr>
      </w:pPr>
      <w:r w:rsidRPr="00A17148">
        <w:rPr>
          <w:szCs w:val="28"/>
        </w:rPr>
        <w:t>Приказом департамента от 1</w:t>
      </w:r>
      <w:r>
        <w:rPr>
          <w:szCs w:val="28"/>
        </w:rPr>
        <w:t>9</w:t>
      </w:r>
      <w:r w:rsidRPr="00A17148">
        <w:rPr>
          <w:szCs w:val="28"/>
        </w:rPr>
        <w:t>.12.202</w:t>
      </w:r>
      <w:r>
        <w:rPr>
          <w:szCs w:val="28"/>
        </w:rPr>
        <w:t>4</w:t>
      </w:r>
      <w:r w:rsidRPr="00A17148">
        <w:rPr>
          <w:szCs w:val="28"/>
        </w:rPr>
        <w:t xml:space="preserve"> № </w:t>
      </w:r>
      <w:r>
        <w:rPr>
          <w:szCs w:val="28"/>
        </w:rPr>
        <w:t>547</w:t>
      </w:r>
      <w:r w:rsidRPr="00A17148">
        <w:rPr>
          <w:szCs w:val="28"/>
        </w:rPr>
        <w:t xml:space="preserve">-ТС/НПА «Об установлении розничных предельных максимальных цен на уголь, реализуемый </w:t>
      </w:r>
      <w:r w:rsidRPr="00A17148">
        <w:rPr>
          <w:snapToGrid w:val="0"/>
          <w:szCs w:val="28"/>
        </w:rPr>
        <w:t>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w:t>
      </w:r>
      <w:r w:rsidRPr="00A17148">
        <w:rPr>
          <w:szCs w:val="28"/>
        </w:rPr>
        <w:t xml:space="preserve"> и о признании утратившим силу приказа департамента по тарифам Новосибирской области от 1</w:t>
      </w:r>
      <w:r>
        <w:rPr>
          <w:szCs w:val="28"/>
        </w:rPr>
        <w:t>2</w:t>
      </w:r>
      <w:r w:rsidRPr="00A17148">
        <w:rPr>
          <w:szCs w:val="28"/>
        </w:rPr>
        <w:t>.1</w:t>
      </w:r>
      <w:r>
        <w:rPr>
          <w:szCs w:val="28"/>
        </w:rPr>
        <w:t>2</w:t>
      </w:r>
      <w:r w:rsidRPr="00A17148">
        <w:rPr>
          <w:szCs w:val="28"/>
        </w:rPr>
        <w:t>.202</w:t>
      </w:r>
      <w:r>
        <w:rPr>
          <w:szCs w:val="28"/>
        </w:rPr>
        <w:t>3</w:t>
      </w:r>
      <w:r w:rsidRPr="00A17148">
        <w:rPr>
          <w:szCs w:val="28"/>
        </w:rPr>
        <w:t xml:space="preserve"> № </w:t>
      </w:r>
      <w:r>
        <w:rPr>
          <w:szCs w:val="28"/>
        </w:rPr>
        <w:t>493</w:t>
      </w:r>
      <w:r w:rsidRPr="00A17148">
        <w:rPr>
          <w:szCs w:val="28"/>
        </w:rPr>
        <w:t>-ТС</w:t>
      </w:r>
      <w:r>
        <w:rPr>
          <w:szCs w:val="28"/>
        </w:rPr>
        <w:t>/НПА</w:t>
      </w:r>
      <w:r w:rsidRPr="00A17148">
        <w:rPr>
          <w:snapToGrid w:val="0"/>
          <w:szCs w:val="28"/>
        </w:rPr>
        <w:t>» установлены, с введением</w:t>
      </w:r>
      <w:r w:rsidRPr="00F02FEE">
        <w:rPr>
          <w:snapToGrid w:val="0"/>
          <w:szCs w:val="28"/>
        </w:rPr>
        <w:t xml:space="preserve"> в действие с 01 июля 202</w:t>
      </w:r>
      <w:r>
        <w:rPr>
          <w:snapToGrid w:val="0"/>
          <w:szCs w:val="28"/>
        </w:rPr>
        <w:t>5</w:t>
      </w:r>
      <w:r w:rsidRPr="00F02FEE">
        <w:rPr>
          <w:snapToGrid w:val="0"/>
          <w:szCs w:val="28"/>
        </w:rPr>
        <w:t xml:space="preserve"> года, предельные максимальные розничные цены на уголь</w:t>
      </w:r>
      <w:r>
        <w:rPr>
          <w:snapToGrid w:val="0"/>
          <w:szCs w:val="28"/>
        </w:rPr>
        <w:t xml:space="preserve"> (в количестве 154) </w:t>
      </w:r>
      <w:r w:rsidRPr="00B0377E">
        <w:rPr>
          <w:snapToGrid w:val="0"/>
          <w:szCs w:val="28"/>
        </w:rPr>
        <w:t>с</w:t>
      </w:r>
      <w:r w:rsidRPr="00F02FEE">
        <w:rPr>
          <w:snapToGrid w:val="0"/>
          <w:szCs w:val="28"/>
        </w:rPr>
        <w:t xml:space="preserve"> учетом дифференциации:</w:t>
      </w:r>
    </w:p>
    <w:p w:rsidR="00A91269" w:rsidRPr="00F02FEE" w:rsidRDefault="00A91269" w:rsidP="00A91269">
      <w:pPr>
        <w:spacing w:after="0" w:line="240" w:lineRule="auto"/>
        <w:ind w:firstLine="709"/>
        <w:jc w:val="both"/>
        <w:rPr>
          <w:snapToGrid w:val="0"/>
          <w:szCs w:val="28"/>
        </w:rPr>
      </w:pPr>
      <w:r w:rsidRPr="00F02FEE">
        <w:rPr>
          <w:snapToGrid w:val="0"/>
          <w:szCs w:val="28"/>
        </w:rPr>
        <w:t>по зонам - в зависимости от расстояния доставки;</w:t>
      </w:r>
    </w:p>
    <w:p w:rsidR="00A91269" w:rsidRPr="00F02FEE" w:rsidRDefault="00A91269" w:rsidP="00A91269">
      <w:pPr>
        <w:spacing w:after="0" w:line="240" w:lineRule="auto"/>
        <w:ind w:firstLine="709"/>
        <w:jc w:val="both"/>
        <w:rPr>
          <w:snapToGrid w:val="0"/>
          <w:szCs w:val="28"/>
        </w:rPr>
      </w:pPr>
      <w:r w:rsidRPr="00F02FEE">
        <w:rPr>
          <w:snapToGrid w:val="0"/>
          <w:szCs w:val="28"/>
        </w:rPr>
        <w:t>классам-в зависимости от качественных характеристик угля;</w:t>
      </w:r>
    </w:p>
    <w:p w:rsidR="00A91269" w:rsidRPr="000E019E" w:rsidRDefault="00A91269" w:rsidP="00A91269">
      <w:pPr>
        <w:spacing w:after="0" w:line="240" w:lineRule="auto"/>
        <w:ind w:firstLine="709"/>
        <w:jc w:val="both"/>
        <w:rPr>
          <w:snapToGrid w:val="0"/>
          <w:szCs w:val="28"/>
        </w:rPr>
      </w:pPr>
      <w:r w:rsidRPr="00F02FEE">
        <w:rPr>
          <w:snapToGrid w:val="0"/>
          <w:szCs w:val="28"/>
        </w:rPr>
        <w:t xml:space="preserve">по условиям «франко» - </w:t>
      </w:r>
      <w:r w:rsidRPr="00F02FEE">
        <w:rPr>
          <w:szCs w:val="28"/>
        </w:rPr>
        <w:t>с доставкой к месту, указанному потребителем, и без доставки</w:t>
      </w:r>
      <w:r>
        <w:rPr>
          <w:szCs w:val="28"/>
        </w:rPr>
        <w:t>.</w:t>
      </w:r>
    </w:p>
    <w:p w:rsidR="00A91269" w:rsidRPr="00F16EE5" w:rsidRDefault="00A91269" w:rsidP="00A91269">
      <w:pPr>
        <w:spacing w:after="0" w:line="240" w:lineRule="auto"/>
        <w:ind w:firstLine="709"/>
        <w:jc w:val="both"/>
        <w:rPr>
          <w:color w:val="0000FF"/>
          <w:szCs w:val="28"/>
        </w:rPr>
      </w:pPr>
      <w:r w:rsidRPr="000E019E">
        <w:rPr>
          <w:snapToGrid w:val="0"/>
          <w:szCs w:val="28"/>
        </w:rPr>
        <w:t>Формирование розничных цен на уголь</w:t>
      </w:r>
      <w:r>
        <w:rPr>
          <w:snapToGrid w:val="0"/>
          <w:szCs w:val="28"/>
        </w:rPr>
        <w:t xml:space="preserve"> </w:t>
      </w:r>
      <w:r w:rsidRPr="000E019E">
        <w:rPr>
          <w:snapToGrid w:val="0"/>
          <w:szCs w:val="28"/>
        </w:rPr>
        <w:t xml:space="preserve">произведено </w:t>
      </w:r>
      <w:r>
        <w:rPr>
          <w:snapToGrid w:val="0"/>
          <w:szCs w:val="28"/>
        </w:rPr>
        <w:t>в формате</w:t>
      </w:r>
      <w:r w:rsidRPr="000E019E">
        <w:rPr>
          <w:snapToGrid w:val="0"/>
          <w:szCs w:val="28"/>
        </w:rPr>
        <w:t xml:space="preserve"> </w:t>
      </w:r>
      <w:r w:rsidRPr="000E019E">
        <w:rPr>
          <w:szCs w:val="28"/>
        </w:rPr>
        <w:t xml:space="preserve">шаблона </w:t>
      </w:r>
      <w:r w:rsidRPr="000E019E">
        <w:rPr>
          <w:szCs w:val="28"/>
          <w:lang w:val="en-US"/>
        </w:rPr>
        <w:t>PRIL</w:t>
      </w:r>
      <w:r w:rsidRPr="000E019E">
        <w:rPr>
          <w:szCs w:val="28"/>
        </w:rPr>
        <w:t>.</w:t>
      </w:r>
      <w:r w:rsidRPr="000E019E">
        <w:rPr>
          <w:szCs w:val="28"/>
          <w:lang w:val="en-US"/>
        </w:rPr>
        <w:t>TV</w:t>
      </w:r>
      <w:r w:rsidRPr="000E019E">
        <w:rPr>
          <w:szCs w:val="28"/>
        </w:rPr>
        <w:t>.</w:t>
      </w:r>
      <w:r w:rsidRPr="000E019E">
        <w:rPr>
          <w:szCs w:val="28"/>
          <w:lang w:val="en-US"/>
        </w:rPr>
        <w:t>TOP</w:t>
      </w:r>
      <w:r w:rsidRPr="000E019E">
        <w:rPr>
          <w:szCs w:val="28"/>
        </w:rPr>
        <w:t>.</w:t>
      </w:r>
      <w:r w:rsidRPr="000E019E">
        <w:rPr>
          <w:szCs w:val="28"/>
          <w:lang w:val="en-US"/>
        </w:rPr>
        <w:t>F</w:t>
      </w:r>
      <w:r w:rsidRPr="000E019E">
        <w:rPr>
          <w:szCs w:val="28"/>
        </w:rPr>
        <w:t>.6.54 «Расчет стоимости единицы твердого топлива»</w:t>
      </w:r>
      <w:r>
        <w:rPr>
          <w:color w:val="0000FF"/>
          <w:szCs w:val="28"/>
        </w:rPr>
        <w:t>.</w:t>
      </w:r>
    </w:p>
    <w:p w:rsidR="00A91269" w:rsidRPr="00DE11A3" w:rsidRDefault="00A91269" w:rsidP="00A91269">
      <w:pPr>
        <w:ind w:firstLine="709"/>
        <w:jc w:val="both"/>
        <w:rPr>
          <w:szCs w:val="28"/>
        </w:rPr>
      </w:pPr>
    </w:p>
    <w:p w:rsidR="00A91269" w:rsidRDefault="00A91269" w:rsidP="00A91269">
      <w:pPr>
        <w:rPr>
          <w:i/>
          <w:szCs w:val="28"/>
        </w:rPr>
      </w:pPr>
      <w:r w:rsidRPr="00690FD1">
        <w:rPr>
          <w:i/>
          <w:szCs w:val="28"/>
        </w:rPr>
        <w:t xml:space="preserve">Динамика розничных цен на уголь </w:t>
      </w:r>
      <w:r w:rsidRPr="00690FD1">
        <w:rPr>
          <w:b/>
          <w:i/>
          <w:szCs w:val="28"/>
        </w:rPr>
        <w:t>необогащенный</w:t>
      </w:r>
      <w:r w:rsidRPr="00690FD1">
        <w:rPr>
          <w:i/>
          <w:szCs w:val="28"/>
        </w:rPr>
        <w:t xml:space="preserve">, реализуемый населению </w:t>
      </w:r>
      <w:r w:rsidRPr="00543BA0">
        <w:rPr>
          <w:i/>
          <w:szCs w:val="28"/>
          <w:u w:val="single"/>
        </w:rPr>
        <w:t>без учета доставки</w:t>
      </w:r>
      <w:r w:rsidRPr="00690FD1">
        <w:rPr>
          <w:i/>
          <w:szCs w:val="28"/>
        </w:rPr>
        <w:t xml:space="preserve"> к месту, указанному потребителем:</w:t>
      </w:r>
    </w:p>
    <w:p w:rsidR="00A91269" w:rsidRDefault="00A91269" w:rsidP="00A91269">
      <w:pPr>
        <w:rPr>
          <w:i/>
          <w:szCs w:val="28"/>
        </w:rPr>
      </w:pPr>
      <w:r>
        <w:rPr>
          <w:i/>
          <w:szCs w:val="28"/>
        </w:rPr>
        <w:object w:dxaOrig="9249" w:dyaOrig="54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0.2pt;height:286.25pt" o:ole="">
            <v:imagedata r:id="rId106" o:title=""/>
          </v:shape>
          <o:OLEObject Type="Embed" ProgID="Excel.Sheet.12" ShapeID="_x0000_i1025" DrawAspect="Content" ObjectID="_1804659206" r:id="rId107"/>
        </w:object>
      </w:r>
    </w:p>
    <w:p w:rsidR="00A91269" w:rsidRDefault="00A91269" w:rsidP="00A91269">
      <w:pPr>
        <w:rPr>
          <w:i/>
          <w:szCs w:val="28"/>
        </w:rPr>
      </w:pPr>
    </w:p>
    <w:p w:rsidR="00A91269" w:rsidRDefault="00A91269" w:rsidP="00A91269">
      <w:pPr>
        <w:rPr>
          <w:i/>
          <w:szCs w:val="28"/>
        </w:rPr>
      </w:pPr>
      <w:r w:rsidRPr="00A35E02">
        <w:rPr>
          <w:i/>
          <w:szCs w:val="28"/>
        </w:rPr>
        <w:t xml:space="preserve">Динамика структуры средневзвешенных розничных цен на уголь </w:t>
      </w:r>
      <w:r w:rsidRPr="005F6E1E">
        <w:rPr>
          <w:b/>
          <w:i/>
          <w:szCs w:val="28"/>
        </w:rPr>
        <w:t>необогащенный,</w:t>
      </w:r>
      <w:r w:rsidRPr="00A35E02">
        <w:rPr>
          <w:i/>
          <w:szCs w:val="28"/>
        </w:rPr>
        <w:t xml:space="preserve"> реализуемый населению:</w:t>
      </w:r>
    </w:p>
    <w:p w:rsidR="00A91269" w:rsidRDefault="00A91269" w:rsidP="00A91269">
      <w:pPr>
        <w:rPr>
          <w:i/>
          <w:szCs w:val="28"/>
        </w:rPr>
      </w:pPr>
      <w:r>
        <w:rPr>
          <w:i/>
          <w:szCs w:val="28"/>
        </w:rPr>
        <w:object w:dxaOrig="9263" w:dyaOrig="4793">
          <v:shape id="_x0000_i1026" type="#_x0000_t75" style="width:461.95pt;height:275.35pt" o:ole="">
            <v:imagedata r:id="rId108" o:title=""/>
          </v:shape>
          <o:OLEObject Type="Embed" ProgID="Excel.Sheet.12" ShapeID="_x0000_i1026" DrawAspect="Content" ObjectID="_1804659207" r:id="rId109"/>
        </w:object>
      </w:r>
    </w:p>
    <w:p w:rsidR="00A91269" w:rsidRDefault="00A91269" w:rsidP="00A91269">
      <w:pPr>
        <w:rPr>
          <w:i/>
          <w:szCs w:val="28"/>
        </w:rPr>
      </w:pPr>
      <w:r w:rsidRPr="00A35E02">
        <w:rPr>
          <w:i/>
          <w:szCs w:val="28"/>
        </w:rPr>
        <w:t xml:space="preserve">Динамика розничных цен на уголь </w:t>
      </w:r>
      <w:r w:rsidRPr="00011F6E">
        <w:rPr>
          <w:b/>
          <w:i/>
          <w:szCs w:val="28"/>
        </w:rPr>
        <w:t>обогащенный</w:t>
      </w:r>
      <w:r w:rsidRPr="00A35E02">
        <w:rPr>
          <w:i/>
          <w:szCs w:val="28"/>
        </w:rPr>
        <w:t xml:space="preserve">, реализуемый населению </w:t>
      </w:r>
      <w:r w:rsidRPr="00543BA0">
        <w:rPr>
          <w:i/>
          <w:szCs w:val="28"/>
          <w:u w:val="single"/>
        </w:rPr>
        <w:t>без учета доставки</w:t>
      </w:r>
      <w:r w:rsidRPr="00A35E02">
        <w:rPr>
          <w:i/>
          <w:szCs w:val="28"/>
        </w:rPr>
        <w:t xml:space="preserve"> к месту, указанному потребителем:</w:t>
      </w:r>
    </w:p>
    <w:p w:rsidR="00A91269" w:rsidRDefault="00A91269" w:rsidP="00A91269">
      <w:pPr>
        <w:rPr>
          <w:i/>
          <w:szCs w:val="28"/>
        </w:rPr>
      </w:pPr>
      <w:r>
        <w:rPr>
          <w:i/>
          <w:szCs w:val="28"/>
        </w:rPr>
        <w:object w:dxaOrig="7955" w:dyaOrig="4194">
          <v:shape id="_x0000_i1027" type="#_x0000_t75" style="width:454.45pt;height:291.45pt" o:ole="">
            <v:imagedata r:id="rId110" o:title=""/>
          </v:shape>
          <o:OLEObject Type="Embed" ProgID="Excel.Sheet.12" ShapeID="_x0000_i1027" DrawAspect="Content" ObjectID="_1804659208" r:id="rId111"/>
        </w:object>
      </w:r>
    </w:p>
    <w:p w:rsidR="00A91269" w:rsidRPr="00A32008" w:rsidRDefault="00A91269" w:rsidP="00A91269">
      <w:pPr>
        <w:spacing w:after="0" w:line="240" w:lineRule="auto"/>
        <w:jc w:val="both"/>
        <w:rPr>
          <w:szCs w:val="28"/>
        </w:rPr>
      </w:pPr>
      <w:r>
        <w:rPr>
          <w:i/>
          <w:color w:val="3333FF"/>
          <w:szCs w:val="28"/>
        </w:rPr>
        <w:t xml:space="preserve"> </w:t>
      </w:r>
      <w:r>
        <w:rPr>
          <w:i/>
          <w:color w:val="3333FF"/>
          <w:szCs w:val="28"/>
        </w:rPr>
        <w:tab/>
      </w:r>
      <w:r>
        <w:rPr>
          <w:szCs w:val="28"/>
        </w:rPr>
        <w:t>Р</w:t>
      </w:r>
      <w:r w:rsidRPr="00981C8A">
        <w:rPr>
          <w:szCs w:val="28"/>
        </w:rPr>
        <w:t>озничные цены на уголь, реализуемый населению</w:t>
      </w:r>
      <w:r w:rsidRPr="00543BA0">
        <w:rPr>
          <w:szCs w:val="28"/>
          <w:u w:val="single"/>
        </w:rPr>
        <w:t>, с</w:t>
      </w:r>
      <w:r w:rsidRPr="00543BA0">
        <w:rPr>
          <w:snapToGrid w:val="0"/>
          <w:color w:val="3333FF"/>
          <w:szCs w:val="28"/>
          <w:u w:val="single"/>
        </w:rPr>
        <w:t xml:space="preserve"> </w:t>
      </w:r>
      <w:r w:rsidRPr="00543BA0">
        <w:rPr>
          <w:snapToGrid w:val="0"/>
          <w:szCs w:val="28"/>
          <w:u w:val="single"/>
        </w:rPr>
        <w:t>учетом доставки к месту, указанному потребителем</w:t>
      </w:r>
      <w:r w:rsidRPr="00A32008">
        <w:rPr>
          <w:b/>
          <w:snapToGrid w:val="0"/>
          <w:color w:val="3333FF"/>
          <w:szCs w:val="28"/>
        </w:rPr>
        <w:t>,</w:t>
      </w:r>
      <w:r w:rsidRPr="00C7065C">
        <w:rPr>
          <w:snapToGrid w:val="0"/>
          <w:color w:val="3333FF"/>
          <w:szCs w:val="28"/>
        </w:rPr>
        <w:t xml:space="preserve"> </w:t>
      </w:r>
      <w:r w:rsidRPr="00A32008">
        <w:rPr>
          <w:snapToGrid w:val="0"/>
          <w:szCs w:val="28"/>
        </w:rPr>
        <w:t>формируются с учетом переменной составляющей (ПС)</w:t>
      </w:r>
      <w:r w:rsidRPr="00A32008">
        <w:rPr>
          <w:szCs w:val="28"/>
          <w:lang w:eastAsia="en-US"/>
        </w:rPr>
        <w:t xml:space="preserve"> розничной предельной максимальной цены на уголь, </w:t>
      </w:r>
      <w:r w:rsidRPr="00A32008">
        <w:rPr>
          <w:rFonts w:eastAsia="Calibri"/>
          <w:szCs w:val="28"/>
          <w:lang w:eastAsia="en-US"/>
        </w:rPr>
        <w:t xml:space="preserve">зависящей от расстояния </w:t>
      </w:r>
      <w:r w:rsidRPr="00A32008">
        <w:rPr>
          <w:szCs w:val="28"/>
        </w:rPr>
        <w:t xml:space="preserve">доставки угля от склада продавца к месту, указанному потребителем, и определяемой как:  </w:t>
      </w:r>
    </w:p>
    <w:p w:rsidR="00A91269" w:rsidRPr="00A32008" w:rsidRDefault="00A91269" w:rsidP="00A91269">
      <w:pPr>
        <w:spacing w:after="0" w:line="240" w:lineRule="auto"/>
        <w:ind w:firstLine="709"/>
        <w:jc w:val="both"/>
        <w:rPr>
          <w:szCs w:val="28"/>
        </w:rPr>
      </w:pPr>
      <w:r w:rsidRPr="00A32008">
        <w:rPr>
          <w:szCs w:val="28"/>
        </w:rPr>
        <w:t>ПС=</w:t>
      </w:r>
      <w:r>
        <w:rPr>
          <w:szCs w:val="28"/>
        </w:rPr>
        <w:t>24,37</w:t>
      </w:r>
      <w:r w:rsidRPr="00A32008">
        <w:t>(руб./тонно-км)</w:t>
      </w:r>
      <w:r w:rsidRPr="00A32008">
        <w:rPr>
          <w:szCs w:val="28"/>
        </w:rPr>
        <w:t xml:space="preserve"> * </w:t>
      </w:r>
      <w:r w:rsidRPr="00A32008">
        <w:rPr>
          <w:szCs w:val="28"/>
          <w:lang w:val="en-US"/>
        </w:rPr>
        <w:t>L</w:t>
      </w:r>
      <w:r w:rsidRPr="00A32008">
        <w:rPr>
          <w:szCs w:val="28"/>
        </w:rPr>
        <w:t xml:space="preserve">, </w:t>
      </w:r>
    </w:p>
    <w:p w:rsidR="00A91269" w:rsidRPr="00D02936" w:rsidRDefault="00A91269" w:rsidP="00A91269">
      <w:pPr>
        <w:spacing w:after="0" w:line="240" w:lineRule="auto"/>
        <w:jc w:val="both"/>
        <w:rPr>
          <w:szCs w:val="28"/>
        </w:rPr>
      </w:pPr>
      <w:r w:rsidRPr="00D02936">
        <w:rPr>
          <w:szCs w:val="28"/>
        </w:rPr>
        <w:t>где:</w:t>
      </w:r>
    </w:p>
    <w:p w:rsidR="00A91269" w:rsidRPr="00D02936" w:rsidRDefault="00A91269" w:rsidP="00A91269">
      <w:pPr>
        <w:spacing w:after="0" w:line="240" w:lineRule="auto"/>
        <w:ind w:firstLine="709"/>
        <w:jc w:val="both"/>
        <w:rPr>
          <w:bCs/>
          <w:szCs w:val="28"/>
        </w:rPr>
      </w:pPr>
      <w:r w:rsidRPr="00D02936">
        <w:rPr>
          <w:bCs/>
          <w:szCs w:val="28"/>
        </w:rPr>
        <w:t>L - фактическое расстояние доставки угля от склада продавца к месту, указанному потребителем, км.</w:t>
      </w:r>
    </w:p>
    <w:p w:rsidR="00A91269" w:rsidRPr="00F16EE5" w:rsidRDefault="00A91269" w:rsidP="00A91269">
      <w:pPr>
        <w:spacing w:after="0" w:line="240" w:lineRule="auto"/>
        <w:ind w:firstLine="709"/>
        <w:jc w:val="both"/>
        <w:rPr>
          <w:b/>
          <w:snapToGrid w:val="0"/>
          <w:color w:val="0000FF"/>
          <w:sz w:val="27"/>
          <w:szCs w:val="27"/>
          <w:u w:val="single"/>
        </w:rPr>
      </w:pPr>
      <w:r w:rsidRPr="00AB5260">
        <w:rPr>
          <w:szCs w:val="28"/>
        </w:rPr>
        <w:t xml:space="preserve">С информацией по тарифам на уголь можно ознакомиться </w:t>
      </w:r>
      <w:r w:rsidRPr="00AB5260">
        <w:rPr>
          <w:rFonts w:ascii="Times New Roman CYR" w:hAnsi="Times New Roman CYR" w:cs="Times New Roman CYR"/>
          <w:szCs w:val="28"/>
        </w:rPr>
        <w:t>на официальном сайте департамента в информационно-телекоммуникационной сети «Интернет»</w:t>
      </w:r>
      <w:r w:rsidRPr="00F16EE5">
        <w:rPr>
          <w:rFonts w:ascii="Times New Roman CYR" w:hAnsi="Times New Roman CYR" w:cs="Times New Roman CYR"/>
          <w:color w:val="0000FF"/>
          <w:szCs w:val="28"/>
        </w:rPr>
        <w:t xml:space="preserve"> </w:t>
      </w:r>
      <w:r w:rsidRPr="00563F3A">
        <w:rPr>
          <w:szCs w:val="28"/>
          <w:u w:val="single"/>
        </w:rPr>
        <w:t>https://tarif.nso.ru/page/93</w:t>
      </w:r>
      <w:r w:rsidRPr="00563F3A">
        <w:rPr>
          <w:szCs w:val="28"/>
        </w:rPr>
        <w:t>.</w:t>
      </w:r>
    </w:p>
    <w:p w:rsidR="00A91269" w:rsidRPr="0055041E" w:rsidRDefault="00A91269" w:rsidP="00A91269">
      <w:pPr>
        <w:pStyle w:val="4"/>
        <w:rPr>
          <w:snapToGrid w:val="0"/>
        </w:rPr>
      </w:pPr>
      <w:bookmarkStart w:id="109" w:name="_Toc162431949"/>
      <w:bookmarkStart w:id="110" w:name="_Toc193810577"/>
      <w:r w:rsidRPr="0055041E">
        <w:rPr>
          <w:snapToGrid w:val="0"/>
        </w:rPr>
        <w:t>2.5.2. Дрова</w:t>
      </w:r>
      <w:bookmarkEnd w:id="109"/>
      <w:bookmarkEnd w:id="110"/>
    </w:p>
    <w:p w:rsidR="00A91269" w:rsidRPr="00B271C9" w:rsidRDefault="00A91269" w:rsidP="00A91269">
      <w:pPr>
        <w:adjustRightInd w:val="0"/>
        <w:spacing w:after="0" w:line="240" w:lineRule="auto"/>
        <w:ind w:firstLine="720"/>
        <w:jc w:val="both"/>
        <w:rPr>
          <w:snapToGrid w:val="0"/>
          <w:szCs w:val="28"/>
        </w:rPr>
      </w:pPr>
      <w:r w:rsidRPr="001D73C1">
        <w:rPr>
          <w:szCs w:val="28"/>
        </w:rPr>
        <w:t>Приказом департамента от 1</w:t>
      </w:r>
      <w:r>
        <w:rPr>
          <w:szCs w:val="28"/>
        </w:rPr>
        <w:t>9</w:t>
      </w:r>
      <w:r w:rsidRPr="001D73C1">
        <w:rPr>
          <w:szCs w:val="28"/>
        </w:rPr>
        <w:t>.12.202</w:t>
      </w:r>
      <w:r>
        <w:rPr>
          <w:szCs w:val="28"/>
        </w:rPr>
        <w:t>4</w:t>
      </w:r>
      <w:r w:rsidRPr="001D73C1">
        <w:rPr>
          <w:szCs w:val="28"/>
        </w:rPr>
        <w:t xml:space="preserve"> № </w:t>
      </w:r>
      <w:r>
        <w:rPr>
          <w:szCs w:val="28"/>
        </w:rPr>
        <w:t>548</w:t>
      </w:r>
      <w:r w:rsidRPr="001D73C1">
        <w:rPr>
          <w:szCs w:val="28"/>
        </w:rPr>
        <w:t xml:space="preserve">-ТС/НПА «Об </w:t>
      </w:r>
      <w:r w:rsidRPr="00AA53FD">
        <w:rPr>
          <w:szCs w:val="28"/>
        </w:rPr>
        <w:t>установлении</w:t>
      </w:r>
      <w:r w:rsidRPr="001D73C1">
        <w:rPr>
          <w:szCs w:val="28"/>
        </w:rPr>
        <w:t xml:space="preserve"> розничных предельных максимальных ценах на дрова, реализуемые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w:t>
      </w:r>
      <w:r>
        <w:rPr>
          <w:szCs w:val="28"/>
        </w:rPr>
        <w:t xml:space="preserve">в жилье (далее - население), и </w:t>
      </w:r>
      <w:r w:rsidRPr="001D73C1">
        <w:rPr>
          <w:szCs w:val="28"/>
        </w:rPr>
        <w:t>о признании утратившим силу приказа департамента по тарифам Новосибирской области от 1</w:t>
      </w:r>
      <w:r>
        <w:rPr>
          <w:szCs w:val="28"/>
        </w:rPr>
        <w:t>2</w:t>
      </w:r>
      <w:r w:rsidRPr="001D73C1">
        <w:rPr>
          <w:szCs w:val="28"/>
        </w:rPr>
        <w:t>.1</w:t>
      </w:r>
      <w:r>
        <w:rPr>
          <w:szCs w:val="28"/>
        </w:rPr>
        <w:t>2</w:t>
      </w:r>
      <w:r w:rsidRPr="001D73C1">
        <w:rPr>
          <w:szCs w:val="28"/>
        </w:rPr>
        <w:t>.202</w:t>
      </w:r>
      <w:r>
        <w:rPr>
          <w:szCs w:val="28"/>
        </w:rPr>
        <w:t>3</w:t>
      </w:r>
      <w:r w:rsidRPr="001D73C1">
        <w:rPr>
          <w:szCs w:val="28"/>
        </w:rPr>
        <w:t xml:space="preserve"> № </w:t>
      </w:r>
      <w:r>
        <w:rPr>
          <w:szCs w:val="28"/>
        </w:rPr>
        <w:t>492</w:t>
      </w:r>
      <w:r w:rsidRPr="001D73C1">
        <w:rPr>
          <w:szCs w:val="28"/>
        </w:rPr>
        <w:t>-ТС</w:t>
      </w:r>
      <w:r>
        <w:rPr>
          <w:szCs w:val="28"/>
        </w:rPr>
        <w:t>/НПА</w:t>
      </w:r>
      <w:r w:rsidRPr="001D73C1">
        <w:rPr>
          <w:szCs w:val="28"/>
        </w:rPr>
        <w:t>» установлены с введением в действие с 01</w:t>
      </w:r>
      <w:r>
        <w:rPr>
          <w:szCs w:val="28"/>
        </w:rPr>
        <w:t xml:space="preserve"> июля</w:t>
      </w:r>
      <w:r w:rsidRPr="001D73C1">
        <w:rPr>
          <w:szCs w:val="28"/>
        </w:rPr>
        <w:t xml:space="preserve"> 202</w:t>
      </w:r>
      <w:r>
        <w:rPr>
          <w:szCs w:val="28"/>
        </w:rPr>
        <w:t>5</w:t>
      </w:r>
      <w:r w:rsidRPr="001D73C1">
        <w:rPr>
          <w:szCs w:val="28"/>
        </w:rPr>
        <w:t xml:space="preserve"> года розничные предельные максимальные цены на </w:t>
      </w:r>
      <w:r w:rsidRPr="00B0377E">
        <w:rPr>
          <w:szCs w:val="28"/>
        </w:rPr>
        <w:t xml:space="preserve">дрова в количестве 96, </w:t>
      </w:r>
      <w:r w:rsidRPr="00B271C9">
        <w:rPr>
          <w:szCs w:val="28"/>
        </w:rPr>
        <w:t>реализуемые населению на территории Новосибирской области, с учетом дифференциации:</w:t>
      </w:r>
      <w:r w:rsidRPr="00B271C9">
        <w:rPr>
          <w:snapToGrid w:val="0"/>
          <w:szCs w:val="28"/>
        </w:rPr>
        <w:t xml:space="preserve"> </w:t>
      </w:r>
    </w:p>
    <w:p w:rsidR="00A91269" w:rsidRPr="00B271C9" w:rsidRDefault="00A91269" w:rsidP="00A91269">
      <w:pPr>
        <w:adjustRightInd w:val="0"/>
        <w:spacing w:after="0" w:line="240" w:lineRule="auto"/>
        <w:ind w:firstLine="720"/>
        <w:jc w:val="both"/>
        <w:rPr>
          <w:szCs w:val="28"/>
        </w:rPr>
      </w:pPr>
      <w:r w:rsidRPr="00B271C9">
        <w:rPr>
          <w:snapToGrid w:val="0"/>
          <w:szCs w:val="28"/>
        </w:rPr>
        <w:t>по двум лесорастительным зонам;</w:t>
      </w:r>
      <w:r w:rsidRPr="00B271C9">
        <w:rPr>
          <w:szCs w:val="28"/>
        </w:rPr>
        <w:t xml:space="preserve"> </w:t>
      </w:r>
    </w:p>
    <w:p w:rsidR="00A91269" w:rsidRPr="0099078E" w:rsidRDefault="00A91269" w:rsidP="00A91269">
      <w:pPr>
        <w:adjustRightInd w:val="0"/>
        <w:spacing w:after="0" w:line="240" w:lineRule="auto"/>
        <w:ind w:firstLine="720"/>
        <w:jc w:val="both"/>
        <w:rPr>
          <w:snapToGrid w:val="0"/>
          <w:szCs w:val="28"/>
        </w:rPr>
      </w:pPr>
      <w:r w:rsidRPr="0099078E">
        <w:rPr>
          <w:snapToGrid w:val="0"/>
          <w:szCs w:val="28"/>
        </w:rPr>
        <w:lastRenderedPageBreak/>
        <w:t xml:space="preserve">двум группам в зависимости от франко-границы реализации дров (верхний и нижний лесопромышленный склад); </w:t>
      </w:r>
    </w:p>
    <w:p w:rsidR="00A91269" w:rsidRPr="0099078E" w:rsidRDefault="00A91269" w:rsidP="00A91269">
      <w:pPr>
        <w:adjustRightInd w:val="0"/>
        <w:spacing w:after="0" w:line="240" w:lineRule="auto"/>
        <w:ind w:firstLine="720"/>
        <w:jc w:val="both"/>
        <w:rPr>
          <w:szCs w:val="28"/>
        </w:rPr>
      </w:pPr>
      <w:r w:rsidRPr="0099078E">
        <w:rPr>
          <w:snapToGrid w:val="0"/>
          <w:szCs w:val="28"/>
        </w:rPr>
        <w:t xml:space="preserve">степени технологической разделки дров, способа погрузки </w:t>
      </w:r>
      <w:r w:rsidRPr="0099078E">
        <w:rPr>
          <w:szCs w:val="28"/>
        </w:rPr>
        <w:t xml:space="preserve">дров в транспортное средство (вручную и механизированным способом); </w:t>
      </w:r>
    </w:p>
    <w:p w:rsidR="00A91269" w:rsidRDefault="00A91269" w:rsidP="00A91269">
      <w:pPr>
        <w:adjustRightInd w:val="0"/>
        <w:spacing w:after="0" w:line="240" w:lineRule="auto"/>
        <w:ind w:firstLine="720"/>
        <w:jc w:val="both"/>
        <w:rPr>
          <w:szCs w:val="28"/>
        </w:rPr>
      </w:pPr>
      <w:r w:rsidRPr="0099078E">
        <w:rPr>
          <w:snapToGrid w:val="0"/>
          <w:szCs w:val="28"/>
        </w:rPr>
        <w:t>условиям «франко» (</w:t>
      </w:r>
      <w:r w:rsidRPr="0099078E">
        <w:rPr>
          <w:szCs w:val="28"/>
        </w:rPr>
        <w:t xml:space="preserve">с доставкой к месту, указанному потребителем, и без доставки). </w:t>
      </w:r>
    </w:p>
    <w:p w:rsidR="00A91269" w:rsidRPr="00DE11A3" w:rsidRDefault="00A91269" w:rsidP="00A91269">
      <w:pPr>
        <w:adjustRightInd w:val="0"/>
        <w:spacing w:after="0" w:line="240" w:lineRule="auto"/>
        <w:ind w:firstLine="720"/>
        <w:jc w:val="both"/>
        <w:rPr>
          <w:szCs w:val="28"/>
        </w:rPr>
      </w:pPr>
    </w:p>
    <w:p w:rsidR="00A91269" w:rsidRPr="00E231C8" w:rsidRDefault="00A91269" w:rsidP="00A91269">
      <w:pPr>
        <w:rPr>
          <w:b/>
          <w:sz w:val="24"/>
        </w:rPr>
      </w:pPr>
      <w:r w:rsidRPr="00E231C8">
        <w:rPr>
          <w:b/>
          <w:i/>
          <w:sz w:val="24"/>
        </w:rPr>
        <w:t xml:space="preserve">Розничные цены на дрова, реализуемые населению </w:t>
      </w:r>
      <w:r w:rsidRPr="00E231C8">
        <w:rPr>
          <w:b/>
          <w:i/>
          <w:sz w:val="24"/>
          <w:u w:val="single"/>
        </w:rPr>
        <w:t xml:space="preserve">без доставки </w:t>
      </w:r>
      <w:r w:rsidRPr="00E231C8">
        <w:rPr>
          <w:b/>
          <w:i/>
          <w:sz w:val="24"/>
        </w:rPr>
        <w:t>к месту, указанному потребителем:</w:t>
      </w:r>
    </w:p>
    <w:tbl>
      <w:tblPr>
        <w:tblW w:w="922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1029"/>
        <w:gridCol w:w="1134"/>
        <w:gridCol w:w="709"/>
        <w:gridCol w:w="850"/>
        <w:gridCol w:w="1251"/>
        <w:gridCol w:w="1301"/>
        <w:gridCol w:w="1275"/>
        <w:gridCol w:w="1140"/>
      </w:tblGrid>
      <w:tr w:rsidR="00A91269" w:rsidRPr="00E231C8" w:rsidTr="00E231C8">
        <w:trPr>
          <w:trHeight w:val="675"/>
        </w:trPr>
        <w:tc>
          <w:tcPr>
            <w:tcW w:w="531" w:type="dxa"/>
            <w:vMerge w:val="restart"/>
            <w:vAlign w:val="center"/>
            <w:hideMark/>
          </w:tcPr>
          <w:p w:rsidR="00A91269" w:rsidRPr="00E231C8" w:rsidRDefault="00A91269" w:rsidP="005A5E13">
            <w:pPr>
              <w:rPr>
                <w:sz w:val="18"/>
                <w:szCs w:val="18"/>
              </w:rPr>
            </w:pPr>
            <w:r w:rsidRPr="00E231C8">
              <w:rPr>
                <w:sz w:val="18"/>
                <w:szCs w:val="18"/>
              </w:rPr>
              <w:t>№ п/п</w:t>
            </w:r>
          </w:p>
        </w:tc>
        <w:tc>
          <w:tcPr>
            <w:tcW w:w="3722" w:type="dxa"/>
            <w:gridSpan w:val="4"/>
            <w:vAlign w:val="center"/>
          </w:tcPr>
          <w:p w:rsidR="00A91269" w:rsidRPr="00E231C8" w:rsidRDefault="00A91269" w:rsidP="005A5E13">
            <w:pPr>
              <w:rPr>
                <w:sz w:val="18"/>
                <w:szCs w:val="18"/>
              </w:rPr>
            </w:pPr>
            <w:r w:rsidRPr="00E231C8">
              <w:rPr>
                <w:sz w:val="18"/>
                <w:szCs w:val="18"/>
              </w:rPr>
              <w:t>ДРОВА:</w:t>
            </w:r>
          </w:p>
        </w:tc>
        <w:tc>
          <w:tcPr>
            <w:tcW w:w="1251" w:type="dxa"/>
            <w:vMerge w:val="restart"/>
            <w:vAlign w:val="center"/>
            <w:hideMark/>
          </w:tcPr>
          <w:p w:rsidR="00A91269" w:rsidRPr="00E231C8" w:rsidRDefault="00A91269" w:rsidP="005A5E13">
            <w:pPr>
              <w:rPr>
                <w:sz w:val="18"/>
                <w:szCs w:val="18"/>
              </w:rPr>
            </w:pPr>
            <w:r w:rsidRPr="00E231C8">
              <w:rPr>
                <w:sz w:val="18"/>
                <w:szCs w:val="18"/>
              </w:rPr>
              <w:t>Бревна, исполь-зуемые в качестве топлива                      (2,1 м - 6,5 м)</w:t>
            </w:r>
          </w:p>
        </w:tc>
        <w:tc>
          <w:tcPr>
            <w:tcW w:w="3716" w:type="dxa"/>
            <w:gridSpan w:val="3"/>
            <w:vAlign w:val="center"/>
            <w:hideMark/>
          </w:tcPr>
          <w:p w:rsidR="00A91269" w:rsidRPr="00E231C8" w:rsidRDefault="00A91269" w:rsidP="005A5E13">
            <w:pPr>
              <w:rPr>
                <w:sz w:val="18"/>
                <w:szCs w:val="18"/>
              </w:rPr>
            </w:pPr>
            <w:r w:rsidRPr="00E231C8">
              <w:rPr>
                <w:sz w:val="18"/>
                <w:szCs w:val="18"/>
              </w:rPr>
              <w:t>Дрова разделанные в виде поленьев всех пород:</w:t>
            </w:r>
          </w:p>
        </w:tc>
      </w:tr>
      <w:tr w:rsidR="00A91269" w:rsidRPr="00E231C8" w:rsidTr="00E231C8">
        <w:trPr>
          <w:trHeight w:val="1200"/>
        </w:trPr>
        <w:tc>
          <w:tcPr>
            <w:tcW w:w="531" w:type="dxa"/>
            <w:vMerge/>
            <w:tcBorders>
              <w:bottom w:val="single" w:sz="4" w:space="0" w:color="auto"/>
            </w:tcBorders>
            <w:vAlign w:val="center"/>
            <w:hideMark/>
          </w:tcPr>
          <w:p w:rsidR="00A91269" w:rsidRPr="00E231C8" w:rsidRDefault="00A91269" w:rsidP="005A5E13">
            <w:pPr>
              <w:rPr>
                <w:sz w:val="18"/>
                <w:szCs w:val="18"/>
              </w:rPr>
            </w:pPr>
          </w:p>
        </w:tc>
        <w:tc>
          <w:tcPr>
            <w:tcW w:w="1029" w:type="dxa"/>
            <w:tcBorders>
              <w:bottom w:val="single" w:sz="4" w:space="0" w:color="auto"/>
            </w:tcBorders>
            <w:vAlign w:val="center"/>
            <w:hideMark/>
          </w:tcPr>
          <w:p w:rsidR="00A91269" w:rsidRPr="00E231C8" w:rsidRDefault="00A91269" w:rsidP="005A5E13">
            <w:pPr>
              <w:rPr>
                <w:sz w:val="18"/>
                <w:szCs w:val="18"/>
              </w:rPr>
            </w:pPr>
            <w:r w:rsidRPr="00E231C8">
              <w:rPr>
                <w:sz w:val="18"/>
                <w:szCs w:val="18"/>
              </w:rPr>
              <w:t>реализу-емые:</w:t>
            </w:r>
          </w:p>
        </w:tc>
        <w:tc>
          <w:tcPr>
            <w:tcW w:w="1134" w:type="dxa"/>
            <w:tcBorders>
              <w:bottom w:val="single" w:sz="4" w:space="0" w:color="auto"/>
            </w:tcBorders>
            <w:vAlign w:val="center"/>
            <w:hideMark/>
          </w:tcPr>
          <w:p w:rsidR="00A91269" w:rsidRPr="00E231C8" w:rsidRDefault="00A91269" w:rsidP="005A5E13">
            <w:pPr>
              <w:rPr>
                <w:sz w:val="18"/>
                <w:szCs w:val="18"/>
              </w:rPr>
            </w:pPr>
            <w:r w:rsidRPr="00E231C8">
              <w:rPr>
                <w:sz w:val="18"/>
                <w:szCs w:val="18"/>
              </w:rPr>
              <w:t>лесорасти-тельная зона</w:t>
            </w:r>
          </w:p>
        </w:tc>
        <w:tc>
          <w:tcPr>
            <w:tcW w:w="1559" w:type="dxa"/>
            <w:gridSpan w:val="2"/>
            <w:tcBorders>
              <w:bottom w:val="single" w:sz="4" w:space="0" w:color="auto"/>
            </w:tcBorders>
            <w:vAlign w:val="center"/>
            <w:hideMark/>
          </w:tcPr>
          <w:p w:rsidR="00A91269" w:rsidRPr="00E231C8" w:rsidRDefault="00A91269" w:rsidP="005A5E13">
            <w:pPr>
              <w:rPr>
                <w:sz w:val="18"/>
                <w:szCs w:val="18"/>
              </w:rPr>
            </w:pPr>
            <w:r w:rsidRPr="00E231C8">
              <w:rPr>
                <w:sz w:val="18"/>
                <w:szCs w:val="18"/>
              </w:rPr>
              <w:t>погрузка в транспортное средство</w:t>
            </w:r>
          </w:p>
        </w:tc>
        <w:tc>
          <w:tcPr>
            <w:tcW w:w="1251" w:type="dxa"/>
            <w:vMerge/>
            <w:tcBorders>
              <w:bottom w:val="single" w:sz="4" w:space="0" w:color="auto"/>
            </w:tcBorders>
            <w:vAlign w:val="center"/>
            <w:hideMark/>
          </w:tcPr>
          <w:p w:rsidR="00A91269" w:rsidRPr="00E231C8" w:rsidRDefault="00A91269" w:rsidP="005A5E13">
            <w:pPr>
              <w:rPr>
                <w:sz w:val="18"/>
                <w:szCs w:val="18"/>
              </w:rPr>
            </w:pPr>
          </w:p>
        </w:tc>
        <w:tc>
          <w:tcPr>
            <w:tcW w:w="1301" w:type="dxa"/>
            <w:tcBorders>
              <w:bottom w:val="single" w:sz="4" w:space="0" w:color="auto"/>
            </w:tcBorders>
            <w:vAlign w:val="center"/>
            <w:hideMark/>
          </w:tcPr>
          <w:p w:rsidR="00A91269" w:rsidRPr="00E231C8" w:rsidRDefault="00A91269" w:rsidP="005A5E13">
            <w:pPr>
              <w:rPr>
                <w:sz w:val="18"/>
                <w:szCs w:val="18"/>
              </w:rPr>
            </w:pPr>
            <w:r w:rsidRPr="00E231C8">
              <w:rPr>
                <w:sz w:val="18"/>
                <w:szCs w:val="18"/>
              </w:rPr>
              <w:t>Разделанные до 2,0 м</w:t>
            </w:r>
          </w:p>
        </w:tc>
        <w:tc>
          <w:tcPr>
            <w:tcW w:w="1275" w:type="dxa"/>
            <w:tcBorders>
              <w:bottom w:val="single" w:sz="4" w:space="0" w:color="auto"/>
            </w:tcBorders>
            <w:vAlign w:val="center"/>
            <w:hideMark/>
          </w:tcPr>
          <w:p w:rsidR="00A91269" w:rsidRPr="00E231C8" w:rsidRDefault="00A91269" w:rsidP="005A5E13">
            <w:pPr>
              <w:rPr>
                <w:sz w:val="18"/>
                <w:szCs w:val="18"/>
              </w:rPr>
            </w:pPr>
            <w:r w:rsidRPr="00E231C8">
              <w:rPr>
                <w:sz w:val="18"/>
                <w:szCs w:val="18"/>
              </w:rPr>
              <w:t>Разделан-</w:t>
            </w:r>
          </w:p>
          <w:p w:rsidR="00A91269" w:rsidRPr="00E231C8" w:rsidRDefault="00A91269" w:rsidP="005A5E13">
            <w:pPr>
              <w:rPr>
                <w:sz w:val="18"/>
                <w:szCs w:val="18"/>
              </w:rPr>
            </w:pPr>
            <w:r w:rsidRPr="00E231C8">
              <w:rPr>
                <w:sz w:val="18"/>
                <w:szCs w:val="18"/>
              </w:rPr>
              <w:t>ные до 0,5 м</w:t>
            </w:r>
          </w:p>
        </w:tc>
        <w:tc>
          <w:tcPr>
            <w:tcW w:w="1140" w:type="dxa"/>
            <w:tcBorders>
              <w:bottom w:val="single" w:sz="4" w:space="0" w:color="auto"/>
            </w:tcBorders>
            <w:vAlign w:val="center"/>
            <w:hideMark/>
          </w:tcPr>
          <w:p w:rsidR="00A91269" w:rsidRPr="00E231C8" w:rsidRDefault="00A91269" w:rsidP="005A5E13">
            <w:pPr>
              <w:rPr>
                <w:sz w:val="18"/>
                <w:szCs w:val="18"/>
              </w:rPr>
            </w:pPr>
            <w:r w:rsidRPr="00E231C8">
              <w:rPr>
                <w:sz w:val="18"/>
                <w:szCs w:val="18"/>
              </w:rPr>
              <w:t>Разделанные до 0,5 м, колотые</w:t>
            </w:r>
          </w:p>
        </w:tc>
      </w:tr>
      <w:tr w:rsidR="00A91269" w:rsidRPr="00E231C8" w:rsidTr="00E231C8">
        <w:trPr>
          <w:trHeight w:val="495"/>
        </w:trPr>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1</w:t>
            </w:r>
          </w:p>
        </w:tc>
        <w:tc>
          <w:tcPr>
            <w:tcW w:w="1029"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с верхнего склада</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приобско-боровая зона</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251"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380</w:t>
            </w:r>
          </w:p>
        </w:tc>
        <w:tc>
          <w:tcPr>
            <w:tcW w:w="1301"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419</w:t>
            </w:r>
          </w:p>
        </w:tc>
        <w:tc>
          <w:tcPr>
            <w:tcW w:w="1275"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447</w:t>
            </w:r>
          </w:p>
        </w:tc>
        <w:tc>
          <w:tcPr>
            <w:tcW w:w="1140"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547</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029"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с погрузкой </w:t>
            </w:r>
          </w:p>
        </w:tc>
        <w:tc>
          <w:tcPr>
            <w:tcW w:w="850"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вручную</w:t>
            </w:r>
          </w:p>
        </w:tc>
        <w:tc>
          <w:tcPr>
            <w:tcW w:w="1251"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476</w:t>
            </w:r>
          </w:p>
        </w:tc>
        <w:tc>
          <w:tcPr>
            <w:tcW w:w="1301"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514</w:t>
            </w:r>
          </w:p>
        </w:tc>
        <w:tc>
          <w:tcPr>
            <w:tcW w:w="1275"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542</w:t>
            </w:r>
          </w:p>
        </w:tc>
        <w:tc>
          <w:tcPr>
            <w:tcW w:w="1140" w:type="dxa"/>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642</w:t>
            </w:r>
          </w:p>
        </w:tc>
      </w:tr>
      <w:tr w:rsidR="00A91269" w:rsidRPr="00E231C8" w:rsidTr="00E231C8">
        <w:trPr>
          <w:trHeight w:val="402"/>
        </w:trPr>
        <w:tc>
          <w:tcPr>
            <w:tcW w:w="531" w:type="dxa"/>
            <w:vMerge/>
            <w:tcBorders>
              <w:top w:val="single" w:sz="4" w:space="0" w:color="auto"/>
            </w:tcBorders>
            <w:vAlign w:val="center"/>
            <w:hideMark/>
          </w:tcPr>
          <w:p w:rsidR="00A91269" w:rsidRPr="00E231C8" w:rsidRDefault="00A91269" w:rsidP="005A5E13">
            <w:pPr>
              <w:rPr>
                <w:sz w:val="18"/>
                <w:szCs w:val="18"/>
              </w:rPr>
            </w:pPr>
          </w:p>
        </w:tc>
        <w:tc>
          <w:tcPr>
            <w:tcW w:w="1029" w:type="dxa"/>
            <w:vMerge/>
            <w:tcBorders>
              <w:top w:val="single" w:sz="4" w:space="0" w:color="auto"/>
            </w:tcBorders>
            <w:vAlign w:val="center"/>
            <w:hideMark/>
          </w:tcPr>
          <w:p w:rsidR="00A91269" w:rsidRPr="00E231C8" w:rsidRDefault="00A91269" w:rsidP="005A5E13">
            <w:pPr>
              <w:rPr>
                <w:sz w:val="18"/>
                <w:szCs w:val="18"/>
              </w:rPr>
            </w:pPr>
          </w:p>
        </w:tc>
        <w:tc>
          <w:tcPr>
            <w:tcW w:w="1134" w:type="dxa"/>
            <w:vMerge/>
            <w:tcBorders>
              <w:top w:val="single" w:sz="4" w:space="0" w:color="auto"/>
            </w:tcBorders>
            <w:vAlign w:val="center"/>
            <w:hideMark/>
          </w:tcPr>
          <w:p w:rsidR="00A91269" w:rsidRPr="00E231C8" w:rsidRDefault="00A91269" w:rsidP="005A5E13">
            <w:pPr>
              <w:rPr>
                <w:sz w:val="18"/>
                <w:szCs w:val="18"/>
              </w:rPr>
            </w:pPr>
          </w:p>
        </w:tc>
        <w:tc>
          <w:tcPr>
            <w:tcW w:w="709" w:type="dxa"/>
            <w:vMerge/>
            <w:tcBorders>
              <w:top w:val="single" w:sz="4" w:space="0" w:color="auto"/>
            </w:tcBorders>
            <w:vAlign w:val="center"/>
            <w:hideMark/>
          </w:tcPr>
          <w:p w:rsidR="00A91269" w:rsidRPr="00E231C8" w:rsidRDefault="00A91269" w:rsidP="005A5E13">
            <w:pPr>
              <w:rPr>
                <w:sz w:val="18"/>
                <w:szCs w:val="18"/>
              </w:rPr>
            </w:pPr>
          </w:p>
        </w:tc>
        <w:tc>
          <w:tcPr>
            <w:tcW w:w="850" w:type="dxa"/>
            <w:tcBorders>
              <w:top w:val="single" w:sz="4" w:space="0" w:color="auto"/>
            </w:tcBorders>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251" w:type="dxa"/>
            <w:tcBorders>
              <w:top w:val="single" w:sz="4" w:space="0" w:color="auto"/>
            </w:tcBorders>
            <w:vAlign w:val="center"/>
            <w:hideMark/>
          </w:tcPr>
          <w:p w:rsidR="00A91269" w:rsidRPr="00E231C8" w:rsidRDefault="00A91269" w:rsidP="005A5E13">
            <w:pPr>
              <w:rPr>
                <w:sz w:val="18"/>
                <w:szCs w:val="18"/>
              </w:rPr>
            </w:pPr>
            <w:r w:rsidRPr="00E231C8">
              <w:rPr>
                <w:sz w:val="18"/>
                <w:szCs w:val="18"/>
              </w:rPr>
              <w:t>446</w:t>
            </w:r>
          </w:p>
        </w:tc>
        <w:tc>
          <w:tcPr>
            <w:tcW w:w="1301" w:type="dxa"/>
            <w:tcBorders>
              <w:top w:val="single" w:sz="4" w:space="0" w:color="auto"/>
            </w:tcBorders>
            <w:vAlign w:val="center"/>
            <w:hideMark/>
          </w:tcPr>
          <w:p w:rsidR="00A91269" w:rsidRPr="00E231C8" w:rsidRDefault="00A91269" w:rsidP="005A5E13">
            <w:pPr>
              <w:rPr>
                <w:sz w:val="18"/>
                <w:szCs w:val="18"/>
              </w:rPr>
            </w:pPr>
            <w:r w:rsidRPr="00E231C8">
              <w:rPr>
                <w:sz w:val="18"/>
                <w:szCs w:val="18"/>
              </w:rPr>
              <w:t>486</w:t>
            </w:r>
          </w:p>
        </w:tc>
        <w:tc>
          <w:tcPr>
            <w:tcW w:w="1275" w:type="dxa"/>
            <w:tcBorders>
              <w:top w:val="single" w:sz="4" w:space="0" w:color="auto"/>
            </w:tcBorders>
            <w:vAlign w:val="center"/>
            <w:hideMark/>
          </w:tcPr>
          <w:p w:rsidR="00A91269" w:rsidRPr="00E231C8" w:rsidRDefault="00A91269" w:rsidP="005A5E13">
            <w:pPr>
              <w:rPr>
                <w:sz w:val="18"/>
                <w:szCs w:val="18"/>
              </w:rPr>
            </w:pPr>
            <w:r w:rsidRPr="00E231C8">
              <w:rPr>
                <w:sz w:val="18"/>
                <w:szCs w:val="18"/>
              </w:rPr>
              <w:t>512</w:t>
            </w:r>
          </w:p>
        </w:tc>
        <w:tc>
          <w:tcPr>
            <w:tcW w:w="1140" w:type="dxa"/>
            <w:tcBorders>
              <w:top w:val="single" w:sz="4" w:space="0" w:color="auto"/>
            </w:tcBorders>
            <w:vAlign w:val="center"/>
            <w:hideMark/>
          </w:tcPr>
          <w:p w:rsidR="00A91269" w:rsidRPr="00E231C8" w:rsidRDefault="00A91269" w:rsidP="005A5E13">
            <w:pPr>
              <w:rPr>
                <w:sz w:val="18"/>
                <w:szCs w:val="18"/>
              </w:rPr>
            </w:pPr>
            <w:r w:rsidRPr="00E231C8">
              <w:rPr>
                <w:sz w:val="18"/>
                <w:szCs w:val="18"/>
              </w:rPr>
              <w:t>612</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restart"/>
            <w:vAlign w:val="center"/>
            <w:hideMark/>
          </w:tcPr>
          <w:p w:rsidR="00A91269" w:rsidRPr="00E231C8" w:rsidRDefault="00A91269" w:rsidP="005A5E13">
            <w:pPr>
              <w:rPr>
                <w:sz w:val="18"/>
                <w:szCs w:val="18"/>
              </w:rPr>
            </w:pPr>
            <w:r w:rsidRPr="00E231C8">
              <w:rPr>
                <w:sz w:val="18"/>
                <w:szCs w:val="18"/>
              </w:rPr>
              <w:t>лесостепная и северо-западная зоны</w:t>
            </w:r>
          </w:p>
        </w:tc>
        <w:tc>
          <w:tcPr>
            <w:tcW w:w="1559" w:type="dxa"/>
            <w:gridSpan w:val="2"/>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251" w:type="dxa"/>
            <w:vAlign w:val="center"/>
            <w:hideMark/>
          </w:tcPr>
          <w:p w:rsidR="00A91269" w:rsidRPr="00E231C8" w:rsidRDefault="00A91269" w:rsidP="005A5E13">
            <w:pPr>
              <w:rPr>
                <w:sz w:val="18"/>
                <w:szCs w:val="18"/>
              </w:rPr>
            </w:pPr>
            <w:r w:rsidRPr="00E231C8">
              <w:rPr>
                <w:sz w:val="18"/>
                <w:szCs w:val="18"/>
              </w:rPr>
              <w:t>527</w:t>
            </w:r>
          </w:p>
        </w:tc>
        <w:tc>
          <w:tcPr>
            <w:tcW w:w="1301" w:type="dxa"/>
            <w:vAlign w:val="center"/>
            <w:hideMark/>
          </w:tcPr>
          <w:p w:rsidR="00A91269" w:rsidRPr="00E231C8" w:rsidRDefault="00A91269" w:rsidP="005A5E13">
            <w:pPr>
              <w:rPr>
                <w:sz w:val="18"/>
                <w:szCs w:val="18"/>
              </w:rPr>
            </w:pPr>
            <w:r w:rsidRPr="00E231C8">
              <w:rPr>
                <w:sz w:val="18"/>
                <w:szCs w:val="18"/>
              </w:rPr>
              <w:t>580</w:t>
            </w:r>
          </w:p>
        </w:tc>
        <w:tc>
          <w:tcPr>
            <w:tcW w:w="1275" w:type="dxa"/>
            <w:vAlign w:val="center"/>
            <w:hideMark/>
          </w:tcPr>
          <w:p w:rsidR="00A91269" w:rsidRPr="00E231C8" w:rsidRDefault="00A91269" w:rsidP="005A5E13">
            <w:pPr>
              <w:rPr>
                <w:sz w:val="18"/>
                <w:szCs w:val="18"/>
              </w:rPr>
            </w:pPr>
            <w:r w:rsidRPr="00E231C8">
              <w:rPr>
                <w:sz w:val="18"/>
                <w:szCs w:val="18"/>
              </w:rPr>
              <w:t>617</w:t>
            </w:r>
          </w:p>
        </w:tc>
        <w:tc>
          <w:tcPr>
            <w:tcW w:w="1140" w:type="dxa"/>
            <w:vAlign w:val="center"/>
            <w:hideMark/>
          </w:tcPr>
          <w:p w:rsidR="00A91269" w:rsidRPr="00E231C8" w:rsidRDefault="00A91269" w:rsidP="005A5E13">
            <w:pPr>
              <w:rPr>
                <w:sz w:val="18"/>
                <w:szCs w:val="18"/>
              </w:rPr>
            </w:pPr>
            <w:r w:rsidRPr="00E231C8">
              <w:rPr>
                <w:sz w:val="18"/>
                <w:szCs w:val="18"/>
              </w:rPr>
              <w:t>753</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restart"/>
            <w:vAlign w:val="center"/>
            <w:hideMark/>
          </w:tcPr>
          <w:p w:rsidR="00A91269" w:rsidRPr="00E231C8" w:rsidRDefault="00A91269" w:rsidP="005A5E13">
            <w:pPr>
              <w:rPr>
                <w:sz w:val="18"/>
                <w:szCs w:val="18"/>
              </w:rPr>
            </w:pPr>
            <w:r w:rsidRPr="00E231C8">
              <w:rPr>
                <w:sz w:val="18"/>
                <w:szCs w:val="18"/>
              </w:rPr>
              <w:t>с погрузкой</w:t>
            </w:r>
          </w:p>
        </w:tc>
        <w:tc>
          <w:tcPr>
            <w:tcW w:w="850" w:type="dxa"/>
            <w:vAlign w:val="center"/>
            <w:hideMark/>
          </w:tcPr>
          <w:p w:rsidR="00A91269" w:rsidRPr="00E231C8" w:rsidRDefault="00A91269" w:rsidP="005A5E13">
            <w:pPr>
              <w:rPr>
                <w:sz w:val="18"/>
                <w:szCs w:val="18"/>
              </w:rPr>
            </w:pPr>
            <w:r w:rsidRPr="00E231C8">
              <w:rPr>
                <w:sz w:val="18"/>
                <w:szCs w:val="18"/>
              </w:rPr>
              <w:t>вручную</w:t>
            </w:r>
          </w:p>
        </w:tc>
        <w:tc>
          <w:tcPr>
            <w:tcW w:w="1251" w:type="dxa"/>
            <w:vAlign w:val="center"/>
            <w:hideMark/>
          </w:tcPr>
          <w:p w:rsidR="00A91269" w:rsidRPr="00E231C8" w:rsidRDefault="00A91269" w:rsidP="005A5E13">
            <w:pPr>
              <w:rPr>
                <w:sz w:val="18"/>
                <w:szCs w:val="18"/>
              </w:rPr>
            </w:pPr>
            <w:r w:rsidRPr="00E231C8">
              <w:rPr>
                <w:sz w:val="18"/>
                <w:szCs w:val="18"/>
              </w:rPr>
              <w:t>622</w:t>
            </w:r>
          </w:p>
        </w:tc>
        <w:tc>
          <w:tcPr>
            <w:tcW w:w="1301" w:type="dxa"/>
            <w:vAlign w:val="center"/>
            <w:hideMark/>
          </w:tcPr>
          <w:p w:rsidR="00A91269" w:rsidRPr="00E231C8" w:rsidRDefault="00A91269" w:rsidP="005A5E13">
            <w:pPr>
              <w:rPr>
                <w:sz w:val="18"/>
                <w:szCs w:val="18"/>
              </w:rPr>
            </w:pPr>
            <w:r w:rsidRPr="00E231C8">
              <w:rPr>
                <w:sz w:val="18"/>
                <w:szCs w:val="18"/>
              </w:rPr>
              <w:t>674</w:t>
            </w:r>
          </w:p>
        </w:tc>
        <w:tc>
          <w:tcPr>
            <w:tcW w:w="1275" w:type="dxa"/>
            <w:vAlign w:val="center"/>
            <w:hideMark/>
          </w:tcPr>
          <w:p w:rsidR="00A91269" w:rsidRPr="00E231C8" w:rsidRDefault="00A91269" w:rsidP="005A5E13">
            <w:pPr>
              <w:rPr>
                <w:sz w:val="18"/>
                <w:szCs w:val="18"/>
              </w:rPr>
            </w:pPr>
            <w:r w:rsidRPr="00E231C8">
              <w:rPr>
                <w:sz w:val="18"/>
                <w:szCs w:val="18"/>
              </w:rPr>
              <w:t>712</w:t>
            </w:r>
          </w:p>
        </w:tc>
        <w:tc>
          <w:tcPr>
            <w:tcW w:w="1140" w:type="dxa"/>
            <w:vAlign w:val="center"/>
            <w:hideMark/>
          </w:tcPr>
          <w:p w:rsidR="00A91269" w:rsidRPr="00E231C8" w:rsidRDefault="00A91269" w:rsidP="005A5E13">
            <w:pPr>
              <w:rPr>
                <w:sz w:val="18"/>
                <w:szCs w:val="18"/>
              </w:rPr>
            </w:pPr>
            <w:r w:rsidRPr="00E231C8">
              <w:rPr>
                <w:sz w:val="18"/>
                <w:szCs w:val="18"/>
              </w:rPr>
              <w:t>848</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ign w:val="center"/>
            <w:hideMark/>
          </w:tcPr>
          <w:p w:rsidR="00A91269" w:rsidRPr="00E231C8" w:rsidRDefault="00A91269" w:rsidP="005A5E13">
            <w:pPr>
              <w:rPr>
                <w:sz w:val="18"/>
                <w:szCs w:val="18"/>
              </w:rPr>
            </w:pPr>
          </w:p>
        </w:tc>
        <w:tc>
          <w:tcPr>
            <w:tcW w:w="850" w:type="dxa"/>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251" w:type="dxa"/>
            <w:vAlign w:val="center"/>
            <w:hideMark/>
          </w:tcPr>
          <w:p w:rsidR="00A91269" w:rsidRPr="00E231C8" w:rsidRDefault="00A91269" w:rsidP="005A5E13">
            <w:pPr>
              <w:rPr>
                <w:sz w:val="18"/>
                <w:szCs w:val="18"/>
              </w:rPr>
            </w:pPr>
            <w:r w:rsidRPr="00E231C8">
              <w:rPr>
                <w:sz w:val="18"/>
                <w:szCs w:val="18"/>
              </w:rPr>
              <w:t>593</w:t>
            </w:r>
          </w:p>
        </w:tc>
        <w:tc>
          <w:tcPr>
            <w:tcW w:w="1301" w:type="dxa"/>
            <w:vAlign w:val="center"/>
            <w:hideMark/>
          </w:tcPr>
          <w:p w:rsidR="00A91269" w:rsidRPr="00E231C8" w:rsidRDefault="00A91269" w:rsidP="005A5E13">
            <w:pPr>
              <w:rPr>
                <w:sz w:val="18"/>
                <w:szCs w:val="18"/>
              </w:rPr>
            </w:pPr>
            <w:r w:rsidRPr="00E231C8">
              <w:rPr>
                <w:sz w:val="18"/>
                <w:szCs w:val="18"/>
              </w:rPr>
              <w:t>645</w:t>
            </w:r>
          </w:p>
        </w:tc>
        <w:tc>
          <w:tcPr>
            <w:tcW w:w="1275" w:type="dxa"/>
            <w:vAlign w:val="center"/>
            <w:hideMark/>
          </w:tcPr>
          <w:p w:rsidR="00A91269" w:rsidRPr="00E231C8" w:rsidRDefault="00A91269" w:rsidP="005A5E13">
            <w:pPr>
              <w:rPr>
                <w:sz w:val="18"/>
                <w:szCs w:val="18"/>
              </w:rPr>
            </w:pPr>
            <w:r w:rsidRPr="00E231C8">
              <w:rPr>
                <w:sz w:val="18"/>
                <w:szCs w:val="18"/>
              </w:rPr>
              <w:t>683</w:t>
            </w:r>
          </w:p>
        </w:tc>
        <w:tc>
          <w:tcPr>
            <w:tcW w:w="1140" w:type="dxa"/>
            <w:vAlign w:val="center"/>
            <w:hideMark/>
          </w:tcPr>
          <w:p w:rsidR="00A91269" w:rsidRPr="00E231C8" w:rsidRDefault="00A91269" w:rsidP="005A5E13">
            <w:pPr>
              <w:rPr>
                <w:sz w:val="18"/>
                <w:szCs w:val="18"/>
              </w:rPr>
            </w:pPr>
            <w:r w:rsidRPr="00E231C8">
              <w:rPr>
                <w:sz w:val="18"/>
                <w:szCs w:val="18"/>
              </w:rPr>
              <w:t>819</w:t>
            </w:r>
          </w:p>
        </w:tc>
      </w:tr>
      <w:tr w:rsidR="00A91269" w:rsidRPr="00E231C8" w:rsidTr="00E231C8">
        <w:trPr>
          <w:trHeight w:val="402"/>
        </w:trPr>
        <w:tc>
          <w:tcPr>
            <w:tcW w:w="531" w:type="dxa"/>
            <w:vMerge w:val="restart"/>
            <w:vAlign w:val="center"/>
            <w:hideMark/>
          </w:tcPr>
          <w:p w:rsidR="00A91269" w:rsidRPr="00E231C8" w:rsidRDefault="00A91269" w:rsidP="005A5E13">
            <w:pPr>
              <w:rPr>
                <w:sz w:val="18"/>
                <w:szCs w:val="18"/>
              </w:rPr>
            </w:pPr>
            <w:r w:rsidRPr="00E231C8">
              <w:rPr>
                <w:sz w:val="18"/>
                <w:szCs w:val="18"/>
              </w:rPr>
              <w:t>2</w:t>
            </w:r>
          </w:p>
        </w:tc>
        <w:tc>
          <w:tcPr>
            <w:tcW w:w="1029" w:type="dxa"/>
            <w:vMerge w:val="restart"/>
            <w:vAlign w:val="center"/>
            <w:hideMark/>
          </w:tcPr>
          <w:p w:rsidR="00A91269" w:rsidRPr="00E231C8" w:rsidRDefault="00A91269" w:rsidP="005A5E13">
            <w:pPr>
              <w:rPr>
                <w:sz w:val="18"/>
                <w:szCs w:val="18"/>
              </w:rPr>
            </w:pPr>
            <w:r w:rsidRPr="00E231C8">
              <w:rPr>
                <w:sz w:val="18"/>
                <w:szCs w:val="18"/>
              </w:rPr>
              <w:t xml:space="preserve"> с нижнего склада</w:t>
            </w:r>
          </w:p>
        </w:tc>
        <w:tc>
          <w:tcPr>
            <w:tcW w:w="1134" w:type="dxa"/>
            <w:vMerge w:val="restart"/>
            <w:vAlign w:val="center"/>
            <w:hideMark/>
          </w:tcPr>
          <w:p w:rsidR="00A91269" w:rsidRPr="00E231C8" w:rsidRDefault="00A91269" w:rsidP="005A5E13">
            <w:pPr>
              <w:rPr>
                <w:sz w:val="18"/>
                <w:szCs w:val="18"/>
              </w:rPr>
            </w:pPr>
            <w:r w:rsidRPr="00E231C8">
              <w:rPr>
                <w:sz w:val="18"/>
                <w:szCs w:val="18"/>
              </w:rPr>
              <w:t>приобско-боровая зона</w:t>
            </w:r>
          </w:p>
        </w:tc>
        <w:tc>
          <w:tcPr>
            <w:tcW w:w="1559" w:type="dxa"/>
            <w:gridSpan w:val="2"/>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251" w:type="dxa"/>
            <w:vAlign w:val="center"/>
            <w:hideMark/>
          </w:tcPr>
          <w:p w:rsidR="00A91269" w:rsidRPr="00E231C8" w:rsidRDefault="00A91269" w:rsidP="005A5E13">
            <w:pPr>
              <w:rPr>
                <w:sz w:val="18"/>
                <w:szCs w:val="18"/>
              </w:rPr>
            </w:pPr>
            <w:r w:rsidRPr="00E231C8">
              <w:rPr>
                <w:sz w:val="18"/>
                <w:szCs w:val="18"/>
              </w:rPr>
              <w:t>581</w:t>
            </w:r>
          </w:p>
        </w:tc>
        <w:tc>
          <w:tcPr>
            <w:tcW w:w="1301" w:type="dxa"/>
            <w:vAlign w:val="center"/>
            <w:hideMark/>
          </w:tcPr>
          <w:p w:rsidR="00A91269" w:rsidRPr="00E231C8" w:rsidRDefault="00A91269" w:rsidP="005A5E13">
            <w:pPr>
              <w:rPr>
                <w:sz w:val="18"/>
                <w:szCs w:val="18"/>
              </w:rPr>
            </w:pPr>
            <w:r w:rsidRPr="00E231C8">
              <w:rPr>
                <w:sz w:val="18"/>
                <w:szCs w:val="18"/>
              </w:rPr>
              <w:t>622</w:t>
            </w:r>
          </w:p>
        </w:tc>
        <w:tc>
          <w:tcPr>
            <w:tcW w:w="1275" w:type="dxa"/>
            <w:vAlign w:val="center"/>
            <w:hideMark/>
          </w:tcPr>
          <w:p w:rsidR="00A91269" w:rsidRPr="00E231C8" w:rsidRDefault="00A91269" w:rsidP="005A5E13">
            <w:pPr>
              <w:rPr>
                <w:sz w:val="18"/>
                <w:szCs w:val="18"/>
              </w:rPr>
            </w:pPr>
            <w:r w:rsidRPr="00E231C8">
              <w:rPr>
                <w:sz w:val="18"/>
                <w:szCs w:val="18"/>
              </w:rPr>
              <w:t>646</w:t>
            </w:r>
          </w:p>
        </w:tc>
        <w:tc>
          <w:tcPr>
            <w:tcW w:w="1140" w:type="dxa"/>
            <w:vAlign w:val="center"/>
            <w:hideMark/>
          </w:tcPr>
          <w:p w:rsidR="00A91269" w:rsidRPr="00E231C8" w:rsidRDefault="00A91269" w:rsidP="005A5E13">
            <w:pPr>
              <w:rPr>
                <w:sz w:val="18"/>
                <w:szCs w:val="18"/>
              </w:rPr>
            </w:pPr>
            <w:r w:rsidRPr="00E231C8">
              <w:rPr>
                <w:sz w:val="18"/>
                <w:szCs w:val="18"/>
              </w:rPr>
              <w:t>746</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restart"/>
            <w:vAlign w:val="center"/>
            <w:hideMark/>
          </w:tcPr>
          <w:p w:rsidR="00A91269" w:rsidRPr="00E231C8" w:rsidRDefault="00A91269" w:rsidP="005A5E13">
            <w:pPr>
              <w:rPr>
                <w:sz w:val="18"/>
                <w:szCs w:val="18"/>
              </w:rPr>
            </w:pPr>
            <w:r w:rsidRPr="00E231C8">
              <w:rPr>
                <w:sz w:val="18"/>
                <w:szCs w:val="18"/>
              </w:rPr>
              <w:t xml:space="preserve">с погрузкой </w:t>
            </w:r>
          </w:p>
        </w:tc>
        <w:tc>
          <w:tcPr>
            <w:tcW w:w="850" w:type="dxa"/>
            <w:vAlign w:val="center"/>
            <w:hideMark/>
          </w:tcPr>
          <w:p w:rsidR="00A91269" w:rsidRPr="00E231C8" w:rsidRDefault="00A91269" w:rsidP="005A5E13">
            <w:pPr>
              <w:rPr>
                <w:sz w:val="18"/>
                <w:szCs w:val="18"/>
              </w:rPr>
            </w:pPr>
            <w:r w:rsidRPr="00E231C8">
              <w:rPr>
                <w:sz w:val="18"/>
                <w:szCs w:val="18"/>
              </w:rPr>
              <w:t>вручную</w:t>
            </w:r>
          </w:p>
        </w:tc>
        <w:tc>
          <w:tcPr>
            <w:tcW w:w="1251" w:type="dxa"/>
            <w:vAlign w:val="center"/>
            <w:hideMark/>
          </w:tcPr>
          <w:p w:rsidR="00A91269" w:rsidRPr="00E231C8" w:rsidRDefault="00A91269" w:rsidP="005A5E13">
            <w:pPr>
              <w:rPr>
                <w:sz w:val="18"/>
                <w:szCs w:val="18"/>
              </w:rPr>
            </w:pPr>
            <w:r w:rsidRPr="00E231C8">
              <w:rPr>
                <w:sz w:val="18"/>
                <w:szCs w:val="18"/>
              </w:rPr>
              <w:t>675</w:t>
            </w:r>
          </w:p>
        </w:tc>
        <w:tc>
          <w:tcPr>
            <w:tcW w:w="1301" w:type="dxa"/>
            <w:vAlign w:val="center"/>
            <w:hideMark/>
          </w:tcPr>
          <w:p w:rsidR="00A91269" w:rsidRPr="00E231C8" w:rsidRDefault="00A91269" w:rsidP="005A5E13">
            <w:pPr>
              <w:rPr>
                <w:sz w:val="18"/>
                <w:szCs w:val="18"/>
              </w:rPr>
            </w:pPr>
            <w:r w:rsidRPr="00E231C8">
              <w:rPr>
                <w:sz w:val="18"/>
                <w:szCs w:val="18"/>
              </w:rPr>
              <w:t>716</w:t>
            </w:r>
          </w:p>
        </w:tc>
        <w:tc>
          <w:tcPr>
            <w:tcW w:w="1275" w:type="dxa"/>
            <w:vAlign w:val="center"/>
            <w:hideMark/>
          </w:tcPr>
          <w:p w:rsidR="00A91269" w:rsidRPr="00E231C8" w:rsidRDefault="00A91269" w:rsidP="005A5E13">
            <w:pPr>
              <w:rPr>
                <w:sz w:val="18"/>
                <w:szCs w:val="18"/>
              </w:rPr>
            </w:pPr>
            <w:r w:rsidRPr="00E231C8">
              <w:rPr>
                <w:sz w:val="18"/>
                <w:szCs w:val="18"/>
              </w:rPr>
              <w:t>741</w:t>
            </w:r>
          </w:p>
        </w:tc>
        <w:tc>
          <w:tcPr>
            <w:tcW w:w="1140" w:type="dxa"/>
            <w:vAlign w:val="center"/>
            <w:hideMark/>
          </w:tcPr>
          <w:p w:rsidR="00A91269" w:rsidRPr="00E231C8" w:rsidRDefault="00A91269" w:rsidP="005A5E13">
            <w:pPr>
              <w:rPr>
                <w:sz w:val="18"/>
                <w:szCs w:val="18"/>
              </w:rPr>
            </w:pPr>
            <w:r w:rsidRPr="00E231C8">
              <w:rPr>
                <w:sz w:val="18"/>
                <w:szCs w:val="18"/>
              </w:rPr>
              <w:t>841</w:t>
            </w:r>
          </w:p>
        </w:tc>
      </w:tr>
      <w:tr w:rsidR="00A91269" w:rsidRPr="00E231C8" w:rsidTr="00E231C8">
        <w:trPr>
          <w:trHeight w:val="514"/>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ign w:val="center"/>
            <w:hideMark/>
          </w:tcPr>
          <w:p w:rsidR="00A91269" w:rsidRPr="00E231C8" w:rsidRDefault="00A91269" w:rsidP="005A5E13">
            <w:pPr>
              <w:rPr>
                <w:sz w:val="18"/>
                <w:szCs w:val="18"/>
              </w:rPr>
            </w:pPr>
          </w:p>
        </w:tc>
        <w:tc>
          <w:tcPr>
            <w:tcW w:w="850" w:type="dxa"/>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251" w:type="dxa"/>
            <w:vAlign w:val="center"/>
            <w:hideMark/>
          </w:tcPr>
          <w:p w:rsidR="00A91269" w:rsidRPr="00E231C8" w:rsidRDefault="00A91269" w:rsidP="005A5E13">
            <w:pPr>
              <w:rPr>
                <w:sz w:val="18"/>
                <w:szCs w:val="18"/>
              </w:rPr>
            </w:pPr>
            <w:r w:rsidRPr="00E231C8">
              <w:rPr>
                <w:sz w:val="18"/>
                <w:szCs w:val="18"/>
              </w:rPr>
              <w:t>646</w:t>
            </w:r>
          </w:p>
        </w:tc>
        <w:tc>
          <w:tcPr>
            <w:tcW w:w="1301" w:type="dxa"/>
            <w:vAlign w:val="center"/>
            <w:hideMark/>
          </w:tcPr>
          <w:p w:rsidR="00A91269" w:rsidRPr="00E231C8" w:rsidRDefault="00A91269" w:rsidP="005A5E13">
            <w:pPr>
              <w:rPr>
                <w:sz w:val="18"/>
                <w:szCs w:val="18"/>
              </w:rPr>
            </w:pPr>
            <w:r w:rsidRPr="00E231C8">
              <w:rPr>
                <w:sz w:val="18"/>
                <w:szCs w:val="18"/>
              </w:rPr>
              <w:t>687</w:t>
            </w:r>
          </w:p>
        </w:tc>
        <w:tc>
          <w:tcPr>
            <w:tcW w:w="1275" w:type="dxa"/>
            <w:vAlign w:val="center"/>
            <w:hideMark/>
          </w:tcPr>
          <w:p w:rsidR="00A91269" w:rsidRPr="00E231C8" w:rsidRDefault="00A91269" w:rsidP="005A5E13">
            <w:pPr>
              <w:rPr>
                <w:sz w:val="18"/>
                <w:szCs w:val="18"/>
              </w:rPr>
            </w:pPr>
            <w:r w:rsidRPr="00E231C8">
              <w:rPr>
                <w:sz w:val="18"/>
                <w:szCs w:val="18"/>
              </w:rPr>
              <w:t>712</w:t>
            </w:r>
          </w:p>
        </w:tc>
        <w:tc>
          <w:tcPr>
            <w:tcW w:w="1140" w:type="dxa"/>
            <w:vAlign w:val="center"/>
            <w:hideMark/>
          </w:tcPr>
          <w:p w:rsidR="00A91269" w:rsidRPr="00E231C8" w:rsidRDefault="00A91269" w:rsidP="005A5E13">
            <w:pPr>
              <w:rPr>
                <w:sz w:val="18"/>
                <w:szCs w:val="18"/>
              </w:rPr>
            </w:pPr>
            <w:r w:rsidRPr="00E231C8">
              <w:rPr>
                <w:sz w:val="18"/>
                <w:szCs w:val="18"/>
              </w:rPr>
              <w:t>812</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restart"/>
            <w:vAlign w:val="center"/>
            <w:hideMark/>
          </w:tcPr>
          <w:p w:rsidR="00A91269" w:rsidRPr="00E231C8" w:rsidRDefault="00A91269" w:rsidP="005A5E13">
            <w:pPr>
              <w:rPr>
                <w:sz w:val="18"/>
                <w:szCs w:val="18"/>
              </w:rPr>
            </w:pPr>
            <w:r w:rsidRPr="00E231C8">
              <w:rPr>
                <w:sz w:val="18"/>
                <w:szCs w:val="18"/>
              </w:rPr>
              <w:t>лесостепная и северо-западная зоны</w:t>
            </w:r>
          </w:p>
        </w:tc>
        <w:tc>
          <w:tcPr>
            <w:tcW w:w="1559" w:type="dxa"/>
            <w:gridSpan w:val="2"/>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251" w:type="dxa"/>
            <w:vAlign w:val="center"/>
            <w:hideMark/>
          </w:tcPr>
          <w:p w:rsidR="00A91269" w:rsidRPr="00E231C8" w:rsidRDefault="00A91269" w:rsidP="005A5E13">
            <w:pPr>
              <w:rPr>
                <w:sz w:val="18"/>
                <w:szCs w:val="18"/>
              </w:rPr>
            </w:pPr>
            <w:r w:rsidRPr="00E231C8">
              <w:rPr>
                <w:sz w:val="18"/>
                <w:szCs w:val="18"/>
              </w:rPr>
              <w:t>805</w:t>
            </w:r>
          </w:p>
        </w:tc>
        <w:tc>
          <w:tcPr>
            <w:tcW w:w="1301" w:type="dxa"/>
            <w:vAlign w:val="center"/>
            <w:hideMark/>
          </w:tcPr>
          <w:p w:rsidR="00A91269" w:rsidRPr="00E231C8" w:rsidRDefault="00A91269" w:rsidP="005A5E13">
            <w:pPr>
              <w:rPr>
                <w:sz w:val="18"/>
                <w:szCs w:val="18"/>
              </w:rPr>
            </w:pPr>
            <w:r w:rsidRPr="00E231C8">
              <w:rPr>
                <w:sz w:val="18"/>
                <w:szCs w:val="18"/>
              </w:rPr>
              <w:t>860</w:t>
            </w:r>
          </w:p>
        </w:tc>
        <w:tc>
          <w:tcPr>
            <w:tcW w:w="1275" w:type="dxa"/>
            <w:vAlign w:val="center"/>
            <w:hideMark/>
          </w:tcPr>
          <w:p w:rsidR="00A91269" w:rsidRPr="00E231C8" w:rsidRDefault="00A91269" w:rsidP="005A5E13">
            <w:pPr>
              <w:rPr>
                <w:sz w:val="18"/>
                <w:szCs w:val="18"/>
              </w:rPr>
            </w:pPr>
            <w:r w:rsidRPr="00E231C8">
              <w:rPr>
                <w:sz w:val="18"/>
                <w:szCs w:val="18"/>
              </w:rPr>
              <w:t>895</w:t>
            </w:r>
          </w:p>
        </w:tc>
        <w:tc>
          <w:tcPr>
            <w:tcW w:w="1140" w:type="dxa"/>
            <w:vAlign w:val="center"/>
            <w:hideMark/>
          </w:tcPr>
          <w:p w:rsidR="00A91269" w:rsidRPr="00E231C8" w:rsidRDefault="00A91269" w:rsidP="005A5E13">
            <w:pPr>
              <w:rPr>
                <w:sz w:val="18"/>
                <w:szCs w:val="18"/>
              </w:rPr>
            </w:pPr>
            <w:r w:rsidRPr="00E231C8">
              <w:rPr>
                <w:sz w:val="18"/>
                <w:szCs w:val="18"/>
              </w:rPr>
              <w:t>1030</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restart"/>
            <w:vAlign w:val="center"/>
            <w:hideMark/>
          </w:tcPr>
          <w:p w:rsidR="00A91269" w:rsidRPr="00E231C8" w:rsidRDefault="00A91269" w:rsidP="005A5E13">
            <w:pPr>
              <w:rPr>
                <w:sz w:val="18"/>
                <w:szCs w:val="18"/>
              </w:rPr>
            </w:pPr>
            <w:r w:rsidRPr="00E231C8">
              <w:rPr>
                <w:sz w:val="18"/>
                <w:szCs w:val="18"/>
              </w:rPr>
              <w:t xml:space="preserve">с погрузкой </w:t>
            </w:r>
          </w:p>
        </w:tc>
        <w:tc>
          <w:tcPr>
            <w:tcW w:w="850" w:type="dxa"/>
            <w:vAlign w:val="center"/>
            <w:hideMark/>
          </w:tcPr>
          <w:p w:rsidR="00A91269" w:rsidRPr="00E231C8" w:rsidRDefault="00A91269" w:rsidP="005A5E13">
            <w:pPr>
              <w:rPr>
                <w:sz w:val="18"/>
                <w:szCs w:val="18"/>
              </w:rPr>
            </w:pPr>
            <w:r w:rsidRPr="00E231C8">
              <w:rPr>
                <w:sz w:val="18"/>
                <w:szCs w:val="18"/>
              </w:rPr>
              <w:t>вручную</w:t>
            </w:r>
          </w:p>
        </w:tc>
        <w:tc>
          <w:tcPr>
            <w:tcW w:w="1251" w:type="dxa"/>
            <w:vAlign w:val="center"/>
            <w:hideMark/>
          </w:tcPr>
          <w:p w:rsidR="00A91269" w:rsidRPr="00E231C8" w:rsidRDefault="00A91269" w:rsidP="005A5E13">
            <w:pPr>
              <w:rPr>
                <w:sz w:val="18"/>
                <w:szCs w:val="18"/>
                <w:lang w:val="en-US"/>
              </w:rPr>
            </w:pPr>
            <w:r w:rsidRPr="00E231C8">
              <w:rPr>
                <w:sz w:val="18"/>
                <w:szCs w:val="18"/>
                <w:lang w:val="en-US"/>
              </w:rPr>
              <w:t>901</w:t>
            </w:r>
          </w:p>
        </w:tc>
        <w:tc>
          <w:tcPr>
            <w:tcW w:w="1301" w:type="dxa"/>
            <w:vAlign w:val="center"/>
            <w:hideMark/>
          </w:tcPr>
          <w:p w:rsidR="00A91269" w:rsidRPr="00E231C8" w:rsidRDefault="00A91269" w:rsidP="005A5E13">
            <w:pPr>
              <w:rPr>
                <w:sz w:val="18"/>
                <w:szCs w:val="18"/>
                <w:lang w:val="en-US"/>
              </w:rPr>
            </w:pPr>
            <w:r w:rsidRPr="00E231C8">
              <w:rPr>
                <w:sz w:val="18"/>
                <w:szCs w:val="18"/>
                <w:lang w:val="en-US"/>
              </w:rPr>
              <w:t>954</w:t>
            </w:r>
          </w:p>
        </w:tc>
        <w:tc>
          <w:tcPr>
            <w:tcW w:w="1275" w:type="dxa"/>
            <w:vAlign w:val="center"/>
            <w:hideMark/>
          </w:tcPr>
          <w:p w:rsidR="00A91269" w:rsidRPr="00E231C8" w:rsidRDefault="00A91269" w:rsidP="005A5E13">
            <w:pPr>
              <w:rPr>
                <w:sz w:val="18"/>
                <w:szCs w:val="18"/>
                <w:lang w:val="en-US"/>
              </w:rPr>
            </w:pPr>
            <w:r w:rsidRPr="00E231C8">
              <w:rPr>
                <w:sz w:val="18"/>
                <w:szCs w:val="18"/>
                <w:lang w:val="en-US"/>
              </w:rPr>
              <w:t>991</w:t>
            </w:r>
          </w:p>
        </w:tc>
        <w:tc>
          <w:tcPr>
            <w:tcW w:w="1140" w:type="dxa"/>
            <w:vAlign w:val="center"/>
            <w:hideMark/>
          </w:tcPr>
          <w:p w:rsidR="00A91269" w:rsidRPr="00E231C8" w:rsidRDefault="00A91269" w:rsidP="005A5E13">
            <w:pPr>
              <w:rPr>
                <w:sz w:val="18"/>
                <w:szCs w:val="18"/>
                <w:lang w:val="en-US"/>
              </w:rPr>
            </w:pPr>
            <w:r w:rsidRPr="00E231C8">
              <w:rPr>
                <w:sz w:val="18"/>
                <w:szCs w:val="18"/>
                <w:lang w:val="en-US"/>
              </w:rPr>
              <w:t>1125</w:t>
            </w:r>
          </w:p>
        </w:tc>
      </w:tr>
      <w:tr w:rsidR="00A91269" w:rsidRPr="00E231C8" w:rsidTr="00E231C8">
        <w:trPr>
          <w:trHeight w:val="402"/>
        </w:trPr>
        <w:tc>
          <w:tcPr>
            <w:tcW w:w="531" w:type="dxa"/>
            <w:vMerge/>
            <w:vAlign w:val="center"/>
            <w:hideMark/>
          </w:tcPr>
          <w:p w:rsidR="00A91269" w:rsidRPr="00E231C8" w:rsidRDefault="00A91269" w:rsidP="005A5E13">
            <w:pPr>
              <w:rPr>
                <w:sz w:val="18"/>
                <w:szCs w:val="18"/>
              </w:rPr>
            </w:pPr>
          </w:p>
        </w:tc>
        <w:tc>
          <w:tcPr>
            <w:tcW w:w="1029" w:type="dxa"/>
            <w:vMerge/>
            <w:vAlign w:val="center"/>
            <w:hideMark/>
          </w:tcPr>
          <w:p w:rsidR="00A91269" w:rsidRPr="00E231C8" w:rsidRDefault="00A91269" w:rsidP="005A5E13">
            <w:pPr>
              <w:rPr>
                <w:sz w:val="18"/>
                <w:szCs w:val="18"/>
              </w:rPr>
            </w:pPr>
          </w:p>
        </w:tc>
        <w:tc>
          <w:tcPr>
            <w:tcW w:w="1134" w:type="dxa"/>
            <w:vMerge/>
            <w:vAlign w:val="center"/>
            <w:hideMark/>
          </w:tcPr>
          <w:p w:rsidR="00A91269" w:rsidRPr="00E231C8" w:rsidRDefault="00A91269" w:rsidP="005A5E13">
            <w:pPr>
              <w:rPr>
                <w:sz w:val="18"/>
                <w:szCs w:val="18"/>
              </w:rPr>
            </w:pPr>
          </w:p>
        </w:tc>
        <w:tc>
          <w:tcPr>
            <w:tcW w:w="709" w:type="dxa"/>
            <w:vMerge/>
            <w:vAlign w:val="center"/>
            <w:hideMark/>
          </w:tcPr>
          <w:p w:rsidR="00A91269" w:rsidRPr="00E231C8" w:rsidRDefault="00A91269" w:rsidP="005A5E13">
            <w:pPr>
              <w:rPr>
                <w:sz w:val="18"/>
                <w:szCs w:val="18"/>
              </w:rPr>
            </w:pPr>
          </w:p>
        </w:tc>
        <w:tc>
          <w:tcPr>
            <w:tcW w:w="850" w:type="dxa"/>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251" w:type="dxa"/>
            <w:vAlign w:val="center"/>
            <w:hideMark/>
          </w:tcPr>
          <w:p w:rsidR="00A91269" w:rsidRPr="00E231C8" w:rsidRDefault="00A91269" w:rsidP="005A5E13">
            <w:pPr>
              <w:rPr>
                <w:sz w:val="18"/>
                <w:szCs w:val="18"/>
                <w:lang w:val="en-US"/>
              </w:rPr>
            </w:pPr>
            <w:r w:rsidRPr="00E231C8">
              <w:rPr>
                <w:sz w:val="18"/>
                <w:szCs w:val="18"/>
                <w:lang w:val="en-US"/>
              </w:rPr>
              <w:t>871</w:t>
            </w:r>
          </w:p>
        </w:tc>
        <w:tc>
          <w:tcPr>
            <w:tcW w:w="1301" w:type="dxa"/>
            <w:vAlign w:val="center"/>
            <w:hideMark/>
          </w:tcPr>
          <w:p w:rsidR="00A91269" w:rsidRPr="00E231C8" w:rsidRDefault="00A91269" w:rsidP="005A5E13">
            <w:pPr>
              <w:rPr>
                <w:sz w:val="18"/>
                <w:szCs w:val="18"/>
                <w:lang w:val="en-US"/>
              </w:rPr>
            </w:pPr>
            <w:r w:rsidRPr="00E231C8">
              <w:rPr>
                <w:sz w:val="18"/>
                <w:szCs w:val="18"/>
                <w:lang w:val="en-US"/>
              </w:rPr>
              <w:t>925</w:t>
            </w:r>
          </w:p>
        </w:tc>
        <w:tc>
          <w:tcPr>
            <w:tcW w:w="1275" w:type="dxa"/>
            <w:vAlign w:val="center"/>
            <w:hideMark/>
          </w:tcPr>
          <w:p w:rsidR="00A91269" w:rsidRPr="00E231C8" w:rsidRDefault="00A91269" w:rsidP="005A5E13">
            <w:pPr>
              <w:rPr>
                <w:sz w:val="18"/>
                <w:szCs w:val="18"/>
                <w:lang w:val="en-US"/>
              </w:rPr>
            </w:pPr>
            <w:r w:rsidRPr="00E231C8">
              <w:rPr>
                <w:sz w:val="18"/>
                <w:szCs w:val="18"/>
                <w:lang w:val="en-US"/>
              </w:rPr>
              <w:t>961</w:t>
            </w:r>
          </w:p>
        </w:tc>
        <w:tc>
          <w:tcPr>
            <w:tcW w:w="1140" w:type="dxa"/>
            <w:vAlign w:val="center"/>
            <w:hideMark/>
          </w:tcPr>
          <w:p w:rsidR="00A91269" w:rsidRPr="00E231C8" w:rsidRDefault="00A91269" w:rsidP="005A5E13">
            <w:pPr>
              <w:rPr>
                <w:sz w:val="18"/>
                <w:szCs w:val="18"/>
                <w:lang w:val="en-US"/>
              </w:rPr>
            </w:pPr>
            <w:r w:rsidRPr="00E231C8">
              <w:rPr>
                <w:sz w:val="18"/>
                <w:szCs w:val="18"/>
                <w:lang w:val="en-US"/>
              </w:rPr>
              <w:t>1096</w:t>
            </w:r>
          </w:p>
        </w:tc>
      </w:tr>
    </w:tbl>
    <w:p w:rsidR="00A91269" w:rsidRPr="00F67B51" w:rsidRDefault="00A91269" w:rsidP="00A91269">
      <w:pPr>
        <w:pStyle w:val="af9"/>
        <w:ind w:left="10490"/>
        <w:jc w:val="center"/>
        <w:rPr>
          <w:rFonts w:ascii="Times New Roman" w:hAnsi="Times New Roman"/>
          <w:sz w:val="28"/>
          <w:szCs w:val="28"/>
        </w:rPr>
      </w:pPr>
    </w:p>
    <w:p w:rsidR="00A91269" w:rsidRPr="00E231C8" w:rsidRDefault="00A91269" w:rsidP="00A91269">
      <w:pPr>
        <w:rPr>
          <w:b/>
          <w:sz w:val="24"/>
        </w:rPr>
      </w:pPr>
      <w:r w:rsidRPr="00E231C8">
        <w:rPr>
          <w:b/>
          <w:sz w:val="24"/>
        </w:rPr>
        <w:t xml:space="preserve">Розничные цены на дрова, реализуемые населению </w:t>
      </w:r>
      <w:r w:rsidRPr="00E231C8">
        <w:rPr>
          <w:b/>
          <w:sz w:val="24"/>
          <w:u w:val="single"/>
        </w:rPr>
        <w:t xml:space="preserve">с доставкой </w:t>
      </w:r>
      <w:r w:rsidRPr="00E231C8">
        <w:rPr>
          <w:b/>
          <w:sz w:val="24"/>
        </w:rPr>
        <w:t>к месту, указанному потребителем:</w:t>
      </w:r>
    </w:p>
    <w:tbl>
      <w:tblPr>
        <w:tblW w:w="9089" w:type="dxa"/>
        <w:tblInd w:w="91" w:type="dxa"/>
        <w:tblLayout w:type="fixed"/>
        <w:tblLook w:val="04A0" w:firstRow="1" w:lastRow="0" w:firstColumn="1" w:lastColumn="0" w:noHBand="0" w:noVBand="1"/>
      </w:tblPr>
      <w:tblGrid>
        <w:gridCol w:w="531"/>
        <w:gridCol w:w="762"/>
        <w:gridCol w:w="1276"/>
        <w:gridCol w:w="1144"/>
        <w:gridCol w:w="983"/>
        <w:gridCol w:w="1133"/>
        <w:gridCol w:w="1134"/>
        <w:gridCol w:w="992"/>
        <w:gridCol w:w="1134"/>
      </w:tblGrid>
      <w:tr w:rsidR="00A91269" w:rsidRPr="00E231C8" w:rsidTr="00E231C8">
        <w:trPr>
          <w:trHeight w:val="675"/>
        </w:trPr>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п/п</w:t>
            </w:r>
          </w:p>
        </w:tc>
        <w:tc>
          <w:tcPr>
            <w:tcW w:w="4165" w:type="dxa"/>
            <w:gridSpan w:val="4"/>
            <w:tcBorders>
              <w:top w:val="single" w:sz="4" w:space="0" w:color="auto"/>
              <w:left w:val="nil"/>
              <w:bottom w:val="single" w:sz="4" w:space="0" w:color="auto"/>
              <w:right w:val="single" w:sz="4" w:space="0" w:color="auto"/>
            </w:tcBorders>
            <w:vAlign w:val="center"/>
          </w:tcPr>
          <w:p w:rsidR="00A91269" w:rsidRPr="00E231C8" w:rsidRDefault="00A91269" w:rsidP="005A5E13">
            <w:pPr>
              <w:rPr>
                <w:sz w:val="18"/>
                <w:szCs w:val="18"/>
              </w:rPr>
            </w:pPr>
            <w:r w:rsidRPr="00E231C8">
              <w:rPr>
                <w:sz w:val="18"/>
                <w:szCs w:val="18"/>
              </w:rPr>
              <w:t>ДРОВА:</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Бревна, исполь-зуемые в качестве топлива                      (2,1 м - 6,5 м)</w:t>
            </w:r>
          </w:p>
        </w:tc>
        <w:tc>
          <w:tcPr>
            <w:tcW w:w="3260" w:type="dxa"/>
            <w:gridSpan w:val="3"/>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Дрова разделанные в виде поленьев всех пород:</w:t>
            </w:r>
          </w:p>
        </w:tc>
      </w:tr>
      <w:tr w:rsidR="00A91269" w:rsidRPr="00E231C8" w:rsidTr="00E231C8">
        <w:trPr>
          <w:trHeight w:val="131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tcBorders>
              <w:top w:val="nil"/>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реализу-емые:</w:t>
            </w:r>
          </w:p>
        </w:tc>
        <w:tc>
          <w:tcPr>
            <w:tcW w:w="1276" w:type="dxa"/>
            <w:tcBorders>
              <w:top w:val="nil"/>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лесорасти-тельная зона</w:t>
            </w:r>
          </w:p>
        </w:tc>
        <w:tc>
          <w:tcPr>
            <w:tcW w:w="2127" w:type="dxa"/>
            <w:gridSpan w:val="2"/>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погрузка в транспортное средство</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34" w:type="dxa"/>
            <w:tcBorders>
              <w:top w:val="nil"/>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Разделанные до 2,0 м</w:t>
            </w:r>
          </w:p>
        </w:tc>
        <w:tc>
          <w:tcPr>
            <w:tcW w:w="992" w:type="dxa"/>
            <w:tcBorders>
              <w:top w:val="nil"/>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Разделанные до 0,5 м</w:t>
            </w:r>
          </w:p>
        </w:tc>
        <w:tc>
          <w:tcPr>
            <w:tcW w:w="1134" w:type="dxa"/>
            <w:tcBorders>
              <w:top w:val="nil"/>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Разделанные до 0,5 м, колотые</w:t>
            </w:r>
          </w:p>
        </w:tc>
      </w:tr>
      <w:tr w:rsidR="00A91269" w:rsidRPr="00E231C8" w:rsidTr="00E231C8">
        <w:trPr>
          <w:trHeight w:val="290"/>
        </w:trPr>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1</w:t>
            </w:r>
          </w:p>
        </w:tc>
        <w:tc>
          <w:tcPr>
            <w:tcW w:w="762"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с верхнего склада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приобско-боровая зона</w:t>
            </w:r>
          </w:p>
        </w:tc>
        <w:tc>
          <w:tcPr>
            <w:tcW w:w="2127" w:type="dxa"/>
            <w:gridSpan w:val="2"/>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3</w:t>
            </w:r>
            <w:r w:rsidRPr="00E231C8">
              <w:rPr>
                <w:sz w:val="18"/>
                <w:szCs w:val="18"/>
                <w:lang w:val="en-US"/>
              </w:rPr>
              <w:t>8</w:t>
            </w:r>
            <w:r w:rsidRPr="00E231C8">
              <w:rPr>
                <w:sz w:val="18"/>
                <w:szCs w:val="18"/>
              </w:rPr>
              <w:t>0+ПС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lang w:val="en-US"/>
              </w:rPr>
              <w:t>419</w:t>
            </w:r>
            <w:r w:rsidRPr="00E231C8">
              <w:rPr>
                <w:sz w:val="18"/>
                <w:szCs w:val="18"/>
              </w:rPr>
              <w:t>+ПС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w:t>
            </w:r>
            <w:r w:rsidRPr="00E231C8">
              <w:rPr>
                <w:sz w:val="18"/>
                <w:szCs w:val="18"/>
                <w:lang w:val="en-US"/>
              </w:rPr>
              <w:t>47</w:t>
            </w:r>
            <w:r w:rsidRPr="00E231C8">
              <w:rPr>
                <w:sz w:val="18"/>
                <w:szCs w:val="18"/>
              </w:rPr>
              <w:t>+ПС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lang w:val="en-US"/>
              </w:rPr>
              <w:t>547</w:t>
            </w:r>
            <w:r w:rsidRPr="00E231C8">
              <w:rPr>
                <w:sz w:val="18"/>
                <w:szCs w:val="18"/>
              </w:rPr>
              <w:t>+ПС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с погрузкой </w:t>
            </w: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вручную</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w:t>
            </w:r>
            <w:r w:rsidRPr="00E231C8">
              <w:rPr>
                <w:sz w:val="18"/>
                <w:szCs w:val="18"/>
                <w:lang w:val="en-US"/>
              </w:rPr>
              <w:t>76</w:t>
            </w:r>
            <w:r w:rsidRPr="00E231C8">
              <w:rPr>
                <w:sz w:val="18"/>
                <w:szCs w:val="18"/>
              </w:rPr>
              <w:t>+ПС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lang w:val="en-US"/>
              </w:rPr>
              <w:t>514</w:t>
            </w:r>
            <w:r w:rsidRPr="00E231C8">
              <w:rPr>
                <w:sz w:val="18"/>
                <w:szCs w:val="18"/>
              </w:rPr>
              <w:t>+ПС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lang w:val="en-US"/>
              </w:rPr>
              <w:t>542</w:t>
            </w:r>
            <w:r w:rsidRPr="00E231C8">
              <w:rPr>
                <w:sz w:val="18"/>
                <w:szCs w:val="18"/>
              </w:rPr>
              <w:t>+ПС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642+ПС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446+ПС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486+ПС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512+ПС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612+ПС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лесостепная и северо-западная зоны</w:t>
            </w:r>
          </w:p>
        </w:tc>
        <w:tc>
          <w:tcPr>
            <w:tcW w:w="2127" w:type="dxa"/>
            <w:gridSpan w:val="2"/>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527+ПС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580+ПС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617+ПС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753+ПС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с погрузкой </w:t>
            </w: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вручную</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622+ПС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674+ПС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712+ПС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848+ПС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593+ПС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645+ПС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683+ПС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819+ПС «*»</w:t>
            </w:r>
          </w:p>
        </w:tc>
      </w:tr>
      <w:tr w:rsidR="00A91269" w:rsidRPr="00E231C8" w:rsidTr="00E231C8">
        <w:trPr>
          <w:trHeight w:val="402"/>
        </w:trPr>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2</w:t>
            </w:r>
          </w:p>
        </w:tc>
        <w:tc>
          <w:tcPr>
            <w:tcW w:w="762"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 с нижнего склада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приобско-боровая зона</w:t>
            </w:r>
          </w:p>
        </w:tc>
        <w:tc>
          <w:tcPr>
            <w:tcW w:w="2127" w:type="dxa"/>
            <w:gridSpan w:val="2"/>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581+ПС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622+ПС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646+ПС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746+ПС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с погрузкой </w:t>
            </w: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вручную</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675+ПС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716+ПС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741+ПС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841+ПС «*»</w:t>
            </w:r>
          </w:p>
        </w:tc>
      </w:tr>
      <w:tr w:rsidR="00A91269" w:rsidRPr="00E231C8" w:rsidTr="00E231C8">
        <w:trPr>
          <w:trHeight w:val="514"/>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646+ПС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687+ПС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712+ПС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812+ПС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лесостепная и северо-западная зоны</w:t>
            </w:r>
          </w:p>
        </w:tc>
        <w:tc>
          <w:tcPr>
            <w:tcW w:w="2127" w:type="dxa"/>
            <w:gridSpan w:val="2"/>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без погрузки </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805+ПС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860+ПС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895+ПС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1030+ПС «*»</w:t>
            </w:r>
          </w:p>
        </w:tc>
      </w:tr>
      <w:tr w:rsidR="00A91269" w:rsidRPr="00E231C8" w:rsidTr="00E231C8">
        <w:trPr>
          <w:trHeight w:val="402"/>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val="restart"/>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 xml:space="preserve">с погрузкой </w:t>
            </w: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вручную</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901+ПС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954+ПС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991+ПС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1125+ПС «*»</w:t>
            </w:r>
          </w:p>
        </w:tc>
      </w:tr>
      <w:tr w:rsidR="00A91269" w:rsidRPr="00E231C8" w:rsidTr="00E231C8">
        <w:trPr>
          <w:trHeight w:val="540"/>
        </w:trPr>
        <w:tc>
          <w:tcPr>
            <w:tcW w:w="531"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rsidR="00A91269" w:rsidRPr="00E231C8" w:rsidRDefault="00A91269" w:rsidP="005A5E13">
            <w:pPr>
              <w:rPr>
                <w:sz w:val="18"/>
                <w:szCs w:val="18"/>
              </w:rPr>
            </w:pPr>
          </w:p>
        </w:tc>
        <w:tc>
          <w:tcPr>
            <w:tcW w:w="98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механизированным способом</w:t>
            </w:r>
          </w:p>
        </w:tc>
        <w:tc>
          <w:tcPr>
            <w:tcW w:w="1133"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871+ПС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925+ПС «*»</w:t>
            </w:r>
          </w:p>
        </w:tc>
        <w:tc>
          <w:tcPr>
            <w:tcW w:w="992"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961+ПС «*»</w:t>
            </w:r>
          </w:p>
        </w:tc>
        <w:tc>
          <w:tcPr>
            <w:tcW w:w="1134" w:type="dxa"/>
            <w:tcBorders>
              <w:top w:val="single" w:sz="4" w:space="0" w:color="auto"/>
              <w:left w:val="nil"/>
              <w:bottom w:val="single" w:sz="4" w:space="0" w:color="auto"/>
              <w:right w:val="single" w:sz="4" w:space="0" w:color="auto"/>
            </w:tcBorders>
            <w:vAlign w:val="center"/>
            <w:hideMark/>
          </w:tcPr>
          <w:p w:rsidR="00A91269" w:rsidRPr="00E231C8" w:rsidRDefault="00A91269" w:rsidP="005A5E13">
            <w:pPr>
              <w:rPr>
                <w:sz w:val="18"/>
                <w:szCs w:val="18"/>
              </w:rPr>
            </w:pPr>
            <w:r w:rsidRPr="00E231C8">
              <w:rPr>
                <w:sz w:val="18"/>
                <w:szCs w:val="18"/>
              </w:rPr>
              <w:t>1096+ПС «*»</w:t>
            </w:r>
          </w:p>
        </w:tc>
      </w:tr>
    </w:tbl>
    <w:p w:rsidR="00A91269" w:rsidRPr="00F67B51" w:rsidRDefault="00A91269" w:rsidP="00A91269">
      <w:pPr>
        <w:pStyle w:val="af9"/>
        <w:ind w:left="10490"/>
        <w:jc w:val="center"/>
        <w:rPr>
          <w:rFonts w:ascii="Times New Roman" w:hAnsi="Times New Roman"/>
          <w:sz w:val="28"/>
          <w:szCs w:val="28"/>
        </w:rPr>
      </w:pPr>
    </w:p>
    <w:p w:rsidR="00A91269" w:rsidRPr="00F67B51" w:rsidRDefault="00A91269" w:rsidP="00A91269">
      <w:pPr>
        <w:autoSpaceDE w:val="0"/>
        <w:autoSpaceDN w:val="0"/>
        <w:adjustRightInd w:val="0"/>
        <w:spacing w:after="0" w:line="240" w:lineRule="auto"/>
        <w:ind w:firstLine="709"/>
        <w:jc w:val="both"/>
        <w:rPr>
          <w:bCs/>
          <w:szCs w:val="28"/>
        </w:rPr>
      </w:pPr>
      <w:r w:rsidRPr="00F67B51">
        <w:rPr>
          <w:bCs/>
          <w:szCs w:val="28"/>
        </w:rPr>
        <w:t xml:space="preserve">где: </w:t>
      </w:r>
    </w:p>
    <w:p w:rsidR="00A91269" w:rsidRPr="00F67B51" w:rsidRDefault="00A91269" w:rsidP="00A91269">
      <w:pPr>
        <w:spacing w:after="0" w:line="240" w:lineRule="auto"/>
        <w:ind w:firstLine="709"/>
        <w:jc w:val="both"/>
        <w:rPr>
          <w:bCs/>
          <w:szCs w:val="28"/>
          <w:highlight w:val="yellow"/>
        </w:rPr>
      </w:pPr>
      <w:r w:rsidRPr="00F67B51">
        <w:rPr>
          <w:bCs/>
          <w:szCs w:val="28"/>
        </w:rPr>
        <w:t xml:space="preserve">ПС - переменная составляющая розничной </w:t>
      </w:r>
      <w:r w:rsidRPr="00F67B51">
        <w:rPr>
          <w:szCs w:val="28"/>
          <w:lang w:eastAsia="en-US"/>
        </w:rPr>
        <w:t xml:space="preserve">предельной максимальной цены на дрова, </w:t>
      </w:r>
      <w:r w:rsidRPr="00F67B51">
        <w:rPr>
          <w:rFonts w:eastAsia="Calibri"/>
          <w:szCs w:val="28"/>
          <w:lang w:eastAsia="en-US"/>
        </w:rPr>
        <w:t xml:space="preserve">зависящая от расстояния </w:t>
      </w:r>
      <w:r w:rsidRPr="00F67B51">
        <w:rPr>
          <w:szCs w:val="28"/>
        </w:rPr>
        <w:t xml:space="preserve">доставки дров от склада продавца к месту, указанному потребителем, и определяемая как:  </w:t>
      </w:r>
    </w:p>
    <w:p w:rsidR="00A91269" w:rsidRPr="00F67B51" w:rsidRDefault="00A91269" w:rsidP="00A91269">
      <w:pPr>
        <w:spacing w:after="0" w:line="240" w:lineRule="auto"/>
        <w:ind w:firstLine="709"/>
        <w:jc w:val="both"/>
        <w:rPr>
          <w:szCs w:val="28"/>
        </w:rPr>
      </w:pPr>
      <w:r w:rsidRPr="00F67B51">
        <w:rPr>
          <w:szCs w:val="28"/>
        </w:rPr>
        <w:t>ПС</w:t>
      </w:r>
      <w:r w:rsidRPr="007B0F22">
        <w:rPr>
          <w:szCs w:val="28"/>
        </w:rPr>
        <w:t>=28,25(</w:t>
      </w:r>
      <w:r w:rsidRPr="00F67B51">
        <w:rPr>
          <w:szCs w:val="28"/>
        </w:rPr>
        <w:t xml:space="preserve">руб./плотный куб. м-км) * </w:t>
      </w:r>
      <w:r w:rsidRPr="00F67B51">
        <w:rPr>
          <w:szCs w:val="28"/>
          <w:lang w:val="en-US"/>
        </w:rPr>
        <w:t>L</w:t>
      </w:r>
      <w:r w:rsidRPr="00F67B51">
        <w:rPr>
          <w:szCs w:val="28"/>
        </w:rPr>
        <w:t xml:space="preserve">, </w:t>
      </w:r>
    </w:p>
    <w:p w:rsidR="00A91269" w:rsidRPr="00F67B51" w:rsidRDefault="00A91269" w:rsidP="00A91269">
      <w:pPr>
        <w:spacing w:after="0" w:line="240" w:lineRule="auto"/>
        <w:ind w:firstLine="709"/>
        <w:jc w:val="both"/>
        <w:rPr>
          <w:szCs w:val="28"/>
        </w:rPr>
      </w:pPr>
      <w:r w:rsidRPr="00F67B51">
        <w:rPr>
          <w:szCs w:val="28"/>
        </w:rPr>
        <w:t>где:</w:t>
      </w:r>
    </w:p>
    <w:p w:rsidR="00A91269" w:rsidRPr="00F67B51" w:rsidRDefault="00A91269" w:rsidP="00A91269">
      <w:pPr>
        <w:spacing w:after="0" w:line="240" w:lineRule="auto"/>
        <w:ind w:firstLine="709"/>
        <w:jc w:val="both"/>
        <w:rPr>
          <w:szCs w:val="28"/>
        </w:rPr>
      </w:pPr>
      <w:r w:rsidRPr="00F67B51">
        <w:rPr>
          <w:bCs/>
          <w:szCs w:val="28"/>
        </w:rPr>
        <w:lastRenderedPageBreak/>
        <w:t>L - фактическое расстояние доставки дров от склада продавца к месту, указанному потребителем, км.</w:t>
      </w:r>
    </w:p>
    <w:p w:rsidR="00A91269" w:rsidRPr="00F67B51" w:rsidRDefault="00A91269" w:rsidP="00A91269">
      <w:pPr>
        <w:spacing w:after="0" w:line="240" w:lineRule="auto"/>
        <w:ind w:firstLine="709"/>
        <w:jc w:val="both"/>
        <w:rPr>
          <w:szCs w:val="28"/>
        </w:rPr>
      </w:pPr>
      <w:r w:rsidRPr="00F67B51">
        <w:rPr>
          <w:szCs w:val="28"/>
        </w:rPr>
        <w:t xml:space="preserve">С информацией по тарифам на твердое топливо можно ознакомиться </w:t>
      </w:r>
      <w:r w:rsidRPr="00F67B51">
        <w:rPr>
          <w:rFonts w:ascii="Times New Roman CYR" w:hAnsi="Times New Roman CYR" w:cs="Times New Roman CYR"/>
          <w:szCs w:val="28"/>
        </w:rPr>
        <w:t xml:space="preserve">на официальном сайте департамента в информационно-телекоммуникационной сети «Интернет» </w:t>
      </w:r>
      <w:hyperlink r:id="rId112" w:history="1">
        <w:r w:rsidRPr="00F67B51">
          <w:rPr>
            <w:rStyle w:val="a3"/>
            <w:szCs w:val="28"/>
          </w:rPr>
          <w:t>https://tarif.nso.ru/page/93</w:t>
        </w:r>
      </w:hyperlink>
      <w:r w:rsidRPr="00F67B51">
        <w:rPr>
          <w:szCs w:val="28"/>
        </w:rPr>
        <w:t>.</w:t>
      </w:r>
    </w:p>
    <w:p w:rsidR="00A91269" w:rsidRDefault="00A91269"/>
    <w:p w:rsidR="00A91269" w:rsidRDefault="00A91269"/>
    <w:p w:rsidR="00A91269" w:rsidRDefault="00A91269"/>
    <w:p w:rsidR="00A91269" w:rsidRDefault="00A91269"/>
    <w:p w:rsidR="00A91269" w:rsidRDefault="00A91269"/>
    <w:p w:rsidR="00A91269" w:rsidRDefault="00A91269"/>
    <w:p w:rsidR="00A91269" w:rsidRDefault="00A91269"/>
    <w:p w:rsidR="00E231C8" w:rsidRDefault="00E231C8"/>
    <w:p w:rsidR="00E231C8" w:rsidRDefault="00E231C8"/>
    <w:p w:rsidR="00A91269" w:rsidRDefault="00A91269"/>
    <w:p w:rsidR="00A91269" w:rsidRDefault="00A91269"/>
    <w:p w:rsidR="00A91269" w:rsidRPr="00E231C8" w:rsidRDefault="00A91269" w:rsidP="00E231C8">
      <w:pPr>
        <w:pStyle w:val="20231"/>
      </w:pPr>
      <w:bookmarkStart w:id="111" w:name="_Toc162431950"/>
      <w:bookmarkStart w:id="112" w:name="_Toc193810578"/>
      <w:r w:rsidRPr="00E231C8">
        <w:t>2.6. Обращение с твердыми коммунальными отходами</w:t>
      </w:r>
      <w:bookmarkEnd w:id="111"/>
      <w:bookmarkEnd w:id="112"/>
    </w:p>
    <w:p w:rsidR="00A91269" w:rsidRPr="00A056F4" w:rsidRDefault="00A91269" w:rsidP="00A91269">
      <w:pPr>
        <w:spacing w:after="0" w:line="240" w:lineRule="auto"/>
        <w:ind w:firstLine="709"/>
        <w:jc w:val="both"/>
        <w:rPr>
          <w:szCs w:val="28"/>
        </w:rPr>
      </w:pPr>
      <w:r w:rsidRPr="00A056F4">
        <w:rPr>
          <w:szCs w:val="28"/>
        </w:rPr>
        <w:t>Одним из принципов, которым руководствуется департамент при регулировании тарифов</w:t>
      </w:r>
      <w:r w:rsidR="00E231C8">
        <w:rPr>
          <w:szCs w:val="28"/>
        </w:rPr>
        <w:t xml:space="preserve"> </w:t>
      </w:r>
      <w:r w:rsidR="00E231C8" w:rsidRPr="00A056F4">
        <w:rPr>
          <w:szCs w:val="28"/>
        </w:rPr>
        <w:t xml:space="preserve">в области обращения с твердыми </w:t>
      </w:r>
      <w:r w:rsidR="00E231C8" w:rsidRPr="00A056F4">
        <w:rPr>
          <w:rFonts w:eastAsiaTheme="majorEastAsia"/>
          <w:szCs w:val="28"/>
        </w:rPr>
        <w:t>коммунальными</w:t>
      </w:r>
      <w:r w:rsidR="00E231C8" w:rsidRPr="00A056F4">
        <w:rPr>
          <w:szCs w:val="28"/>
        </w:rPr>
        <w:t xml:space="preserve"> отходами</w:t>
      </w:r>
      <w:r w:rsidRPr="00A056F4">
        <w:rPr>
          <w:szCs w:val="28"/>
        </w:rPr>
        <w:t xml:space="preserve">, является достижение баланса интересов потребителей услуг регулируемых организаций и интересов указанных организаций, обеспечивающего доступность этих услуг для потребителей и эффективное функционирование организаций. </w:t>
      </w:r>
    </w:p>
    <w:p w:rsidR="00A91269" w:rsidRPr="00A056F4" w:rsidRDefault="00A91269" w:rsidP="00A91269">
      <w:pPr>
        <w:spacing w:after="0" w:line="240" w:lineRule="auto"/>
        <w:ind w:firstLine="709"/>
        <w:jc w:val="both"/>
        <w:rPr>
          <w:szCs w:val="28"/>
        </w:rPr>
      </w:pPr>
      <w:r w:rsidRPr="00A056F4">
        <w:rPr>
          <w:szCs w:val="28"/>
        </w:rPr>
        <w:t>Предельные тарифы в области обращения с твердыми коммунальными отходами (далее – ТКО) устанавливаются департаментом в соответствии с законодательством, регламентирующим порядок государственного регулирования тарифов в сфере обращения с ТКО.</w:t>
      </w:r>
    </w:p>
    <w:p w:rsidR="00A91269" w:rsidRPr="00F16B7E" w:rsidRDefault="00A91269" w:rsidP="00A91269">
      <w:pPr>
        <w:spacing w:after="0" w:line="240" w:lineRule="auto"/>
        <w:ind w:firstLine="709"/>
        <w:jc w:val="both"/>
        <w:rPr>
          <w:szCs w:val="28"/>
        </w:rPr>
      </w:pPr>
    </w:p>
    <w:p w:rsidR="00A91269" w:rsidRDefault="00A91269" w:rsidP="00A91269">
      <w:pPr>
        <w:spacing w:after="0" w:line="240" w:lineRule="auto"/>
        <w:rPr>
          <w:szCs w:val="28"/>
        </w:rPr>
      </w:pPr>
      <w:r w:rsidRPr="00FB0ED3">
        <w:rPr>
          <w:noProof/>
          <w:color w:val="8064A2"/>
          <w:szCs w:val="28"/>
        </w:rPr>
        <w:lastRenderedPageBreak/>
        <w:drawing>
          <wp:inline distT="0" distB="0" distL="0" distR="0" wp14:anchorId="05DE9316" wp14:editId="46BD55FC">
            <wp:extent cx="5908431" cy="2338753"/>
            <wp:effectExtent l="0" t="19050" r="92710" b="42545"/>
            <wp:docPr id="262" name="Схема 26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3" r:lo="rId114" r:qs="rId115" r:cs="rId116"/>
              </a:graphicData>
            </a:graphic>
          </wp:inline>
        </w:drawing>
      </w:r>
    </w:p>
    <w:p w:rsidR="00A91269" w:rsidRDefault="00A91269" w:rsidP="00A91269">
      <w:pPr>
        <w:spacing w:after="0" w:line="240" w:lineRule="auto"/>
        <w:ind w:firstLine="709"/>
        <w:jc w:val="both"/>
        <w:rPr>
          <w:rFonts w:eastAsia="Times New Roman"/>
          <w:szCs w:val="28"/>
        </w:rPr>
      </w:pPr>
      <w:r>
        <w:rPr>
          <w:rFonts w:eastAsia="Times New Roman"/>
          <w:szCs w:val="28"/>
        </w:rPr>
        <w:t xml:space="preserve">Согласно пункту 5 Основ ценообразования в области обращения с твердыми коммунальными отходами, утвержденных </w:t>
      </w:r>
      <w:r>
        <w:rPr>
          <w:szCs w:val="28"/>
        </w:rPr>
        <w:t xml:space="preserve">Постановлением Правительства РФ от 30.05.2016 № 484 </w:t>
      </w:r>
      <w:r>
        <w:rPr>
          <w:rFonts w:eastAsia="Times New Roman"/>
          <w:szCs w:val="28"/>
        </w:rPr>
        <w:t>(далее</w:t>
      </w:r>
      <w:r>
        <w:rPr>
          <w:szCs w:val="28"/>
        </w:rPr>
        <w:t> </w:t>
      </w:r>
      <w:r>
        <w:rPr>
          <w:rFonts w:eastAsia="Times New Roman"/>
          <w:szCs w:val="28"/>
        </w:rPr>
        <w:t>–</w:t>
      </w:r>
      <w:r>
        <w:rPr>
          <w:szCs w:val="28"/>
        </w:rPr>
        <w:t> </w:t>
      </w:r>
      <w:r>
        <w:rPr>
          <w:rFonts w:eastAsia="Times New Roman"/>
          <w:szCs w:val="28"/>
        </w:rPr>
        <w:t>Основы ценообразования)</w:t>
      </w:r>
      <w:r>
        <w:rPr>
          <w:szCs w:val="28"/>
        </w:rPr>
        <w:t>, т</w:t>
      </w:r>
      <w:r>
        <w:rPr>
          <w:rFonts w:eastAsia="Times New Roman"/>
          <w:szCs w:val="28"/>
        </w:rPr>
        <w:t>арифы устанавливаются в отношении каждой организации, осуществляющей регулируемые виды деятельности в области обращения с ТКО, и в отношении каждого осуществляемого регулируемого вида деятельности в области обращения с ТКО, за исключением случая, предусмотренного пунктом 6(1) Основ ценообразования, с учетом территориальной схемы обращения с отходами, в том числе ТКО.</w:t>
      </w:r>
    </w:p>
    <w:p w:rsidR="00A91269" w:rsidRPr="00F83475" w:rsidRDefault="00A91269" w:rsidP="00A91269">
      <w:pPr>
        <w:spacing w:after="0" w:line="240" w:lineRule="auto"/>
        <w:ind w:firstLine="709"/>
        <w:jc w:val="both"/>
        <w:rPr>
          <w:rFonts w:eastAsia="Times New Roman"/>
          <w:szCs w:val="28"/>
        </w:rPr>
      </w:pPr>
      <w:r>
        <w:rPr>
          <w:szCs w:val="28"/>
        </w:rPr>
        <w:t>В соответствии с пунктом 6 Основ ценообразования регулированию подлежат следующие виды тар</w:t>
      </w:r>
      <w:r w:rsidR="00561CE0">
        <w:rPr>
          <w:szCs w:val="28"/>
        </w:rPr>
        <w:t>ифов, представленные на рисунке</w:t>
      </w:r>
      <w:r>
        <w:rPr>
          <w:szCs w:val="28"/>
        </w:rPr>
        <w:t xml:space="preserve">. </w:t>
      </w:r>
    </w:p>
    <w:p w:rsidR="00A91269" w:rsidRDefault="00A91269" w:rsidP="00A91269">
      <w:pPr>
        <w:spacing w:after="0" w:line="240" w:lineRule="auto"/>
        <w:ind w:firstLine="709"/>
        <w:jc w:val="both"/>
        <w:rPr>
          <w:rFonts w:eastAsia="Times New Roman"/>
          <w:szCs w:val="28"/>
        </w:rPr>
      </w:pPr>
    </w:p>
    <w:p w:rsidR="00A91269" w:rsidRDefault="00A91269" w:rsidP="00A91269">
      <w:pPr>
        <w:spacing w:after="0" w:line="240" w:lineRule="auto"/>
        <w:rPr>
          <w:rFonts w:eastAsia="Times New Roman"/>
          <w:szCs w:val="28"/>
        </w:rPr>
      </w:pPr>
      <w:r>
        <w:rPr>
          <w:rFonts w:eastAsia="Times New Roman"/>
          <w:noProof/>
          <w:szCs w:val="28"/>
        </w:rPr>
        <w:drawing>
          <wp:inline distT="0" distB="0" distL="0" distR="0" wp14:anchorId="689877B7" wp14:editId="3C359926">
            <wp:extent cx="4736123" cy="2702169"/>
            <wp:effectExtent l="0" t="38100" r="26670" b="22225"/>
            <wp:docPr id="263" name="Схема 26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8" r:lo="rId119" r:qs="rId120" r:cs="rId121"/>
              </a:graphicData>
            </a:graphic>
          </wp:inline>
        </w:drawing>
      </w:r>
    </w:p>
    <w:p w:rsidR="00A91269" w:rsidRPr="00EA75DA" w:rsidRDefault="00A91269" w:rsidP="00A91269">
      <w:pPr>
        <w:spacing w:after="0" w:line="240" w:lineRule="auto"/>
        <w:ind w:firstLine="709"/>
        <w:rPr>
          <w:i/>
          <w:sz w:val="24"/>
          <w:szCs w:val="28"/>
        </w:rPr>
      </w:pPr>
      <w:r w:rsidRPr="00EA75DA">
        <w:rPr>
          <w:i/>
          <w:sz w:val="24"/>
          <w:szCs w:val="28"/>
        </w:rPr>
        <w:t>Виды тарифов, подлежащие регулированию</w:t>
      </w:r>
    </w:p>
    <w:p w:rsidR="00A91269" w:rsidRDefault="00A91269" w:rsidP="00A91269">
      <w:pPr>
        <w:spacing w:after="0" w:line="240" w:lineRule="auto"/>
        <w:ind w:firstLine="709"/>
        <w:rPr>
          <w:szCs w:val="28"/>
        </w:rPr>
      </w:pPr>
    </w:p>
    <w:p w:rsidR="00A91269" w:rsidRDefault="00A91269" w:rsidP="00A91269">
      <w:pPr>
        <w:spacing w:after="0" w:line="240" w:lineRule="auto"/>
        <w:ind w:firstLine="709"/>
        <w:jc w:val="both"/>
        <w:rPr>
          <w:szCs w:val="28"/>
        </w:rPr>
      </w:pPr>
      <w:r>
        <w:rPr>
          <w:szCs w:val="28"/>
        </w:rPr>
        <w:t>В соответствии с Правилами регулирования тарифов в сфере обращения с твердыми коммунальными отходами, утвержденными Постановлением Правительства РФ от 30.05.2016 № 484 (далее – Правила), регулируемые организации ежегодно представляют в департамент предложения об установлении (корректировке) тарифов на очередной период регулирования.</w:t>
      </w:r>
    </w:p>
    <w:p w:rsidR="00A91269" w:rsidRDefault="00A91269" w:rsidP="00A91269">
      <w:pPr>
        <w:spacing w:after="0" w:line="240" w:lineRule="auto"/>
        <w:ind w:firstLine="709"/>
        <w:jc w:val="both"/>
        <w:rPr>
          <w:rFonts w:eastAsia="Times New Roman"/>
          <w:szCs w:val="28"/>
        </w:rPr>
      </w:pPr>
      <w:r>
        <w:rPr>
          <w:rFonts w:eastAsia="Times New Roman"/>
          <w:szCs w:val="28"/>
        </w:rPr>
        <w:lastRenderedPageBreak/>
        <w:t xml:space="preserve">Согласно пункту 17 Правил департамент </w:t>
      </w:r>
      <w:r w:rsidRPr="00CB6C37">
        <w:rPr>
          <w:rFonts w:eastAsia="Times New Roman"/>
          <w:szCs w:val="28"/>
        </w:rPr>
        <w:t>проводит экспертизу предложений об установлении тарифов в части обоснованности расходов, учтенных при расчете тарифов, корректности определения параметров расчета тарифов и отражает ее результаты в своем экспертном заключении.</w:t>
      </w:r>
    </w:p>
    <w:p w:rsidR="00A91269" w:rsidRPr="00C14E61" w:rsidRDefault="00A91269" w:rsidP="00A91269">
      <w:pPr>
        <w:spacing w:after="0" w:line="240" w:lineRule="auto"/>
        <w:ind w:firstLine="709"/>
        <w:jc w:val="both"/>
        <w:rPr>
          <w:szCs w:val="28"/>
        </w:rPr>
      </w:pPr>
      <w:r w:rsidRPr="00C14E61">
        <w:rPr>
          <w:szCs w:val="28"/>
        </w:rPr>
        <w:t>В соответствии с положениями статьи 9 Федерального закона от 24.06.1998 № 89-ФЗ «Об отходах производства и потребления» (далее – Федеральный закон № 89-ФЗ) деятельность по размещению отходов I - IV классов опасности подлежит лицензированию.</w:t>
      </w:r>
    </w:p>
    <w:p w:rsidR="00A91269" w:rsidRPr="00C14E61" w:rsidRDefault="00A91269" w:rsidP="00A91269">
      <w:pPr>
        <w:spacing w:after="0" w:line="240" w:lineRule="auto"/>
        <w:ind w:firstLine="709"/>
        <w:jc w:val="both"/>
        <w:rPr>
          <w:szCs w:val="28"/>
        </w:rPr>
      </w:pPr>
      <w:r w:rsidRPr="00C14E61">
        <w:rPr>
          <w:szCs w:val="28"/>
        </w:rPr>
        <w:t>Пунктами 6 и 7 статьи 12 Федерального закона № 89-ФЗ установлено следующее:</w:t>
      </w:r>
    </w:p>
    <w:p w:rsidR="00A91269" w:rsidRPr="00C14E61" w:rsidRDefault="00A91269" w:rsidP="00A91269">
      <w:pPr>
        <w:spacing w:after="0" w:line="240" w:lineRule="auto"/>
        <w:ind w:firstLine="709"/>
        <w:jc w:val="both"/>
        <w:rPr>
          <w:szCs w:val="28"/>
        </w:rPr>
      </w:pPr>
      <w:r w:rsidRPr="00C14E61">
        <w:rPr>
          <w:szCs w:val="28"/>
        </w:rPr>
        <w:t>- объекты размещения отходов</w:t>
      </w:r>
      <w:r w:rsidRPr="008F224E">
        <w:rPr>
          <w:szCs w:val="28"/>
        </w:rPr>
        <w:t xml:space="preserve"> (</w:t>
      </w:r>
      <w:r>
        <w:rPr>
          <w:szCs w:val="28"/>
        </w:rPr>
        <w:t>далее – ОРО)</w:t>
      </w:r>
      <w:r w:rsidRPr="00C14E61">
        <w:rPr>
          <w:szCs w:val="28"/>
        </w:rPr>
        <w:t xml:space="preserve"> вносятся в государственный реестр объектов размещения отходов (далее</w:t>
      </w:r>
      <w:r>
        <w:rPr>
          <w:szCs w:val="28"/>
        </w:rPr>
        <w:t> </w:t>
      </w:r>
      <w:r w:rsidRPr="00C14E61">
        <w:rPr>
          <w:szCs w:val="28"/>
        </w:rPr>
        <w:t>–</w:t>
      </w:r>
      <w:r>
        <w:rPr>
          <w:szCs w:val="28"/>
        </w:rPr>
        <w:t> </w:t>
      </w:r>
      <w:r w:rsidRPr="00C14E61">
        <w:rPr>
          <w:szCs w:val="28"/>
        </w:rPr>
        <w:t>ГРОРО);</w:t>
      </w:r>
    </w:p>
    <w:p w:rsidR="00A91269" w:rsidRPr="00C14E61" w:rsidRDefault="00A91269" w:rsidP="00A91269">
      <w:pPr>
        <w:spacing w:after="0" w:line="240" w:lineRule="auto"/>
        <w:ind w:firstLine="709"/>
        <w:jc w:val="both"/>
        <w:rPr>
          <w:szCs w:val="28"/>
        </w:rPr>
      </w:pPr>
      <w:r w:rsidRPr="00C14E61">
        <w:rPr>
          <w:szCs w:val="28"/>
        </w:rPr>
        <w:t>- запрещается размещение отходов на объектах, не внесенных в ГРОРО.</w:t>
      </w:r>
    </w:p>
    <w:p w:rsidR="00A91269" w:rsidRPr="00C14E61" w:rsidRDefault="00A91269" w:rsidP="00A91269">
      <w:pPr>
        <w:spacing w:after="0" w:line="240" w:lineRule="auto"/>
        <w:ind w:firstLine="709"/>
        <w:jc w:val="both"/>
        <w:rPr>
          <w:szCs w:val="28"/>
        </w:rPr>
      </w:pPr>
      <w:r w:rsidRPr="00C14E61">
        <w:rPr>
          <w:szCs w:val="28"/>
        </w:rPr>
        <w:t>Согласно Перечню Федеральных органов исполнительной власти и государственных корпораций, осуществляющих лицензирование конкретных видов деятельности, утвержденно</w:t>
      </w:r>
      <w:r>
        <w:rPr>
          <w:szCs w:val="28"/>
        </w:rPr>
        <w:t>му</w:t>
      </w:r>
      <w:r w:rsidRPr="00C14E61">
        <w:rPr>
          <w:szCs w:val="28"/>
        </w:rPr>
        <w:t xml:space="preserve"> </w:t>
      </w:r>
      <w:r w:rsidR="00561CE0">
        <w:rPr>
          <w:szCs w:val="28"/>
        </w:rPr>
        <w:t>п</w:t>
      </w:r>
      <w:r w:rsidRPr="00C14E61">
        <w:rPr>
          <w:szCs w:val="28"/>
        </w:rPr>
        <w:t>остановлением Правительства РФ от 21.11.2011 № 957 «Об организации лицензирования отдельных видов деятельности»</w:t>
      </w:r>
      <w:r>
        <w:rPr>
          <w:szCs w:val="28"/>
        </w:rPr>
        <w:t>,</w:t>
      </w:r>
      <w:r w:rsidRPr="00C14E61">
        <w:rPr>
          <w:szCs w:val="28"/>
        </w:rPr>
        <w:t xml:space="preserve"> лицензирование деятельности по сбору, транспортированию, обработке, утилизации, обезвреживанию и размещению отходов I</w:t>
      </w:r>
      <w:r>
        <w:rPr>
          <w:szCs w:val="28"/>
        </w:rPr>
        <w:t> </w:t>
      </w:r>
      <w:r w:rsidRPr="00C14E61">
        <w:rPr>
          <w:szCs w:val="28"/>
        </w:rPr>
        <w:t>-</w:t>
      </w:r>
      <w:r>
        <w:rPr>
          <w:szCs w:val="28"/>
        </w:rPr>
        <w:t> </w:t>
      </w:r>
      <w:r w:rsidRPr="00C14E61">
        <w:rPr>
          <w:szCs w:val="28"/>
        </w:rPr>
        <w:t xml:space="preserve">IV классов опасности осуществляет Росприроднадзор. </w:t>
      </w:r>
    </w:p>
    <w:p w:rsidR="00A91269" w:rsidRPr="008F224E" w:rsidRDefault="00A91269" w:rsidP="00A91269">
      <w:pPr>
        <w:spacing w:after="0" w:line="240" w:lineRule="auto"/>
        <w:ind w:firstLine="709"/>
        <w:jc w:val="both"/>
        <w:rPr>
          <w:szCs w:val="28"/>
        </w:rPr>
      </w:pPr>
      <w:r w:rsidRPr="00C14E61">
        <w:rPr>
          <w:szCs w:val="28"/>
        </w:rPr>
        <w:t xml:space="preserve">Полномочия Росприроднадзора в части ведения ГРОРО определены Положением о Федеральной службе по надзору в сфере природопользования, утвержденным </w:t>
      </w:r>
      <w:r w:rsidR="00561CE0">
        <w:rPr>
          <w:szCs w:val="28"/>
        </w:rPr>
        <w:t>п</w:t>
      </w:r>
      <w:r w:rsidRPr="00C14E61">
        <w:rPr>
          <w:szCs w:val="28"/>
        </w:rPr>
        <w:t>остановлением Правительства РФ от 30.07.2004 № 400.</w:t>
      </w:r>
      <w:r w:rsidRPr="008F224E">
        <w:rPr>
          <w:szCs w:val="28"/>
        </w:rPr>
        <w:t xml:space="preserve"> </w:t>
      </w:r>
      <w:r w:rsidRPr="00C14E61">
        <w:rPr>
          <w:szCs w:val="28"/>
        </w:rPr>
        <w:t xml:space="preserve">На официальном сайте Росприроднадзора </w:t>
      </w:r>
      <w:r>
        <w:rPr>
          <w:szCs w:val="28"/>
        </w:rPr>
        <w:t xml:space="preserve">в сети «Интернет» </w:t>
      </w:r>
      <w:r w:rsidRPr="00C14E61">
        <w:rPr>
          <w:szCs w:val="28"/>
        </w:rPr>
        <w:t xml:space="preserve">размещены данные об </w:t>
      </w:r>
      <w:r>
        <w:rPr>
          <w:szCs w:val="28"/>
        </w:rPr>
        <w:t>ОРО</w:t>
      </w:r>
      <w:r w:rsidRPr="00C14E61">
        <w:rPr>
          <w:szCs w:val="28"/>
        </w:rPr>
        <w:t>, включенных в ГРОРО</w:t>
      </w:r>
      <w:r>
        <w:rPr>
          <w:rStyle w:val="affc"/>
          <w:szCs w:val="28"/>
        </w:rPr>
        <w:footnoteReference w:id="1"/>
      </w:r>
      <w:r w:rsidRPr="00C14E61">
        <w:rPr>
          <w:szCs w:val="28"/>
        </w:rPr>
        <w:t xml:space="preserve">. </w:t>
      </w:r>
    </w:p>
    <w:p w:rsidR="00A91269" w:rsidRDefault="00A91269" w:rsidP="00A91269">
      <w:pPr>
        <w:spacing w:after="0" w:line="240" w:lineRule="auto"/>
        <w:ind w:firstLine="709"/>
        <w:jc w:val="both"/>
        <w:rPr>
          <w:szCs w:val="28"/>
        </w:rPr>
      </w:pPr>
      <w:r w:rsidRPr="000E3CF3">
        <w:rPr>
          <w:szCs w:val="28"/>
        </w:rPr>
        <w:t>Территориальная схема обращения с отходами</w:t>
      </w:r>
      <w:r>
        <w:rPr>
          <w:szCs w:val="28"/>
        </w:rPr>
        <w:t xml:space="preserve"> производства и потребления</w:t>
      </w:r>
      <w:r w:rsidRPr="000E3CF3">
        <w:rPr>
          <w:szCs w:val="28"/>
        </w:rPr>
        <w:t>, в том числе с твердыми коммунальными отходами, Новосибирской области (далее</w:t>
      </w:r>
      <w:r>
        <w:rPr>
          <w:szCs w:val="28"/>
        </w:rPr>
        <w:t> </w:t>
      </w:r>
      <w:r w:rsidRPr="000E3CF3">
        <w:rPr>
          <w:szCs w:val="28"/>
        </w:rPr>
        <w:t>–</w:t>
      </w:r>
      <w:r>
        <w:rPr>
          <w:szCs w:val="28"/>
        </w:rPr>
        <w:t> Т</w:t>
      </w:r>
      <w:r w:rsidRPr="000E3CF3">
        <w:rPr>
          <w:szCs w:val="28"/>
        </w:rPr>
        <w:t>ерриториальная схема) утверждена постановлением Правительства Новосибирской области от 26.09.2016 №</w:t>
      </w:r>
      <w:r>
        <w:rPr>
          <w:szCs w:val="28"/>
        </w:rPr>
        <w:t xml:space="preserve"> 292-п </w:t>
      </w:r>
      <w:r w:rsidRPr="008F224E">
        <w:rPr>
          <w:szCs w:val="28"/>
        </w:rPr>
        <w:t>(ред. от 06.11.2024)</w:t>
      </w:r>
      <w:r>
        <w:rPr>
          <w:szCs w:val="28"/>
        </w:rPr>
        <w:t xml:space="preserve">. </w:t>
      </w:r>
    </w:p>
    <w:p w:rsidR="00A91269" w:rsidRDefault="00A91269" w:rsidP="00A91269">
      <w:pPr>
        <w:spacing w:after="0" w:line="240" w:lineRule="auto"/>
        <w:ind w:firstLine="709"/>
        <w:jc w:val="both"/>
        <w:rPr>
          <w:szCs w:val="28"/>
        </w:rPr>
      </w:pPr>
      <w:r>
        <w:rPr>
          <w:szCs w:val="28"/>
        </w:rPr>
        <w:t xml:space="preserve">В приложении № 3.3 к Территориальной схеме размещены сведения об объектах размещения ТКО Новосибирской области, включенных в ГРОРО. </w:t>
      </w:r>
    </w:p>
    <w:p w:rsidR="00A91269" w:rsidRDefault="00A91269" w:rsidP="00A91269">
      <w:pPr>
        <w:spacing w:after="0" w:line="240" w:lineRule="auto"/>
        <w:ind w:firstLine="709"/>
        <w:jc w:val="both"/>
        <w:rPr>
          <w:szCs w:val="28"/>
        </w:rPr>
      </w:pPr>
      <w:r>
        <w:rPr>
          <w:szCs w:val="28"/>
        </w:rPr>
        <w:t>В таблице 1 представлены сведения</w:t>
      </w:r>
      <w:r w:rsidRPr="00C14E61">
        <w:rPr>
          <w:szCs w:val="28"/>
        </w:rPr>
        <w:t xml:space="preserve"> об объектах размещения </w:t>
      </w:r>
      <w:r>
        <w:rPr>
          <w:szCs w:val="28"/>
        </w:rPr>
        <w:t>ТКО</w:t>
      </w:r>
      <w:r w:rsidRPr="00C14E61">
        <w:rPr>
          <w:szCs w:val="28"/>
        </w:rPr>
        <w:t>, находящихся на территории Новосибирской области</w:t>
      </w:r>
      <w:r>
        <w:rPr>
          <w:szCs w:val="28"/>
        </w:rPr>
        <w:t>.</w:t>
      </w:r>
    </w:p>
    <w:p w:rsidR="00A91269" w:rsidRPr="00EA75DA" w:rsidRDefault="00A91269" w:rsidP="00A91269">
      <w:pPr>
        <w:spacing w:before="80" w:after="80" w:line="240" w:lineRule="auto"/>
        <w:ind w:firstLine="709"/>
        <w:jc w:val="both"/>
        <w:rPr>
          <w:i/>
          <w:sz w:val="24"/>
          <w:szCs w:val="28"/>
        </w:rPr>
      </w:pPr>
      <w:r w:rsidRPr="00EA75DA">
        <w:rPr>
          <w:i/>
          <w:sz w:val="24"/>
          <w:szCs w:val="28"/>
        </w:rPr>
        <w:t>Таблица 1 – Сведения об объектах размещения ТКО, находящихся на т</w:t>
      </w:r>
      <w:r>
        <w:rPr>
          <w:i/>
          <w:sz w:val="24"/>
          <w:szCs w:val="28"/>
        </w:rPr>
        <w:t>ерритории Новосибирской области, включенных в ГРОРО</w:t>
      </w:r>
    </w:p>
    <w:tbl>
      <w:tblPr>
        <w:tblStyle w:val="af2"/>
        <w:tblW w:w="9214" w:type="dxa"/>
        <w:tblInd w:w="108" w:type="dxa"/>
        <w:tblLayout w:type="fixed"/>
        <w:tblLook w:val="04A0" w:firstRow="1" w:lastRow="0" w:firstColumn="1" w:lastColumn="0" w:noHBand="0" w:noVBand="1"/>
      </w:tblPr>
      <w:tblGrid>
        <w:gridCol w:w="534"/>
        <w:gridCol w:w="1559"/>
        <w:gridCol w:w="1593"/>
        <w:gridCol w:w="1134"/>
        <w:gridCol w:w="2126"/>
        <w:gridCol w:w="2268"/>
      </w:tblGrid>
      <w:tr w:rsidR="00A91269" w:rsidRPr="00561CE0" w:rsidTr="00561CE0">
        <w:tc>
          <w:tcPr>
            <w:tcW w:w="534" w:type="dxa"/>
            <w:tcBorders>
              <w:top w:val="single" w:sz="4" w:space="0" w:color="auto"/>
              <w:left w:val="single" w:sz="4" w:space="0" w:color="auto"/>
              <w:bottom w:val="single" w:sz="4" w:space="0" w:color="auto"/>
              <w:right w:val="single" w:sz="4" w:space="0" w:color="auto"/>
            </w:tcBorders>
            <w:vAlign w:val="center"/>
            <w:hideMark/>
          </w:tcPr>
          <w:p w:rsidR="00A91269" w:rsidRPr="00561CE0" w:rsidRDefault="00A91269" w:rsidP="005A5E13">
            <w:pPr>
              <w:rPr>
                <w:sz w:val="18"/>
                <w:szCs w:val="18"/>
              </w:rPr>
            </w:pPr>
            <w:r w:rsidRPr="00561CE0">
              <w:rPr>
                <w:sz w:val="18"/>
                <w:szCs w:val="18"/>
              </w:rPr>
              <w:t>№ п/п</w:t>
            </w:r>
          </w:p>
        </w:tc>
        <w:tc>
          <w:tcPr>
            <w:tcW w:w="1559" w:type="dxa"/>
            <w:tcBorders>
              <w:top w:val="single" w:sz="4" w:space="0" w:color="auto"/>
              <w:left w:val="single" w:sz="4" w:space="0" w:color="auto"/>
              <w:bottom w:val="single" w:sz="4" w:space="0" w:color="auto"/>
              <w:right w:val="single" w:sz="4" w:space="0" w:color="auto"/>
            </w:tcBorders>
            <w:vAlign w:val="center"/>
          </w:tcPr>
          <w:p w:rsidR="00A91269" w:rsidRPr="00561CE0" w:rsidRDefault="00A91269" w:rsidP="005A5E13">
            <w:pPr>
              <w:rPr>
                <w:sz w:val="18"/>
                <w:szCs w:val="18"/>
              </w:rPr>
            </w:pPr>
            <w:r w:rsidRPr="00561CE0">
              <w:rPr>
                <w:sz w:val="18"/>
                <w:szCs w:val="18"/>
              </w:rPr>
              <w:t>Наименование ОРО</w:t>
            </w:r>
          </w:p>
        </w:tc>
        <w:tc>
          <w:tcPr>
            <w:tcW w:w="1593" w:type="dxa"/>
            <w:tcBorders>
              <w:top w:val="single" w:sz="4" w:space="0" w:color="auto"/>
              <w:left w:val="single" w:sz="4" w:space="0" w:color="auto"/>
              <w:bottom w:val="single" w:sz="4" w:space="0" w:color="auto"/>
              <w:right w:val="single" w:sz="4" w:space="0" w:color="auto"/>
            </w:tcBorders>
            <w:vAlign w:val="center"/>
            <w:hideMark/>
          </w:tcPr>
          <w:p w:rsidR="00A91269" w:rsidRPr="00561CE0" w:rsidRDefault="00A91269" w:rsidP="005A5E13">
            <w:pPr>
              <w:rPr>
                <w:sz w:val="18"/>
                <w:szCs w:val="18"/>
              </w:rPr>
            </w:pPr>
            <w:r w:rsidRPr="00561CE0">
              <w:rPr>
                <w:sz w:val="18"/>
                <w:szCs w:val="18"/>
              </w:rPr>
              <w:t xml:space="preserve">Утверждённый номер ОРО </w:t>
            </w:r>
          </w:p>
          <w:p w:rsidR="00A91269" w:rsidRPr="00561CE0" w:rsidRDefault="00A91269" w:rsidP="005A5E13">
            <w:pPr>
              <w:rPr>
                <w:sz w:val="18"/>
                <w:szCs w:val="18"/>
              </w:rPr>
            </w:pPr>
            <w:r w:rsidRPr="00561CE0">
              <w:rPr>
                <w:sz w:val="18"/>
                <w:szCs w:val="18"/>
              </w:rPr>
              <w:t>в ГРОРО, реквизиты приказа Росприроднадзор</w:t>
            </w:r>
            <w:r w:rsidRPr="00561CE0">
              <w:rPr>
                <w:sz w:val="18"/>
                <w:szCs w:val="18"/>
              </w:rPr>
              <w:lastRenderedPageBreak/>
              <w:t xml:space="preserve">а о включении ОРО </w:t>
            </w:r>
          </w:p>
          <w:p w:rsidR="00A91269" w:rsidRPr="00561CE0" w:rsidRDefault="00A91269" w:rsidP="005A5E13">
            <w:pPr>
              <w:rPr>
                <w:sz w:val="18"/>
                <w:szCs w:val="18"/>
              </w:rPr>
            </w:pPr>
            <w:r w:rsidRPr="00561CE0">
              <w:rPr>
                <w:sz w:val="18"/>
                <w:szCs w:val="18"/>
              </w:rPr>
              <w:t>в ГРОРО</w:t>
            </w:r>
          </w:p>
        </w:tc>
        <w:tc>
          <w:tcPr>
            <w:tcW w:w="1134" w:type="dxa"/>
            <w:tcBorders>
              <w:top w:val="single" w:sz="4" w:space="0" w:color="auto"/>
              <w:left w:val="single" w:sz="4" w:space="0" w:color="auto"/>
              <w:bottom w:val="single" w:sz="4" w:space="0" w:color="auto"/>
              <w:right w:val="single" w:sz="4" w:space="0" w:color="auto"/>
            </w:tcBorders>
            <w:vAlign w:val="center"/>
            <w:hideMark/>
          </w:tcPr>
          <w:p w:rsidR="00A91269" w:rsidRPr="00561CE0" w:rsidRDefault="00A91269" w:rsidP="005A5E13">
            <w:pPr>
              <w:rPr>
                <w:sz w:val="18"/>
                <w:szCs w:val="18"/>
              </w:rPr>
            </w:pPr>
            <w:r w:rsidRPr="00561CE0">
              <w:rPr>
                <w:sz w:val="18"/>
                <w:szCs w:val="18"/>
              </w:rPr>
              <w:lastRenderedPageBreak/>
              <w:t>Назначение ОРО</w:t>
            </w:r>
          </w:p>
        </w:tc>
        <w:tc>
          <w:tcPr>
            <w:tcW w:w="2126" w:type="dxa"/>
            <w:tcBorders>
              <w:top w:val="single" w:sz="4" w:space="0" w:color="auto"/>
              <w:left w:val="single" w:sz="4" w:space="0" w:color="auto"/>
              <w:bottom w:val="single" w:sz="4" w:space="0" w:color="auto"/>
              <w:right w:val="single" w:sz="4" w:space="0" w:color="auto"/>
            </w:tcBorders>
            <w:vAlign w:val="center"/>
            <w:hideMark/>
          </w:tcPr>
          <w:p w:rsidR="00A91269" w:rsidRPr="00561CE0" w:rsidRDefault="00A91269" w:rsidP="005A5E13">
            <w:pPr>
              <w:rPr>
                <w:sz w:val="18"/>
                <w:szCs w:val="18"/>
              </w:rPr>
            </w:pPr>
            <w:r w:rsidRPr="00561CE0">
              <w:rPr>
                <w:sz w:val="18"/>
                <w:szCs w:val="18"/>
              </w:rPr>
              <w:t>Местонахождение ОРО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A91269" w:rsidRPr="00561CE0" w:rsidRDefault="00A91269" w:rsidP="005A5E13">
            <w:pPr>
              <w:rPr>
                <w:sz w:val="18"/>
                <w:szCs w:val="18"/>
              </w:rPr>
            </w:pPr>
            <w:r w:rsidRPr="00561CE0">
              <w:rPr>
                <w:sz w:val="18"/>
                <w:szCs w:val="18"/>
              </w:rPr>
              <w:t>Эксплуатирующая организация</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lastRenderedPageBreak/>
              <w:t>1</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Полигон ТБО</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rStyle w:val="a3"/>
                <w:color w:val="4A9D86"/>
                <w:sz w:val="18"/>
                <w:szCs w:val="18"/>
                <w:bdr w:val="none" w:sz="0" w:space="0" w:color="auto" w:frame="1"/>
              </w:rPr>
            </w:pPr>
            <w:hyperlink r:id="rId123" w:history="1">
              <w:r w:rsidR="00A91269" w:rsidRPr="00561CE0">
                <w:rPr>
                  <w:rStyle w:val="a3"/>
                  <w:color w:val="4A9D86"/>
                  <w:sz w:val="18"/>
                  <w:szCs w:val="18"/>
                  <w:bdr w:val="none" w:sz="0" w:space="0" w:color="auto" w:frame="1"/>
                </w:rPr>
                <w:t>54-00003-З-00479-010814</w:t>
              </w:r>
            </w:hyperlink>
            <w:r w:rsidR="00A91269" w:rsidRPr="00561CE0">
              <w:rPr>
                <w:rStyle w:val="a3"/>
                <w:color w:val="4A9D86"/>
                <w:sz w:val="18"/>
                <w:szCs w:val="18"/>
                <w:bdr w:val="none" w:sz="0" w:space="0" w:color="auto" w:frame="1"/>
              </w:rPr>
              <w:t>;</w:t>
            </w:r>
          </w:p>
          <w:p w:rsidR="00A91269" w:rsidRPr="00561CE0" w:rsidRDefault="00A91269" w:rsidP="005A5E13">
            <w:pPr>
              <w:jc w:val="both"/>
              <w:rPr>
                <w:sz w:val="18"/>
                <w:szCs w:val="18"/>
              </w:rPr>
            </w:pPr>
            <w:r w:rsidRPr="00561CE0">
              <w:rPr>
                <w:sz w:val="18"/>
                <w:szCs w:val="18"/>
              </w:rPr>
              <w:t>Приказ от 01.08.2014 № 479</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eastAsia="Times New Roman"/>
                <w:color w:val="848E99"/>
                <w:sz w:val="18"/>
                <w:szCs w:val="18"/>
              </w:rPr>
            </w:pPr>
            <w:r w:rsidRPr="00561CE0">
              <w:rPr>
                <w:rFonts w:eastAsia="Times New Roman"/>
                <w:sz w:val="18"/>
                <w:szCs w:val="18"/>
              </w:rPr>
              <w:t>Новосибирская область,</w:t>
            </w:r>
          </w:p>
          <w:p w:rsidR="00A91269" w:rsidRPr="00561CE0" w:rsidRDefault="00A91269" w:rsidP="005A5E13">
            <w:pPr>
              <w:rPr>
                <w:rFonts w:eastAsia="Times New Roman"/>
                <w:sz w:val="18"/>
                <w:szCs w:val="18"/>
              </w:rPr>
            </w:pPr>
            <w:r w:rsidRPr="00561CE0">
              <w:rPr>
                <w:rFonts w:eastAsia="Times New Roman"/>
                <w:sz w:val="18"/>
                <w:szCs w:val="18"/>
              </w:rPr>
              <w:t>г. Бердск</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МУП «СпецАвтоХозяйство» (правопреемник ООО «СпецАвтоХозяйство» </w:t>
            </w:r>
          </w:p>
          <w:p w:rsidR="00A91269" w:rsidRPr="00561CE0" w:rsidRDefault="00A91269" w:rsidP="005A5E13">
            <w:pPr>
              <w:jc w:val="both"/>
              <w:rPr>
                <w:sz w:val="18"/>
                <w:szCs w:val="18"/>
              </w:rPr>
            </w:pPr>
            <w:r w:rsidRPr="00561CE0">
              <w:rPr>
                <w:sz w:val="18"/>
                <w:szCs w:val="18"/>
              </w:rPr>
              <w:t>(ИНН 5473017225)</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2</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Полигон захоронения твердых коммунальных отходов</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4" w:history="1">
              <w:r w:rsidR="00A91269" w:rsidRPr="00561CE0">
                <w:rPr>
                  <w:rStyle w:val="a3"/>
                  <w:rFonts w:ascii="Regular" w:hAnsi="Regular"/>
                  <w:color w:val="4A9D86"/>
                  <w:sz w:val="18"/>
                  <w:szCs w:val="18"/>
                  <w:bdr w:val="none" w:sz="0" w:space="0" w:color="auto" w:frame="1"/>
                </w:rPr>
                <w:t>54-00015-З-00694-280815</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28.08.2015 № 694</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 xml:space="preserve">Новосибирская область, </w:t>
            </w:r>
          </w:p>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Болотнинский район,</w:t>
            </w:r>
          </w:p>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г.</w:t>
            </w:r>
            <w:r w:rsidRPr="00561CE0">
              <w:rPr>
                <w:rFonts w:ascii="Regular" w:eastAsia="Times New Roman" w:hAnsi="Regular" w:hint="eastAsia"/>
                <w:sz w:val="18"/>
                <w:szCs w:val="18"/>
              </w:rPr>
              <w:t> </w:t>
            </w:r>
            <w:r w:rsidRPr="00561CE0">
              <w:rPr>
                <w:rFonts w:ascii="Regular" w:eastAsia="Times New Roman" w:hAnsi="Regular"/>
                <w:sz w:val="18"/>
                <w:szCs w:val="18"/>
              </w:rPr>
              <w:t xml:space="preserve">Болотное, </w:t>
            </w:r>
          </w:p>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ул.</w:t>
            </w:r>
            <w:r w:rsidRPr="00561CE0">
              <w:rPr>
                <w:rFonts w:ascii="Regular" w:eastAsia="Times New Roman" w:hAnsi="Regular" w:hint="eastAsia"/>
                <w:sz w:val="18"/>
                <w:szCs w:val="18"/>
              </w:rPr>
              <w:t> </w:t>
            </w:r>
            <w:r w:rsidRPr="00561CE0">
              <w:rPr>
                <w:rFonts w:ascii="Regular" w:eastAsia="Times New Roman" w:hAnsi="Regular"/>
                <w:sz w:val="18"/>
                <w:szCs w:val="18"/>
              </w:rPr>
              <w:t xml:space="preserve">Степная, №35а </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МУП «Коммунальное хозяйство» города Болотное Болотнинского района Новосибирской области </w:t>
            </w:r>
            <w:r w:rsidRPr="00561CE0">
              <w:rPr>
                <w:sz w:val="18"/>
                <w:szCs w:val="18"/>
              </w:rPr>
              <w:br/>
              <w:t>(ИНН 5413113566)</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3</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Краснозерский Полигон ТБО</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5" w:history="1">
              <w:r w:rsidR="00A91269" w:rsidRPr="00561CE0">
                <w:rPr>
                  <w:rStyle w:val="a3"/>
                  <w:rFonts w:ascii="Regular" w:hAnsi="Regular"/>
                  <w:color w:val="4A9D86"/>
                  <w:sz w:val="18"/>
                  <w:szCs w:val="18"/>
                  <w:bdr w:val="none" w:sz="0" w:space="0" w:color="auto" w:frame="1"/>
                </w:rPr>
                <w:t>54-00017-З-00920-171115</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17.11.2015 №</w:t>
            </w:r>
            <w:r w:rsidR="00A91269" w:rsidRPr="00561CE0">
              <w:rPr>
                <w:rFonts w:ascii="Regular" w:hAnsi="Regular" w:hint="eastAsia"/>
                <w:sz w:val="18"/>
                <w:szCs w:val="18"/>
              </w:rPr>
              <w:t> </w:t>
            </w:r>
            <w:r w:rsidR="00A91269" w:rsidRPr="00561CE0">
              <w:rPr>
                <w:rFonts w:ascii="Regular" w:hAnsi="Regular"/>
                <w:sz w:val="18"/>
                <w:szCs w:val="18"/>
              </w:rPr>
              <w:t xml:space="preserve">920 </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Новосибирская область, Краснозерский район, с.</w:t>
            </w:r>
            <w:r w:rsidRPr="00561CE0">
              <w:rPr>
                <w:rFonts w:ascii="Regular" w:eastAsia="Times New Roman" w:hAnsi="Regular" w:hint="eastAsia"/>
                <w:sz w:val="18"/>
                <w:szCs w:val="18"/>
              </w:rPr>
              <w:t> </w:t>
            </w:r>
            <w:r w:rsidRPr="00561CE0">
              <w:rPr>
                <w:rFonts w:ascii="Regular" w:eastAsia="Times New Roman" w:hAnsi="Regular"/>
                <w:sz w:val="18"/>
                <w:szCs w:val="18"/>
              </w:rPr>
              <w:t>Колыбелька (установлено относительно ориентира, расположенного за пределами участка. Ориентир - с.</w:t>
            </w:r>
            <w:r w:rsidRPr="00561CE0">
              <w:rPr>
                <w:rFonts w:ascii="Regular" w:eastAsia="Times New Roman" w:hAnsi="Regular" w:hint="eastAsia"/>
                <w:sz w:val="18"/>
                <w:szCs w:val="18"/>
              </w:rPr>
              <w:t> </w:t>
            </w:r>
            <w:r w:rsidRPr="00561CE0">
              <w:rPr>
                <w:rFonts w:ascii="Regular" w:eastAsia="Times New Roman" w:hAnsi="Regular"/>
                <w:sz w:val="18"/>
                <w:szCs w:val="18"/>
              </w:rPr>
              <w:t xml:space="preserve">Колыбелька. Участок находится примерно в 7,5 км от ориентира на юг) </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МУП г. Новосибирска «Спецавтохозяйство» (правопреемник АО «Спецавтохозяйство»; ИНН 5403086426; </w:t>
            </w:r>
          </w:p>
          <w:p w:rsidR="00A91269" w:rsidRPr="00561CE0" w:rsidRDefault="00A91269" w:rsidP="005A5E13">
            <w:pPr>
              <w:jc w:val="both"/>
              <w:rPr>
                <w:sz w:val="18"/>
                <w:szCs w:val="18"/>
              </w:rPr>
            </w:pPr>
            <w:r w:rsidRPr="00561CE0">
              <w:rPr>
                <w:sz w:val="18"/>
                <w:szCs w:val="18"/>
              </w:rPr>
              <w:t xml:space="preserve">в ГРОРО объект числится за </w:t>
            </w:r>
          </w:p>
          <w:p w:rsidR="00A91269" w:rsidRPr="00561CE0" w:rsidRDefault="00A91269" w:rsidP="005A5E13">
            <w:pPr>
              <w:jc w:val="both"/>
              <w:rPr>
                <w:rFonts w:ascii="Regular" w:hAnsi="Regular" w:hint="eastAsia"/>
                <w:sz w:val="18"/>
                <w:szCs w:val="18"/>
              </w:rPr>
            </w:pPr>
            <w:r w:rsidRPr="00561CE0">
              <w:rPr>
                <w:sz w:val="18"/>
                <w:szCs w:val="18"/>
              </w:rPr>
              <w:t>МУП Краснозерского района Новосибирской области «Краснозерский полигон ТБО»</w:t>
            </w:r>
            <w:r w:rsidRPr="00561CE0">
              <w:rPr>
                <w:rFonts w:ascii="Regular" w:hAnsi="Regular"/>
                <w:sz w:val="18"/>
                <w:szCs w:val="18"/>
              </w:rPr>
              <w:t xml:space="preserve"> </w:t>
            </w:r>
          </w:p>
          <w:p w:rsidR="00A91269" w:rsidRPr="00561CE0" w:rsidRDefault="00A91269" w:rsidP="005A5E13">
            <w:pPr>
              <w:jc w:val="both"/>
              <w:rPr>
                <w:sz w:val="18"/>
                <w:szCs w:val="18"/>
              </w:rPr>
            </w:pPr>
            <w:r w:rsidRPr="00561CE0">
              <w:rPr>
                <w:rFonts w:ascii="Regular" w:hAnsi="Regular"/>
                <w:sz w:val="18"/>
                <w:szCs w:val="18"/>
              </w:rPr>
              <w:t>(ИНН 5427108044)</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4</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Полигон твердых бытовых отходов г.</w:t>
            </w:r>
            <w:r w:rsidRPr="00561CE0">
              <w:rPr>
                <w:rFonts w:ascii="Regular" w:hAnsi="Regular" w:hint="eastAsia"/>
                <w:sz w:val="18"/>
                <w:szCs w:val="18"/>
              </w:rPr>
              <w:t> </w:t>
            </w:r>
            <w:r w:rsidRPr="00561CE0">
              <w:rPr>
                <w:rFonts w:ascii="Regular" w:hAnsi="Regular"/>
                <w:sz w:val="18"/>
                <w:szCs w:val="18"/>
              </w:rPr>
              <w:t>Черепаново Черепановского района НСО</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6" w:history="1">
              <w:r w:rsidR="00A91269" w:rsidRPr="00561CE0">
                <w:rPr>
                  <w:rStyle w:val="a3"/>
                  <w:rFonts w:ascii="Regular" w:hAnsi="Regular"/>
                  <w:color w:val="4A9D86"/>
                  <w:sz w:val="18"/>
                  <w:szCs w:val="18"/>
                  <w:bdr w:val="none" w:sz="0" w:space="0" w:color="auto" w:frame="1"/>
                </w:rPr>
                <w:t>54-00026-З-00518-311017</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09.11.2021 №</w:t>
            </w:r>
            <w:r w:rsidR="00A91269" w:rsidRPr="00561CE0">
              <w:rPr>
                <w:rFonts w:ascii="Regular" w:hAnsi="Regular" w:hint="eastAsia"/>
                <w:sz w:val="18"/>
                <w:szCs w:val="18"/>
              </w:rPr>
              <w:t> </w:t>
            </w:r>
            <w:r w:rsidR="00A91269" w:rsidRPr="00561CE0">
              <w:rPr>
                <w:rFonts w:ascii="Regular" w:hAnsi="Regular"/>
                <w:sz w:val="18"/>
                <w:szCs w:val="18"/>
              </w:rPr>
              <w:t>789</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eastAsia="Times New Roman" w:hAnsi="Regular"/>
                <w:sz w:val="18"/>
                <w:szCs w:val="18"/>
              </w:rPr>
            </w:pPr>
            <w:r w:rsidRPr="00561CE0">
              <w:rPr>
                <w:rFonts w:ascii="Regular" w:eastAsia="Times New Roman" w:hAnsi="Regular"/>
                <w:sz w:val="18"/>
                <w:szCs w:val="18"/>
              </w:rPr>
              <w:t xml:space="preserve">Новосибирская область, Черепановский район, </w:t>
            </w:r>
          </w:p>
          <w:p w:rsidR="00A91269" w:rsidRPr="00561CE0" w:rsidRDefault="00A91269" w:rsidP="005A5E13">
            <w:pPr>
              <w:jc w:val="both"/>
              <w:rPr>
                <w:sz w:val="18"/>
                <w:szCs w:val="18"/>
              </w:rPr>
            </w:pPr>
            <w:r w:rsidRPr="00561CE0">
              <w:rPr>
                <w:rFonts w:ascii="Regular" w:eastAsia="Times New Roman" w:hAnsi="Regular"/>
                <w:sz w:val="18"/>
                <w:szCs w:val="18"/>
              </w:rPr>
              <w:t>Искровский с/с</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ООО</w:t>
            </w:r>
            <w:r w:rsidRPr="00561CE0">
              <w:rPr>
                <w:rFonts w:ascii="Regular" w:hAnsi="Regular"/>
                <w:color w:val="3B4256"/>
                <w:sz w:val="18"/>
                <w:szCs w:val="18"/>
              </w:rPr>
              <w:t xml:space="preserve"> </w:t>
            </w:r>
            <w:r w:rsidRPr="00561CE0">
              <w:rPr>
                <w:rFonts w:ascii="Regular" w:hAnsi="Regular"/>
                <w:sz w:val="18"/>
                <w:szCs w:val="18"/>
              </w:rPr>
              <w:t xml:space="preserve">«Зевель» </w:t>
            </w:r>
          </w:p>
          <w:p w:rsidR="00A91269" w:rsidRPr="00561CE0" w:rsidRDefault="00A91269" w:rsidP="005A5E13">
            <w:pPr>
              <w:jc w:val="both"/>
              <w:rPr>
                <w:sz w:val="18"/>
                <w:szCs w:val="18"/>
              </w:rPr>
            </w:pPr>
            <w:r w:rsidRPr="00561CE0">
              <w:rPr>
                <w:rFonts w:ascii="Regular" w:hAnsi="Regular"/>
                <w:sz w:val="18"/>
                <w:szCs w:val="18"/>
              </w:rPr>
              <w:t>(ИНН 5402059420)</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5</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Полигон твердых бытовых отходов в г.</w:t>
            </w:r>
            <w:r w:rsidRPr="00561CE0">
              <w:rPr>
                <w:rFonts w:ascii="Regular" w:hAnsi="Regular" w:hint="eastAsia"/>
                <w:sz w:val="18"/>
                <w:szCs w:val="18"/>
              </w:rPr>
              <w:t> </w:t>
            </w:r>
            <w:r w:rsidRPr="00561CE0">
              <w:rPr>
                <w:rFonts w:ascii="Regular" w:hAnsi="Regular"/>
                <w:sz w:val="18"/>
                <w:szCs w:val="18"/>
              </w:rPr>
              <w:t>Куйбышеве</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7" w:history="1">
              <w:r w:rsidR="00A91269" w:rsidRPr="00561CE0">
                <w:rPr>
                  <w:rStyle w:val="a3"/>
                  <w:rFonts w:ascii="Regular" w:hAnsi="Regular"/>
                  <w:color w:val="4A9D86"/>
                  <w:sz w:val="18"/>
                  <w:szCs w:val="18"/>
                  <w:bdr w:val="none" w:sz="0" w:space="0" w:color="auto" w:frame="1"/>
                </w:rPr>
                <w:t>54-00027-З-00550-171117</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08.12.2021 №</w:t>
            </w:r>
            <w:r w:rsidR="00A91269" w:rsidRPr="00561CE0">
              <w:rPr>
                <w:rFonts w:ascii="Regular" w:hAnsi="Regular" w:hint="eastAsia"/>
                <w:sz w:val="18"/>
                <w:szCs w:val="18"/>
              </w:rPr>
              <w:t> </w:t>
            </w:r>
            <w:r w:rsidR="00A91269" w:rsidRPr="00561CE0">
              <w:rPr>
                <w:rFonts w:ascii="Regular" w:hAnsi="Regular"/>
                <w:sz w:val="18"/>
                <w:szCs w:val="18"/>
              </w:rPr>
              <w:t>871</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Новосибирская область, Куйбышевский район, г.</w:t>
            </w:r>
            <w:r w:rsidRPr="00561CE0">
              <w:rPr>
                <w:rFonts w:ascii="Regular" w:eastAsia="Times New Roman" w:hAnsi="Regular" w:hint="eastAsia"/>
                <w:sz w:val="18"/>
                <w:szCs w:val="18"/>
              </w:rPr>
              <w:t> </w:t>
            </w:r>
            <w:r w:rsidRPr="00561CE0">
              <w:rPr>
                <w:rFonts w:ascii="Regular" w:eastAsia="Times New Roman" w:hAnsi="Regular"/>
                <w:sz w:val="18"/>
                <w:szCs w:val="18"/>
              </w:rPr>
              <w:t>Куйбышев, севернее р.</w:t>
            </w:r>
            <w:r w:rsidRPr="00561CE0">
              <w:rPr>
                <w:rFonts w:ascii="Regular" w:eastAsia="Times New Roman" w:hAnsi="Regular" w:hint="eastAsia"/>
                <w:sz w:val="18"/>
                <w:szCs w:val="18"/>
              </w:rPr>
              <w:t> </w:t>
            </w:r>
            <w:r w:rsidRPr="00561CE0">
              <w:rPr>
                <w:rFonts w:ascii="Regular" w:eastAsia="Times New Roman" w:hAnsi="Regular"/>
                <w:sz w:val="18"/>
                <w:szCs w:val="18"/>
              </w:rPr>
              <w:t xml:space="preserve">Патрушевка в районе Казачьей Гривы </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ИП Воровский А.Н. (ИНН 545211375409; в ГРОРО объект числится за ООО «Айсберг» </w:t>
            </w:r>
          </w:p>
          <w:p w:rsidR="00A91269" w:rsidRPr="00561CE0" w:rsidRDefault="00A91269" w:rsidP="005A5E13">
            <w:pPr>
              <w:jc w:val="both"/>
              <w:rPr>
                <w:sz w:val="18"/>
                <w:szCs w:val="18"/>
              </w:rPr>
            </w:pPr>
            <w:r w:rsidRPr="00561CE0">
              <w:rPr>
                <w:sz w:val="18"/>
                <w:szCs w:val="18"/>
              </w:rPr>
              <w:t>(ИНН 5410068499)</w:t>
            </w:r>
          </w:p>
          <w:p w:rsidR="00A91269" w:rsidRPr="00561CE0" w:rsidRDefault="00A91269" w:rsidP="005A5E13">
            <w:pPr>
              <w:jc w:val="both"/>
              <w:rPr>
                <w:sz w:val="18"/>
                <w:szCs w:val="18"/>
              </w:rPr>
            </w:pP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6</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Полигон ТБО</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8" w:history="1">
              <w:r w:rsidR="00A91269" w:rsidRPr="00561CE0">
                <w:rPr>
                  <w:rStyle w:val="a3"/>
                  <w:rFonts w:ascii="Regular" w:hAnsi="Regular"/>
                  <w:color w:val="4A9D86"/>
                  <w:sz w:val="18"/>
                  <w:szCs w:val="18"/>
                  <w:bdr w:val="none" w:sz="0" w:space="0" w:color="auto" w:frame="1"/>
                </w:rPr>
                <w:t>54-00029-Х-00066-270218</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27.02.2018 №</w:t>
            </w:r>
            <w:r w:rsidR="00A91269" w:rsidRPr="00561CE0">
              <w:rPr>
                <w:rFonts w:ascii="Regular" w:hAnsi="Regular" w:hint="eastAsia"/>
                <w:sz w:val="18"/>
                <w:szCs w:val="18"/>
              </w:rPr>
              <w:t> </w:t>
            </w:r>
            <w:r w:rsidR="00A91269" w:rsidRPr="00561CE0">
              <w:rPr>
                <w:rFonts w:ascii="Regular" w:hAnsi="Regular"/>
                <w:sz w:val="18"/>
                <w:szCs w:val="18"/>
              </w:rPr>
              <w:t xml:space="preserve">66 </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Хранение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Новосибирская область, </w:t>
            </w:r>
          </w:p>
          <w:p w:rsidR="00A91269" w:rsidRPr="00561CE0" w:rsidRDefault="00A91269" w:rsidP="005A5E13">
            <w:pPr>
              <w:jc w:val="both"/>
              <w:rPr>
                <w:sz w:val="18"/>
                <w:szCs w:val="18"/>
              </w:rPr>
            </w:pPr>
            <w:r w:rsidRPr="00561CE0">
              <w:rPr>
                <w:sz w:val="18"/>
                <w:szCs w:val="18"/>
              </w:rPr>
              <w:t>г. Искитим, ул. Гоголя, д. 1в</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 xml:space="preserve">ООО «Прогресс» (ИНН 5446222296) </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7</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Полигон ТБО в р.п. Чистоозерное Чистоозерного района Новосибирской области</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29" w:history="1">
              <w:r w:rsidR="00A91269" w:rsidRPr="00561CE0">
                <w:rPr>
                  <w:rStyle w:val="a3"/>
                  <w:rFonts w:ascii="Regular" w:hAnsi="Regular"/>
                  <w:color w:val="4A9D86"/>
                  <w:sz w:val="18"/>
                  <w:szCs w:val="18"/>
                  <w:bdr w:val="none" w:sz="0" w:space="0" w:color="auto" w:frame="1"/>
                </w:rPr>
                <w:t>54-00031-З-00136-250418</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20.12.2021 №</w:t>
            </w:r>
            <w:r w:rsidR="00A91269" w:rsidRPr="00561CE0">
              <w:rPr>
                <w:rFonts w:ascii="Regular" w:hAnsi="Regular" w:hint="eastAsia"/>
                <w:sz w:val="18"/>
                <w:szCs w:val="18"/>
              </w:rPr>
              <w:t> </w:t>
            </w:r>
            <w:r w:rsidR="00A91269" w:rsidRPr="00561CE0">
              <w:rPr>
                <w:rFonts w:ascii="Regular" w:hAnsi="Regular"/>
                <w:sz w:val="18"/>
                <w:szCs w:val="18"/>
              </w:rPr>
              <w:t>914</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rFonts w:ascii="Regular" w:hAnsi="Regular" w:hint="eastAsia"/>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Новосибирская область, Чистоозерный район, р.п.</w:t>
            </w:r>
            <w:r w:rsidRPr="00561CE0">
              <w:rPr>
                <w:rFonts w:ascii="Regular" w:eastAsia="Times New Roman" w:hAnsi="Regular" w:hint="eastAsia"/>
                <w:sz w:val="18"/>
                <w:szCs w:val="18"/>
              </w:rPr>
              <w:t> </w:t>
            </w:r>
            <w:r w:rsidRPr="00561CE0">
              <w:rPr>
                <w:rFonts w:ascii="Regular" w:eastAsia="Times New Roman" w:hAnsi="Regular"/>
                <w:sz w:val="18"/>
                <w:szCs w:val="18"/>
              </w:rPr>
              <w:t>Чистоозерное (1 км к северу от р.п.</w:t>
            </w:r>
            <w:r w:rsidRPr="00561CE0">
              <w:rPr>
                <w:rFonts w:ascii="Regular" w:eastAsia="Times New Roman" w:hAnsi="Regular" w:hint="eastAsia"/>
                <w:sz w:val="18"/>
                <w:szCs w:val="18"/>
              </w:rPr>
              <w:t> </w:t>
            </w:r>
            <w:r w:rsidRPr="00561CE0">
              <w:rPr>
                <w:rFonts w:ascii="Regular" w:eastAsia="Times New Roman" w:hAnsi="Regular"/>
                <w:sz w:val="18"/>
                <w:szCs w:val="18"/>
              </w:rPr>
              <w:t xml:space="preserve">Чистоозерное) </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ООО «Полигон-К» (ИНН 5424950277; </w:t>
            </w:r>
          </w:p>
          <w:p w:rsidR="00A91269" w:rsidRPr="00561CE0" w:rsidRDefault="00A91269" w:rsidP="005A5E13">
            <w:pPr>
              <w:jc w:val="both"/>
              <w:rPr>
                <w:rFonts w:ascii="Regular" w:hAnsi="Regular" w:hint="eastAsia"/>
                <w:sz w:val="18"/>
                <w:szCs w:val="18"/>
              </w:rPr>
            </w:pPr>
            <w:r w:rsidRPr="00561CE0">
              <w:rPr>
                <w:sz w:val="18"/>
                <w:szCs w:val="18"/>
              </w:rPr>
              <w:t>в ГРОРО объект числится за ООО</w:t>
            </w:r>
            <w:r w:rsidRPr="00561CE0">
              <w:rPr>
                <w:rFonts w:ascii="Regular" w:hAnsi="Regular" w:hint="eastAsia"/>
                <w:color w:val="3B4256"/>
                <w:sz w:val="18"/>
                <w:szCs w:val="18"/>
              </w:rPr>
              <w:t> </w:t>
            </w:r>
            <w:r w:rsidRPr="00561CE0">
              <w:rPr>
                <w:rFonts w:ascii="Regular" w:hAnsi="Regular"/>
                <w:sz w:val="18"/>
                <w:szCs w:val="18"/>
              </w:rPr>
              <w:t>«Экотранс-Н» (ИНН 4705081905)</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8</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Полигон «Левобереж-ный»</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30" w:history="1">
              <w:r w:rsidR="00A91269" w:rsidRPr="00561CE0">
                <w:rPr>
                  <w:rStyle w:val="a3"/>
                  <w:rFonts w:ascii="Regular" w:hAnsi="Regular"/>
                  <w:color w:val="4A9D86"/>
                  <w:sz w:val="18"/>
                  <w:szCs w:val="18"/>
                  <w:bdr w:val="none" w:sz="0" w:space="0" w:color="auto" w:frame="1"/>
                </w:rPr>
                <w:t>54-00033-З-00136-250418</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25.04.2018 №</w:t>
            </w:r>
            <w:r w:rsidR="00A91269" w:rsidRPr="00561CE0">
              <w:rPr>
                <w:rFonts w:ascii="Regular" w:hAnsi="Regular" w:hint="eastAsia"/>
                <w:sz w:val="18"/>
                <w:szCs w:val="18"/>
              </w:rPr>
              <w:t> </w:t>
            </w:r>
            <w:r w:rsidR="00A91269" w:rsidRPr="00561CE0">
              <w:rPr>
                <w:rFonts w:ascii="Regular" w:hAnsi="Regular"/>
                <w:sz w:val="18"/>
                <w:szCs w:val="18"/>
              </w:rPr>
              <w:t>136</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eastAsia="Times New Roman" w:hAnsi="Regular"/>
                <w:sz w:val="18"/>
                <w:szCs w:val="18"/>
              </w:rPr>
              <w:t>Новосибирская область, Новосибирский район, Верх-Тулинский с/с, ул.</w:t>
            </w:r>
            <w:r w:rsidRPr="00561CE0">
              <w:rPr>
                <w:rFonts w:ascii="Regular" w:eastAsia="Times New Roman" w:hAnsi="Regular" w:hint="eastAsia"/>
                <w:sz w:val="18"/>
                <w:szCs w:val="18"/>
              </w:rPr>
              <w:t> </w:t>
            </w:r>
            <w:r w:rsidRPr="00561CE0">
              <w:rPr>
                <w:rFonts w:ascii="Regular" w:eastAsia="Times New Roman" w:hAnsi="Regular"/>
                <w:sz w:val="18"/>
                <w:szCs w:val="18"/>
              </w:rPr>
              <w:t>Малыгина, д.</w:t>
            </w:r>
            <w:r w:rsidRPr="00561CE0">
              <w:rPr>
                <w:rFonts w:ascii="Regular" w:eastAsia="Times New Roman" w:hAnsi="Regular" w:hint="eastAsia"/>
                <w:sz w:val="18"/>
                <w:szCs w:val="18"/>
              </w:rPr>
              <w:t> </w:t>
            </w:r>
            <w:r w:rsidRPr="00561CE0">
              <w:rPr>
                <w:rFonts w:ascii="Regular" w:eastAsia="Times New Roman" w:hAnsi="Regular"/>
                <w:sz w:val="18"/>
                <w:szCs w:val="18"/>
              </w:rPr>
              <w:t>23/2</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МУП г. Новосибирска «Спецавтохозяйство» (правопреемник АО «Спецавтохозяйство» </w:t>
            </w:r>
          </w:p>
          <w:p w:rsidR="00A91269" w:rsidRPr="00561CE0" w:rsidRDefault="00A91269" w:rsidP="005A5E13">
            <w:pPr>
              <w:jc w:val="both"/>
              <w:rPr>
                <w:sz w:val="18"/>
                <w:szCs w:val="18"/>
              </w:rPr>
            </w:pPr>
            <w:r w:rsidRPr="00561CE0">
              <w:rPr>
                <w:sz w:val="18"/>
                <w:szCs w:val="18"/>
              </w:rPr>
              <w:t xml:space="preserve">(ИНН 5403086426) </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9</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Полигон «Гусиноброд-ский»</w:t>
            </w:r>
          </w:p>
        </w:tc>
        <w:tc>
          <w:tcPr>
            <w:tcW w:w="1593" w:type="dxa"/>
            <w:tcBorders>
              <w:top w:val="single" w:sz="4" w:space="0" w:color="auto"/>
              <w:left w:val="single" w:sz="4" w:space="0" w:color="auto"/>
              <w:bottom w:val="single" w:sz="4" w:space="0" w:color="auto"/>
              <w:right w:val="single" w:sz="4" w:space="0" w:color="auto"/>
            </w:tcBorders>
          </w:tcPr>
          <w:p w:rsidR="00A91269" w:rsidRPr="00561CE0" w:rsidRDefault="00382657" w:rsidP="005A5E13">
            <w:pPr>
              <w:jc w:val="both"/>
              <w:rPr>
                <w:sz w:val="18"/>
                <w:szCs w:val="18"/>
              </w:rPr>
            </w:pPr>
            <w:hyperlink r:id="rId131" w:history="1">
              <w:r w:rsidR="00A91269" w:rsidRPr="00561CE0">
                <w:rPr>
                  <w:rStyle w:val="a3"/>
                  <w:rFonts w:ascii="Regular" w:hAnsi="Regular"/>
                  <w:color w:val="4A9D86"/>
                  <w:sz w:val="18"/>
                  <w:szCs w:val="18"/>
                  <w:bdr w:val="none" w:sz="0" w:space="0" w:color="auto" w:frame="1"/>
                </w:rPr>
                <w:t>54-00042-З-01106-040920</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 xml:space="preserve">Приказ от 04.09.2020 № 1106 </w:t>
            </w:r>
          </w:p>
        </w:tc>
        <w:tc>
          <w:tcPr>
            <w:tcW w:w="1134"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rFonts w:ascii="Regular" w:eastAsia="Times New Roman" w:hAnsi="Regular"/>
                <w:sz w:val="18"/>
                <w:szCs w:val="18"/>
              </w:rPr>
              <w:t>Новосибирская область, г.</w:t>
            </w:r>
            <w:r w:rsidRPr="00561CE0">
              <w:rPr>
                <w:rFonts w:ascii="Regular" w:eastAsia="Times New Roman" w:hAnsi="Regular" w:hint="eastAsia"/>
                <w:sz w:val="18"/>
                <w:szCs w:val="18"/>
              </w:rPr>
              <w:t> </w:t>
            </w:r>
            <w:r w:rsidRPr="00561CE0">
              <w:rPr>
                <w:rFonts w:ascii="Regular" w:eastAsia="Times New Roman" w:hAnsi="Regular"/>
                <w:sz w:val="18"/>
                <w:szCs w:val="18"/>
              </w:rPr>
              <w:t>Новосибирск, ул.</w:t>
            </w:r>
            <w:r w:rsidRPr="00561CE0">
              <w:rPr>
                <w:rFonts w:ascii="Regular" w:eastAsia="Times New Roman" w:hAnsi="Regular" w:hint="eastAsia"/>
                <w:sz w:val="18"/>
                <w:szCs w:val="18"/>
              </w:rPr>
              <w:t> </w:t>
            </w:r>
            <w:r w:rsidRPr="00561CE0">
              <w:rPr>
                <w:rFonts w:ascii="Regular" w:eastAsia="Times New Roman" w:hAnsi="Regular"/>
                <w:sz w:val="18"/>
                <w:szCs w:val="18"/>
              </w:rPr>
              <w:t>Профилактичес-кая, 73</w:t>
            </w:r>
          </w:p>
        </w:tc>
        <w:tc>
          <w:tcPr>
            <w:tcW w:w="2268"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 xml:space="preserve">МУП г. Новосибирска «Спецавтохозяйство» (правопреемник АО «Спецавтохозяйство» </w:t>
            </w:r>
          </w:p>
          <w:p w:rsidR="00A91269" w:rsidRPr="00561CE0" w:rsidRDefault="00A91269" w:rsidP="005A5E13">
            <w:pPr>
              <w:jc w:val="both"/>
              <w:rPr>
                <w:sz w:val="18"/>
                <w:szCs w:val="18"/>
              </w:rPr>
            </w:pPr>
            <w:r w:rsidRPr="00561CE0">
              <w:rPr>
                <w:sz w:val="18"/>
                <w:szCs w:val="18"/>
              </w:rPr>
              <w:lastRenderedPageBreak/>
              <w:t>(ИНН 5403086426)</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sz w:val="18"/>
                <w:szCs w:val="18"/>
              </w:rPr>
              <w:lastRenderedPageBreak/>
              <w:t>10</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Полигон по обезврежива-нию бытовых отходов, Новосибирская область, р-н Искитимский, с/с Евсинский, в 2.7 км по направлению на восток от здания магазина д. Шадрино</w:t>
            </w:r>
          </w:p>
        </w:tc>
        <w:tc>
          <w:tcPr>
            <w:tcW w:w="1593" w:type="dxa"/>
            <w:tcBorders>
              <w:top w:val="single" w:sz="4" w:space="0" w:color="auto"/>
              <w:left w:val="single" w:sz="4" w:space="0" w:color="auto"/>
              <w:bottom w:val="single" w:sz="4" w:space="0" w:color="auto"/>
              <w:right w:val="single" w:sz="4" w:space="0" w:color="auto"/>
            </w:tcBorders>
            <w:hideMark/>
          </w:tcPr>
          <w:p w:rsidR="00A91269" w:rsidRPr="00561CE0" w:rsidRDefault="00382657" w:rsidP="005A5E13">
            <w:pPr>
              <w:jc w:val="both"/>
              <w:rPr>
                <w:rStyle w:val="a3"/>
                <w:rFonts w:ascii="Regular" w:hAnsi="Regular" w:hint="eastAsia"/>
                <w:color w:val="4A9D86"/>
                <w:sz w:val="18"/>
                <w:szCs w:val="18"/>
                <w:bdr w:val="none" w:sz="0" w:space="0" w:color="auto" w:frame="1"/>
              </w:rPr>
            </w:pPr>
            <w:hyperlink r:id="rId132" w:history="1">
              <w:r w:rsidR="00A91269" w:rsidRPr="00561CE0">
                <w:rPr>
                  <w:rStyle w:val="a3"/>
                  <w:rFonts w:ascii="Regular" w:hAnsi="Regular"/>
                  <w:color w:val="4A9D86"/>
                  <w:sz w:val="18"/>
                  <w:szCs w:val="18"/>
                  <w:bdr w:val="none" w:sz="0" w:space="0" w:color="auto" w:frame="1"/>
                </w:rPr>
                <w:t>54-00043-З-00261-060622</w:t>
              </w:r>
            </w:hyperlink>
            <w:r w:rsidR="00A91269" w:rsidRPr="00561CE0">
              <w:rPr>
                <w:rStyle w:val="a3"/>
                <w:rFonts w:ascii="Regular" w:hAnsi="Regular"/>
                <w:color w:val="4A9D86"/>
                <w:sz w:val="18"/>
                <w:szCs w:val="18"/>
                <w:bdr w:val="none" w:sz="0" w:space="0" w:color="auto" w:frame="1"/>
              </w:rPr>
              <w:t>;</w:t>
            </w:r>
          </w:p>
          <w:p w:rsidR="00A91269" w:rsidRPr="00561CE0" w:rsidRDefault="00A91269" w:rsidP="005A5E13">
            <w:pPr>
              <w:jc w:val="both"/>
              <w:rPr>
                <w:sz w:val="18"/>
                <w:szCs w:val="18"/>
              </w:rPr>
            </w:pPr>
            <w:r w:rsidRPr="00561CE0">
              <w:rPr>
                <w:rFonts w:ascii="Regular" w:hAnsi="Regular"/>
                <w:sz w:val="18"/>
                <w:szCs w:val="18"/>
              </w:rPr>
              <w:t>Приказ от 06.06.2022 №</w:t>
            </w:r>
            <w:r w:rsidRPr="00561CE0">
              <w:rPr>
                <w:rFonts w:ascii="Regular" w:hAnsi="Regular" w:hint="eastAsia"/>
                <w:sz w:val="18"/>
                <w:szCs w:val="18"/>
              </w:rPr>
              <w:t> </w:t>
            </w:r>
            <w:r w:rsidRPr="00561CE0">
              <w:rPr>
                <w:rFonts w:ascii="Regular" w:hAnsi="Regular"/>
                <w:sz w:val="18"/>
                <w:szCs w:val="18"/>
              </w:rPr>
              <w:t>261</w:t>
            </w:r>
          </w:p>
        </w:tc>
        <w:tc>
          <w:tcPr>
            <w:tcW w:w="1134"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rPr>
                <w:rFonts w:ascii="Regular" w:eastAsia="Times New Roman" w:hAnsi="Regular"/>
                <w:sz w:val="18"/>
                <w:szCs w:val="18"/>
              </w:rPr>
            </w:pPr>
            <w:r w:rsidRPr="00561CE0">
              <w:rPr>
                <w:rFonts w:ascii="Regular" w:eastAsia="Times New Roman" w:hAnsi="Regular"/>
                <w:sz w:val="18"/>
                <w:szCs w:val="18"/>
              </w:rPr>
              <w:t>Новосибирская область, Искитимский район, Евсинский с/с, д.</w:t>
            </w:r>
            <w:r w:rsidRPr="00561CE0">
              <w:rPr>
                <w:rFonts w:ascii="Regular" w:eastAsia="Times New Roman" w:hAnsi="Regular" w:hint="eastAsia"/>
                <w:sz w:val="18"/>
                <w:szCs w:val="18"/>
              </w:rPr>
              <w:t> </w:t>
            </w:r>
            <w:r w:rsidRPr="00561CE0">
              <w:rPr>
                <w:rFonts w:ascii="Regular" w:eastAsia="Times New Roman" w:hAnsi="Regular"/>
                <w:sz w:val="18"/>
                <w:szCs w:val="18"/>
              </w:rPr>
              <w:t>Шадрино (в 2,7 км по направлению на восток от здания магазина д.</w:t>
            </w:r>
            <w:r w:rsidRPr="00561CE0">
              <w:rPr>
                <w:rFonts w:ascii="Regular" w:eastAsia="Times New Roman" w:hAnsi="Regular" w:hint="eastAsia"/>
                <w:sz w:val="18"/>
                <w:szCs w:val="18"/>
              </w:rPr>
              <w:t> </w:t>
            </w:r>
            <w:r w:rsidRPr="00561CE0">
              <w:rPr>
                <w:rFonts w:ascii="Regular" w:eastAsia="Times New Roman" w:hAnsi="Regular"/>
                <w:sz w:val="18"/>
                <w:szCs w:val="18"/>
              </w:rPr>
              <w:t xml:space="preserve">Шадрино) </w:t>
            </w:r>
          </w:p>
          <w:p w:rsidR="00A91269" w:rsidRPr="00561CE0" w:rsidRDefault="00A91269" w:rsidP="005A5E13">
            <w:pPr>
              <w:jc w:val="both"/>
              <w:rPr>
                <w:sz w:val="18"/>
                <w:szCs w:val="18"/>
              </w:rPr>
            </w:pPr>
          </w:p>
        </w:tc>
        <w:tc>
          <w:tcPr>
            <w:tcW w:w="2268"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sz w:val="18"/>
                <w:szCs w:val="18"/>
              </w:rPr>
              <w:t>ООО «Эльжи»</w:t>
            </w:r>
          </w:p>
          <w:p w:rsidR="00A91269" w:rsidRPr="00561CE0" w:rsidRDefault="00A91269" w:rsidP="005A5E13">
            <w:pPr>
              <w:jc w:val="both"/>
              <w:rPr>
                <w:sz w:val="18"/>
                <w:szCs w:val="18"/>
              </w:rPr>
            </w:pPr>
            <w:r w:rsidRPr="00561CE0">
              <w:rPr>
                <w:sz w:val="18"/>
                <w:szCs w:val="18"/>
              </w:rPr>
              <w:t>(ИНН 5424109321)</w:t>
            </w:r>
          </w:p>
        </w:tc>
      </w:tr>
      <w:tr w:rsidR="00A91269" w:rsidRPr="00561CE0" w:rsidTr="00561CE0">
        <w:tc>
          <w:tcPr>
            <w:tcW w:w="534"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sz w:val="18"/>
                <w:szCs w:val="18"/>
              </w:rPr>
              <w:t>11</w:t>
            </w:r>
          </w:p>
        </w:tc>
        <w:tc>
          <w:tcPr>
            <w:tcW w:w="1559" w:type="dxa"/>
            <w:tcBorders>
              <w:top w:val="single" w:sz="4" w:space="0" w:color="auto"/>
              <w:left w:val="single" w:sz="4" w:space="0" w:color="auto"/>
              <w:bottom w:val="single" w:sz="4" w:space="0" w:color="auto"/>
              <w:right w:val="single" w:sz="4" w:space="0" w:color="auto"/>
            </w:tcBorders>
          </w:tcPr>
          <w:p w:rsidR="00A91269" w:rsidRPr="00561CE0" w:rsidRDefault="00A91269" w:rsidP="005A5E13">
            <w:pPr>
              <w:jc w:val="both"/>
              <w:rPr>
                <w:sz w:val="18"/>
                <w:szCs w:val="18"/>
              </w:rPr>
            </w:pPr>
            <w:r w:rsidRPr="00561CE0">
              <w:rPr>
                <w:sz w:val="18"/>
                <w:szCs w:val="18"/>
              </w:rPr>
              <w:t>Полигон ТБО в городе Карасуке Карасукского района Новосибирской области</w:t>
            </w:r>
          </w:p>
        </w:tc>
        <w:tc>
          <w:tcPr>
            <w:tcW w:w="1593" w:type="dxa"/>
            <w:tcBorders>
              <w:top w:val="single" w:sz="4" w:space="0" w:color="auto"/>
              <w:left w:val="single" w:sz="4" w:space="0" w:color="auto"/>
              <w:bottom w:val="single" w:sz="4" w:space="0" w:color="auto"/>
              <w:right w:val="single" w:sz="4" w:space="0" w:color="auto"/>
            </w:tcBorders>
            <w:hideMark/>
          </w:tcPr>
          <w:p w:rsidR="00A91269" w:rsidRPr="00561CE0" w:rsidRDefault="00382657" w:rsidP="005A5E13">
            <w:pPr>
              <w:jc w:val="both"/>
              <w:rPr>
                <w:sz w:val="18"/>
                <w:szCs w:val="18"/>
              </w:rPr>
            </w:pPr>
            <w:hyperlink r:id="rId133" w:history="1">
              <w:r w:rsidR="00A91269" w:rsidRPr="00561CE0">
                <w:rPr>
                  <w:rStyle w:val="a3"/>
                  <w:rFonts w:ascii="Regular" w:hAnsi="Regular"/>
                  <w:color w:val="4A9D86"/>
                  <w:sz w:val="18"/>
                  <w:szCs w:val="18"/>
                  <w:bdr w:val="none" w:sz="0" w:space="0" w:color="auto" w:frame="1"/>
                </w:rPr>
                <w:t>54-00044-З-00602-291222</w:t>
              </w:r>
            </w:hyperlink>
            <w:r w:rsidR="00A91269" w:rsidRPr="00561CE0">
              <w:rPr>
                <w:rStyle w:val="a3"/>
                <w:rFonts w:ascii="Regular" w:hAnsi="Regular"/>
                <w:color w:val="4A9D86"/>
                <w:sz w:val="18"/>
                <w:szCs w:val="18"/>
                <w:bdr w:val="none" w:sz="0" w:space="0" w:color="auto" w:frame="1"/>
              </w:rPr>
              <w:t>;</w:t>
            </w:r>
            <w:r w:rsidR="00A91269" w:rsidRPr="00561CE0">
              <w:rPr>
                <w:rFonts w:ascii="Regular" w:hAnsi="Regular"/>
                <w:color w:val="3B4256"/>
                <w:sz w:val="18"/>
                <w:szCs w:val="18"/>
              </w:rPr>
              <w:br/>
            </w:r>
            <w:r w:rsidR="00A91269" w:rsidRPr="00561CE0">
              <w:rPr>
                <w:rFonts w:ascii="Regular" w:hAnsi="Regular"/>
                <w:sz w:val="18"/>
                <w:szCs w:val="18"/>
              </w:rPr>
              <w:t>Приказ от 29.12.2022 №</w:t>
            </w:r>
            <w:r w:rsidR="00A91269" w:rsidRPr="00561CE0">
              <w:rPr>
                <w:rFonts w:ascii="Regular" w:hAnsi="Regular" w:hint="eastAsia"/>
                <w:sz w:val="18"/>
                <w:szCs w:val="18"/>
              </w:rPr>
              <w:t> </w:t>
            </w:r>
            <w:r w:rsidR="00A91269" w:rsidRPr="00561CE0">
              <w:rPr>
                <w:rFonts w:ascii="Regular" w:hAnsi="Regular"/>
                <w:sz w:val="18"/>
                <w:szCs w:val="18"/>
              </w:rPr>
              <w:t xml:space="preserve">602 </w:t>
            </w:r>
          </w:p>
        </w:tc>
        <w:tc>
          <w:tcPr>
            <w:tcW w:w="1134"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rFonts w:ascii="Regular" w:hAnsi="Regular"/>
                <w:sz w:val="18"/>
                <w:szCs w:val="18"/>
              </w:rPr>
              <w:t>Захоронение отходов</w:t>
            </w:r>
          </w:p>
        </w:tc>
        <w:tc>
          <w:tcPr>
            <w:tcW w:w="2126"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rFonts w:ascii="Regular" w:hAnsi="Regular" w:hint="eastAsia"/>
                <w:sz w:val="18"/>
                <w:szCs w:val="18"/>
              </w:rPr>
            </w:pPr>
            <w:r w:rsidRPr="00561CE0">
              <w:rPr>
                <w:rFonts w:ascii="Regular" w:hAnsi="Regular"/>
                <w:sz w:val="18"/>
                <w:szCs w:val="18"/>
              </w:rPr>
              <w:t>Новосибирская область, Карасукский район, г.</w:t>
            </w:r>
            <w:r w:rsidRPr="00561CE0">
              <w:rPr>
                <w:rFonts w:ascii="Regular" w:hAnsi="Regular" w:hint="eastAsia"/>
                <w:sz w:val="18"/>
                <w:szCs w:val="18"/>
              </w:rPr>
              <w:t> </w:t>
            </w:r>
            <w:r w:rsidRPr="00561CE0">
              <w:rPr>
                <w:rFonts w:ascii="Regular" w:hAnsi="Regular"/>
                <w:sz w:val="18"/>
                <w:szCs w:val="18"/>
              </w:rPr>
              <w:t>Карасук, ул.</w:t>
            </w:r>
            <w:r w:rsidRPr="00561CE0">
              <w:rPr>
                <w:rFonts w:ascii="Regular" w:hAnsi="Regular" w:hint="eastAsia"/>
                <w:sz w:val="18"/>
                <w:szCs w:val="18"/>
              </w:rPr>
              <w:t> </w:t>
            </w:r>
            <w:r w:rsidRPr="00561CE0">
              <w:rPr>
                <w:rFonts w:ascii="Regular" w:hAnsi="Regular"/>
                <w:sz w:val="18"/>
                <w:szCs w:val="18"/>
              </w:rPr>
              <w:t>Лесная, д.</w:t>
            </w:r>
            <w:r w:rsidRPr="00561CE0">
              <w:rPr>
                <w:rFonts w:ascii="Regular" w:hAnsi="Regular" w:hint="eastAsia"/>
                <w:sz w:val="18"/>
                <w:szCs w:val="18"/>
              </w:rPr>
              <w:t> </w:t>
            </w:r>
            <w:r w:rsidRPr="00561CE0">
              <w:rPr>
                <w:rFonts w:ascii="Regular" w:hAnsi="Regular"/>
                <w:sz w:val="18"/>
                <w:szCs w:val="18"/>
              </w:rPr>
              <w:t>45 (в 4500 метрах к северо-востоку от дома №</w:t>
            </w:r>
            <w:r w:rsidRPr="00561CE0">
              <w:rPr>
                <w:rFonts w:ascii="Regular" w:hAnsi="Regular" w:hint="eastAsia"/>
                <w:sz w:val="18"/>
                <w:szCs w:val="18"/>
              </w:rPr>
              <w:t> </w:t>
            </w:r>
            <w:r w:rsidRPr="00561CE0">
              <w:rPr>
                <w:rFonts w:ascii="Regular" w:hAnsi="Regular"/>
                <w:sz w:val="18"/>
                <w:szCs w:val="18"/>
              </w:rPr>
              <w:t>45 по улице Лесной)</w:t>
            </w:r>
          </w:p>
        </w:tc>
        <w:tc>
          <w:tcPr>
            <w:tcW w:w="2268" w:type="dxa"/>
            <w:tcBorders>
              <w:top w:val="single" w:sz="4" w:space="0" w:color="auto"/>
              <w:left w:val="single" w:sz="4" w:space="0" w:color="auto"/>
              <w:bottom w:val="single" w:sz="4" w:space="0" w:color="auto"/>
              <w:right w:val="single" w:sz="4" w:space="0" w:color="auto"/>
            </w:tcBorders>
            <w:hideMark/>
          </w:tcPr>
          <w:p w:rsidR="00A91269" w:rsidRPr="00561CE0" w:rsidRDefault="00A91269" w:rsidP="005A5E13">
            <w:pPr>
              <w:jc w:val="both"/>
              <w:rPr>
                <w:sz w:val="18"/>
                <w:szCs w:val="18"/>
              </w:rPr>
            </w:pPr>
            <w:r w:rsidRPr="00561CE0">
              <w:rPr>
                <w:sz w:val="18"/>
                <w:szCs w:val="18"/>
              </w:rPr>
              <w:t xml:space="preserve">МКУ «Районное управление автомобильных дорог Карасукского района Новосибирской области» </w:t>
            </w:r>
            <w:r w:rsidRPr="00561CE0">
              <w:rPr>
                <w:sz w:val="18"/>
                <w:szCs w:val="18"/>
              </w:rPr>
              <w:br/>
              <w:t xml:space="preserve">(ИНН 5403067367)  </w:t>
            </w:r>
          </w:p>
        </w:tc>
      </w:tr>
    </w:tbl>
    <w:p w:rsidR="00A91269" w:rsidRDefault="00A91269" w:rsidP="00A91269">
      <w:pPr>
        <w:autoSpaceDE w:val="0"/>
        <w:autoSpaceDN w:val="0"/>
        <w:adjustRightInd w:val="0"/>
        <w:spacing w:before="80" w:after="0" w:line="240" w:lineRule="auto"/>
        <w:ind w:firstLine="709"/>
        <w:jc w:val="both"/>
        <w:rPr>
          <w:rFonts w:eastAsia="Times New Roman"/>
          <w:szCs w:val="28"/>
        </w:rPr>
      </w:pPr>
      <w:r>
        <w:rPr>
          <w:rFonts w:eastAsia="Times New Roman"/>
          <w:szCs w:val="28"/>
        </w:rPr>
        <w:t>Согласно пункту 2.1 статьи 29.1 Федерального закона № 89-ФЗ до 1 января 2026 года запрет размещения отходов на объектах, не внесенных в ГРОРО, также не распространяется на объекты, указанные в пункте 8 статьи 29.1 Федерального закона № 89-ФЗ.</w:t>
      </w:r>
    </w:p>
    <w:p w:rsidR="00A91269" w:rsidRDefault="00A91269" w:rsidP="00A91269">
      <w:pPr>
        <w:autoSpaceDE w:val="0"/>
        <w:autoSpaceDN w:val="0"/>
        <w:adjustRightInd w:val="0"/>
        <w:spacing w:after="0" w:line="240" w:lineRule="auto"/>
        <w:ind w:firstLine="709"/>
        <w:jc w:val="both"/>
        <w:rPr>
          <w:rFonts w:eastAsia="Times New Roman"/>
          <w:szCs w:val="28"/>
        </w:rPr>
      </w:pPr>
      <w:r>
        <w:rPr>
          <w:rFonts w:eastAsia="Times New Roman"/>
          <w:szCs w:val="28"/>
        </w:rPr>
        <w:t xml:space="preserve">Пунктом 8 статьи 29.1 Федерального закона № 89-ФЗ установлено, что до 1 января 2026 года объекты размещения ТКО, введенные в эксплуатацию до 1 января 2019 года и не имеющие документации, предусмотренной законодательством РФ, могут быть использованы для размещения ТКО. Указанные объекты по решению уполномоченного органа исполнительной власти субъекта РФ могут быть включены в перечень объектов размещения ТКО на территории субъекта РФ. </w:t>
      </w:r>
    </w:p>
    <w:p w:rsidR="00A91269" w:rsidRDefault="00A91269" w:rsidP="00A91269">
      <w:pPr>
        <w:spacing w:after="0" w:line="240" w:lineRule="auto"/>
        <w:ind w:firstLine="709"/>
        <w:jc w:val="both"/>
        <w:rPr>
          <w:rFonts w:eastAsia="Times New Roman"/>
          <w:szCs w:val="28"/>
        </w:rPr>
      </w:pPr>
      <w:r>
        <w:rPr>
          <w:rFonts w:eastAsia="Times New Roman"/>
          <w:szCs w:val="28"/>
        </w:rPr>
        <w:t>Согласно приказу министерства жилищно-коммунального хозяйства и энергетики Новосибирской области от 10.11.2020 № 209 объекты размещения ТКО, расположенные на территории Каргатского и Колыванского районов Новосибирской области, введенные в эксплуатацию до 1 января 2019 года и не имеющие документации, предусмотренной законодательством РФ, включены в перечень объектов размещения ТКО на территории Новосибирской области (</w:t>
      </w:r>
      <w:r w:rsidR="00467451">
        <w:rPr>
          <w:rFonts w:eastAsia="Times New Roman"/>
          <w:szCs w:val="28"/>
        </w:rPr>
        <w:t xml:space="preserve">см. </w:t>
      </w:r>
      <w:r>
        <w:rPr>
          <w:rFonts w:eastAsia="Times New Roman"/>
          <w:szCs w:val="28"/>
        </w:rPr>
        <w:t xml:space="preserve">таблица). </w:t>
      </w:r>
    </w:p>
    <w:p w:rsidR="00A91269" w:rsidRPr="00EA75DA" w:rsidRDefault="00A91269" w:rsidP="00A91269">
      <w:pPr>
        <w:spacing w:before="80" w:after="80" w:line="240" w:lineRule="auto"/>
        <w:ind w:firstLine="709"/>
        <w:jc w:val="both"/>
        <w:rPr>
          <w:i/>
          <w:sz w:val="24"/>
          <w:szCs w:val="28"/>
        </w:rPr>
      </w:pPr>
      <w:r w:rsidRPr="00EA75DA">
        <w:rPr>
          <w:i/>
          <w:sz w:val="24"/>
          <w:szCs w:val="28"/>
        </w:rPr>
        <w:t xml:space="preserve">Таблица  Сведения об </w:t>
      </w:r>
      <w:r>
        <w:rPr>
          <w:i/>
          <w:sz w:val="24"/>
          <w:szCs w:val="28"/>
        </w:rPr>
        <w:t xml:space="preserve">объектах, </w:t>
      </w:r>
      <w:r w:rsidRPr="007F7E97">
        <w:rPr>
          <w:i/>
          <w:sz w:val="24"/>
          <w:szCs w:val="28"/>
        </w:rPr>
        <w:t>включенны</w:t>
      </w:r>
      <w:r>
        <w:rPr>
          <w:i/>
          <w:sz w:val="24"/>
          <w:szCs w:val="28"/>
        </w:rPr>
        <w:t>х</w:t>
      </w:r>
      <w:r w:rsidRPr="007F7E97">
        <w:rPr>
          <w:i/>
          <w:sz w:val="24"/>
          <w:szCs w:val="28"/>
        </w:rPr>
        <w:t xml:space="preserve"> в </w:t>
      </w:r>
      <w:r>
        <w:rPr>
          <w:i/>
          <w:sz w:val="24"/>
          <w:szCs w:val="28"/>
        </w:rPr>
        <w:t>п</w:t>
      </w:r>
      <w:r w:rsidRPr="007F7E97">
        <w:rPr>
          <w:i/>
          <w:sz w:val="24"/>
          <w:szCs w:val="28"/>
        </w:rPr>
        <w:t xml:space="preserve">еречень объектов размещения </w:t>
      </w:r>
      <w:r>
        <w:rPr>
          <w:i/>
          <w:sz w:val="24"/>
          <w:szCs w:val="28"/>
        </w:rPr>
        <w:t>ТКО</w:t>
      </w:r>
      <w:r w:rsidRPr="007F7E97">
        <w:rPr>
          <w:i/>
          <w:sz w:val="24"/>
          <w:szCs w:val="28"/>
        </w:rPr>
        <w:t xml:space="preserve"> на территории Новосибирской области</w:t>
      </w:r>
    </w:p>
    <w:tbl>
      <w:tblPr>
        <w:tblStyle w:val="af2"/>
        <w:tblW w:w="9322" w:type="dxa"/>
        <w:tblLayout w:type="fixed"/>
        <w:tblLook w:val="04A0" w:firstRow="1" w:lastRow="0" w:firstColumn="1" w:lastColumn="0" w:noHBand="0" w:noVBand="1"/>
      </w:tblPr>
      <w:tblGrid>
        <w:gridCol w:w="506"/>
        <w:gridCol w:w="1610"/>
        <w:gridCol w:w="2103"/>
        <w:gridCol w:w="2835"/>
        <w:gridCol w:w="2268"/>
      </w:tblGrid>
      <w:tr w:rsidR="00A91269" w:rsidTr="00467451">
        <w:trPr>
          <w:trHeight w:val="564"/>
        </w:trPr>
        <w:tc>
          <w:tcPr>
            <w:tcW w:w="506" w:type="dxa"/>
            <w:tcBorders>
              <w:top w:val="single" w:sz="4" w:space="0" w:color="auto"/>
              <w:left w:val="single" w:sz="4" w:space="0" w:color="auto"/>
              <w:bottom w:val="single" w:sz="4" w:space="0" w:color="auto"/>
              <w:right w:val="single" w:sz="4" w:space="0" w:color="auto"/>
            </w:tcBorders>
            <w:vAlign w:val="center"/>
            <w:hideMark/>
          </w:tcPr>
          <w:p w:rsidR="00A91269" w:rsidRPr="007046F1" w:rsidRDefault="00A91269" w:rsidP="005A5E13">
            <w:pPr>
              <w:rPr>
                <w:sz w:val="20"/>
                <w:szCs w:val="20"/>
              </w:rPr>
            </w:pPr>
            <w:r w:rsidRPr="007046F1">
              <w:rPr>
                <w:sz w:val="20"/>
                <w:szCs w:val="20"/>
              </w:rPr>
              <w:t>№ п/п</w:t>
            </w:r>
          </w:p>
        </w:tc>
        <w:tc>
          <w:tcPr>
            <w:tcW w:w="1610" w:type="dxa"/>
            <w:tcBorders>
              <w:top w:val="single" w:sz="4" w:space="0" w:color="auto"/>
              <w:left w:val="single" w:sz="4" w:space="0" w:color="auto"/>
              <w:bottom w:val="single" w:sz="4" w:space="0" w:color="auto"/>
              <w:right w:val="single" w:sz="4" w:space="0" w:color="auto"/>
            </w:tcBorders>
            <w:vAlign w:val="center"/>
          </w:tcPr>
          <w:p w:rsidR="00A91269" w:rsidRPr="007046F1" w:rsidRDefault="00A91269" w:rsidP="005A5E13">
            <w:pPr>
              <w:rPr>
                <w:sz w:val="20"/>
                <w:szCs w:val="20"/>
              </w:rPr>
            </w:pPr>
            <w:r w:rsidRPr="007046F1">
              <w:rPr>
                <w:sz w:val="20"/>
                <w:szCs w:val="20"/>
              </w:rPr>
              <w:t>Наименование ОРО</w:t>
            </w:r>
          </w:p>
        </w:tc>
        <w:tc>
          <w:tcPr>
            <w:tcW w:w="2103" w:type="dxa"/>
            <w:tcBorders>
              <w:top w:val="single" w:sz="4" w:space="0" w:color="auto"/>
              <w:left w:val="single" w:sz="4" w:space="0" w:color="auto"/>
              <w:bottom w:val="single" w:sz="4" w:space="0" w:color="auto"/>
              <w:right w:val="single" w:sz="4" w:space="0" w:color="auto"/>
            </w:tcBorders>
            <w:vAlign w:val="center"/>
            <w:hideMark/>
          </w:tcPr>
          <w:p w:rsidR="00A91269" w:rsidRPr="007046F1" w:rsidRDefault="00A91269" w:rsidP="005A5E13">
            <w:pPr>
              <w:rPr>
                <w:sz w:val="20"/>
                <w:szCs w:val="20"/>
              </w:rPr>
            </w:pPr>
            <w:r w:rsidRPr="007046F1">
              <w:rPr>
                <w:sz w:val="20"/>
                <w:szCs w:val="20"/>
              </w:rPr>
              <w:t>Кадастровый номер земельного участка</w:t>
            </w:r>
          </w:p>
        </w:tc>
        <w:tc>
          <w:tcPr>
            <w:tcW w:w="2835" w:type="dxa"/>
            <w:tcBorders>
              <w:top w:val="single" w:sz="4" w:space="0" w:color="auto"/>
              <w:left w:val="single" w:sz="4" w:space="0" w:color="auto"/>
              <w:bottom w:val="single" w:sz="4" w:space="0" w:color="auto"/>
              <w:right w:val="single" w:sz="4" w:space="0" w:color="auto"/>
            </w:tcBorders>
            <w:vAlign w:val="center"/>
            <w:hideMark/>
          </w:tcPr>
          <w:p w:rsidR="00A91269" w:rsidRPr="007046F1" w:rsidRDefault="00A91269" w:rsidP="005A5E13">
            <w:pPr>
              <w:rPr>
                <w:sz w:val="20"/>
                <w:szCs w:val="20"/>
              </w:rPr>
            </w:pPr>
            <w:r w:rsidRPr="007046F1">
              <w:rPr>
                <w:sz w:val="20"/>
                <w:szCs w:val="20"/>
              </w:rPr>
              <w:t>Местонахождение ОРО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A91269" w:rsidRPr="007046F1" w:rsidRDefault="00A91269" w:rsidP="005A5E13">
            <w:pPr>
              <w:rPr>
                <w:sz w:val="20"/>
                <w:szCs w:val="20"/>
              </w:rPr>
            </w:pPr>
            <w:r w:rsidRPr="007046F1">
              <w:rPr>
                <w:sz w:val="20"/>
                <w:szCs w:val="20"/>
              </w:rPr>
              <w:t>Эксплуатирующая организация</w:t>
            </w:r>
          </w:p>
        </w:tc>
      </w:tr>
      <w:tr w:rsidR="00A91269" w:rsidTr="00467451">
        <w:trPr>
          <w:trHeight w:val="1012"/>
        </w:trPr>
        <w:tc>
          <w:tcPr>
            <w:tcW w:w="506"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1</w:t>
            </w:r>
          </w:p>
        </w:tc>
        <w:tc>
          <w:tcPr>
            <w:tcW w:w="1610"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Объект</w:t>
            </w:r>
          </w:p>
        </w:tc>
        <w:tc>
          <w:tcPr>
            <w:tcW w:w="2103"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54:09:020112:162</w:t>
            </w:r>
          </w:p>
        </w:tc>
        <w:tc>
          <w:tcPr>
            <w:tcW w:w="2835"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rPr>
                <w:rFonts w:ascii="Regular" w:eastAsia="Times New Roman" w:hAnsi="Regular"/>
                <w:sz w:val="20"/>
                <w:szCs w:val="20"/>
              </w:rPr>
            </w:pPr>
            <w:r w:rsidRPr="007046F1">
              <w:rPr>
                <w:rFonts w:ascii="Regular" w:eastAsia="Times New Roman" w:hAnsi="Regular"/>
                <w:sz w:val="20"/>
                <w:szCs w:val="20"/>
              </w:rPr>
              <w:t>Новосибирская область, Каргатский район, г.</w:t>
            </w:r>
            <w:r w:rsidRPr="007046F1">
              <w:rPr>
                <w:rFonts w:ascii="Regular" w:eastAsia="Times New Roman" w:hAnsi="Regular" w:hint="eastAsia"/>
                <w:sz w:val="20"/>
                <w:szCs w:val="20"/>
              </w:rPr>
              <w:t> </w:t>
            </w:r>
            <w:r w:rsidRPr="007046F1">
              <w:rPr>
                <w:rFonts w:ascii="Regular" w:eastAsia="Times New Roman" w:hAnsi="Regular"/>
                <w:sz w:val="20"/>
                <w:szCs w:val="20"/>
              </w:rPr>
              <w:t>Каргат (от г.</w:t>
            </w:r>
            <w:r w:rsidRPr="007046F1">
              <w:rPr>
                <w:rFonts w:ascii="Regular" w:eastAsia="Times New Roman" w:hAnsi="Regular" w:hint="eastAsia"/>
                <w:sz w:val="20"/>
                <w:szCs w:val="20"/>
              </w:rPr>
              <w:t> </w:t>
            </w:r>
            <w:r w:rsidRPr="007046F1">
              <w:rPr>
                <w:rFonts w:ascii="Regular" w:eastAsia="Times New Roman" w:hAnsi="Regular"/>
                <w:sz w:val="20"/>
                <w:szCs w:val="20"/>
              </w:rPr>
              <w:t xml:space="preserve">Каргата примерно в 2,5 км по направлению на восток) </w:t>
            </w:r>
          </w:p>
        </w:tc>
        <w:tc>
          <w:tcPr>
            <w:tcW w:w="2268"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 xml:space="preserve">ООО «Полигон-К» </w:t>
            </w:r>
          </w:p>
          <w:p w:rsidR="00A91269" w:rsidRPr="007046F1" w:rsidRDefault="00A91269" w:rsidP="005A5E13">
            <w:pPr>
              <w:jc w:val="both"/>
              <w:rPr>
                <w:sz w:val="20"/>
                <w:szCs w:val="20"/>
              </w:rPr>
            </w:pPr>
            <w:r w:rsidRPr="007046F1">
              <w:rPr>
                <w:sz w:val="20"/>
                <w:szCs w:val="20"/>
              </w:rPr>
              <w:t xml:space="preserve">(ИНН 5424950277) </w:t>
            </w:r>
          </w:p>
        </w:tc>
      </w:tr>
      <w:tr w:rsidR="00A91269" w:rsidTr="00467451">
        <w:trPr>
          <w:trHeight w:val="779"/>
        </w:trPr>
        <w:tc>
          <w:tcPr>
            <w:tcW w:w="506"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2</w:t>
            </w:r>
          </w:p>
        </w:tc>
        <w:tc>
          <w:tcPr>
            <w:tcW w:w="1610"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Объект</w:t>
            </w:r>
          </w:p>
        </w:tc>
        <w:tc>
          <w:tcPr>
            <w:tcW w:w="2103"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54:10:028210:1343</w:t>
            </w:r>
          </w:p>
        </w:tc>
        <w:tc>
          <w:tcPr>
            <w:tcW w:w="2835"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rPr>
                <w:rFonts w:eastAsia="Times New Roman"/>
                <w:sz w:val="20"/>
                <w:szCs w:val="20"/>
              </w:rPr>
            </w:pPr>
            <w:r w:rsidRPr="007046F1">
              <w:rPr>
                <w:rFonts w:eastAsia="Times New Roman"/>
                <w:sz w:val="20"/>
                <w:szCs w:val="20"/>
              </w:rPr>
              <w:t xml:space="preserve">Новосибирская область, Колыванский район, за пределами р.п. Колывань </w:t>
            </w:r>
          </w:p>
        </w:tc>
        <w:tc>
          <w:tcPr>
            <w:tcW w:w="2268" w:type="dxa"/>
            <w:tcBorders>
              <w:top w:val="single" w:sz="4" w:space="0" w:color="auto"/>
              <w:left w:val="single" w:sz="4" w:space="0" w:color="auto"/>
              <w:bottom w:val="single" w:sz="4" w:space="0" w:color="auto"/>
              <w:right w:val="single" w:sz="4" w:space="0" w:color="auto"/>
            </w:tcBorders>
          </w:tcPr>
          <w:p w:rsidR="00A91269" w:rsidRPr="007046F1" w:rsidRDefault="00A91269" w:rsidP="005A5E13">
            <w:pPr>
              <w:jc w:val="both"/>
              <w:rPr>
                <w:sz w:val="20"/>
                <w:szCs w:val="20"/>
              </w:rPr>
            </w:pPr>
            <w:r w:rsidRPr="007046F1">
              <w:rPr>
                <w:sz w:val="20"/>
                <w:szCs w:val="20"/>
              </w:rPr>
              <w:t xml:space="preserve">ООО «Полигон-К» </w:t>
            </w:r>
          </w:p>
          <w:p w:rsidR="00A91269" w:rsidRPr="007046F1" w:rsidRDefault="00A91269" w:rsidP="005A5E13">
            <w:pPr>
              <w:jc w:val="both"/>
              <w:rPr>
                <w:sz w:val="20"/>
                <w:szCs w:val="20"/>
              </w:rPr>
            </w:pPr>
            <w:r w:rsidRPr="007046F1">
              <w:rPr>
                <w:sz w:val="20"/>
                <w:szCs w:val="20"/>
              </w:rPr>
              <w:t>(ИНН 5424950277)</w:t>
            </w:r>
          </w:p>
        </w:tc>
      </w:tr>
    </w:tbl>
    <w:p w:rsidR="00A91269" w:rsidRDefault="00A91269" w:rsidP="00A91269">
      <w:pPr>
        <w:spacing w:before="80" w:after="80" w:line="240" w:lineRule="auto"/>
        <w:ind w:firstLine="709"/>
        <w:jc w:val="both"/>
        <w:rPr>
          <w:rFonts w:eastAsia="Times New Roman"/>
          <w:szCs w:val="28"/>
        </w:rPr>
      </w:pPr>
      <w:r>
        <w:rPr>
          <w:rFonts w:eastAsia="Times New Roman"/>
          <w:szCs w:val="28"/>
        </w:rPr>
        <w:t xml:space="preserve">Учитывая изложенное, департаментом осуществлено государственное регулирование тарифов на захоронение ТКО для операторов по захоронению </w:t>
      </w:r>
      <w:r>
        <w:rPr>
          <w:rFonts w:eastAsia="Times New Roman"/>
          <w:szCs w:val="28"/>
        </w:rPr>
        <w:lastRenderedPageBreak/>
        <w:t xml:space="preserve">ТКО, чьи объекты включены в ГРОРО и в перечень объектов размещения ТКО на территории Новосибирской области, предусмотренные территориальной схемой </w:t>
      </w:r>
      <w:r w:rsidR="00467451">
        <w:rPr>
          <w:rFonts w:eastAsia="Times New Roman"/>
          <w:szCs w:val="28"/>
        </w:rPr>
        <w:t>(рисунок)</w:t>
      </w:r>
      <w:r>
        <w:rPr>
          <w:rFonts w:eastAsia="Times New Roman"/>
          <w:szCs w:val="28"/>
        </w:rPr>
        <w:t>.</w:t>
      </w:r>
    </w:p>
    <w:p w:rsidR="00A91269" w:rsidRPr="005E303E" w:rsidRDefault="00A91269" w:rsidP="00A91269">
      <w:pPr>
        <w:spacing w:before="80" w:after="80" w:line="240" w:lineRule="auto"/>
        <w:ind w:firstLine="709"/>
        <w:jc w:val="both"/>
        <w:rPr>
          <w:rFonts w:eastAsia="Times New Roman"/>
          <w:sz w:val="20"/>
          <w:szCs w:val="28"/>
        </w:rPr>
      </w:pPr>
    </w:p>
    <w:p w:rsidR="00A91269" w:rsidRDefault="00A91269" w:rsidP="00A91269">
      <w:pPr>
        <w:spacing w:after="80" w:line="240" w:lineRule="auto"/>
        <w:jc w:val="both"/>
        <w:rPr>
          <w:rFonts w:eastAsia="Times New Roman"/>
          <w:szCs w:val="28"/>
        </w:rPr>
      </w:pPr>
      <w:r>
        <w:rPr>
          <w:rFonts w:eastAsia="Times New Roman"/>
          <w:noProof/>
          <w:szCs w:val="28"/>
        </w:rPr>
        <w:drawing>
          <wp:inline distT="0" distB="0" distL="0" distR="0" wp14:anchorId="6F410F55" wp14:editId="2DF6297D">
            <wp:extent cx="5856441" cy="2244969"/>
            <wp:effectExtent l="0" t="0" r="0" b="3175"/>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5864071" cy="2247894"/>
                    </a:xfrm>
                    <a:prstGeom prst="rect">
                      <a:avLst/>
                    </a:prstGeom>
                    <a:noFill/>
                  </pic:spPr>
                </pic:pic>
              </a:graphicData>
            </a:graphic>
          </wp:inline>
        </w:drawing>
      </w:r>
    </w:p>
    <w:p w:rsidR="00A91269" w:rsidRDefault="00A91269" w:rsidP="00A91269">
      <w:pPr>
        <w:spacing w:after="0" w:line="240" w:lineRule="auto"/>
        <w:ind w:firstLine="709"/>
        <w:rPr>
          <w:i/>
          <w:sz w:val="24"/>
          <w:szCs w:val="28"/>
        </w:rPr>
      </w:pPr>
      <w:r w:rsidRPr="00EA75DA">
        <w:rPr>
          <w:i/>
          <w:sz w:val="24"/>
          <w:szCs w:val="28"/>
        </w:rPr>
        <w:t xml:space="preserve">Рисунок </w:t>
      </w:r>
      <w:r>
        <w:rPr>
          <w:i/>
          <w:sz w:val="24"/>
          <w:szCs w:val="28"/>
        </w:rPr>
        <w:t>3</w:t>
      </w:r>
      <w:r w:rsidRPr="00EA75DA">
        <w:rPr>
          <w:i/>
          <w:sz w:val="24"/>
          <w:szCs w:val="28"/>
        </w:rPr>
        <w:t xml:space="preserve"> – </w:t>
      </w:r>
      <w:r>
        <w:rPr>
          <w:i/>
          <w:sz w:val="24"/>
          <w:szCs w:val="28"/>
        </w:rPr>
        <w:t xml:space="preserve">Тарифы операторов, осуществляющих деятельность </w:t>
      </w:r>
    </w:p>
    <w:p w:rsidR="00A91269" w:rsidRDefault="00A91269" w:rsidP="00A91269">
      <w:pPr>
        <w:spacing w:after="0" w:line="240" w:lineRule="auto"/>
        <w:ind w:firstLine="709"/>
        <w:rPr>
          <w:i/>
          <w:sz w:val="24"/>
          <w:szCs w:val="28"/>
        </w:rPr>
      </w:pPr>
      <w:r>
        <w:rPr>
          <w:i/>
          <w:sz w:val="24"/>
          <w:szCs w:val="28"/>
        </w:rPr>
        <w:t>по захоронению ТКО, на 2025 (с НДС), руб./тонна</w:t>
      </w:r>
    </w:p>
    <w:p w:rsidR="00A91269" w:rsidRDefault="00A91269" w:rsidP="00A91269">
      <w:pPr>
        <w:spacing w:after="0" w:line="240" w:lineRule="auto"/>
        <w:ind w:firstLine="709"/>
        <w:rPr>
          <w:i/>
          <w:sz w:val="24"/>
          <w:szCs w:val="28"/>
        </w:rPr>
      </w:pPr>
    </w:p>
    <w:p w:rsidR="00A91269" w:rsidRPr="00EA75DA" w:rsidRDefault="00A91269" w:rsidP="00A91269">
      <w:pPr>
        <w:spacing w:after="80" w:line="240" w:lineRule="auto"/>
        <w:ind w:firstLine="709"/>
        <w:jc w:val="both"/>
        <w:rPr>
          <w:i/>
          <w:sz w:val="24"/>
          <w:szCs w:val="28"/>
        </w:rPr>
      </w:pPr>
      <w:r>
        <w:rPr>
          <w:rFonts w:eastAsia="Times New Roman"/>
          <w:szCs w:val="28"/>
        </w:rPr>
        <w:t xml:space="preserve">На рисунке </w:t>
      </w:r>
      <w:r w:rsidR="00467451">
        <w:rPr>
          <w:rFonts w:eastAsia="Times New Roman"/>
          <w:szCs w:val="28"/>
        </w:rPr>
        <w:t>ниже</w:t>
      </w:r>
      <w:r>
        <w:rPr>
          <w:rFonts w:eastAsia="Times New Roman"/>
          <w:szCs w:val="28"/>
        </w:rPr>
        <w:t xml:space="preserve"> показана динамика установленного среднего тарифа на захоронение ТКО в Новосибирской области для </w:t>
      </w:r>
      <w:r w:rsidRPr="00A95841">
        <w:rPr>
          <w:rFonts w:eastAsia="Times New Roman"/>
          <w:szCs w:val="28"/>
        </w:rPr>
        <w:t>операторов, осуществляющих деятельность по захоронению ТКО</w:t>
      </w:r>
      <w:r>
        <w:rPr>
          <w:rFonts w:eastAsia="Times New Roman"/>
          <w:szCs w:val="28"/>
        </w:rPr>
        <w:t xml:space="preserve">, с 2023 по 2025 год. </w:t>
      </w:r>
    </w:p>
    <w:p w:rsidR="00A91269" w:rsidRDefault="00A91269" w:rsidP="00A91269">
      <w:pPr>
        <w:spacing w:after="0" w:line="240" w:lineRule="auto"/>
        <w:jc w:val="both"/>
        <w:rPr>
          <w:rFonts w:eastAsia="Times New Roman"/>
          <w:szCs w:val="28"/>
        </w:rPr>
      </w:pPr>
      <w:r>
        <w:rPr>
          <w:rFonts w:eastAsia="Times New Roman"/>
          <w:noProof/>
          <w:szCs w:val="28"/>
        </w:rPr>
        <w:drawing>
          <wp:inline distT="0" distB="0" distL="0" distR="0" wp14:anchorId="57A272C1" wp14:editId="0E1947DC">
            <wp:extent cx="5433162" cy="2924908"/>
            <wp:effectExtent l="0" t="0" r="0" b="889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5436736" cy="2926832"/>
                    </a:xfrm>
                    <a:prstGeom prst="rect">
                      <a:avLst/>
                    </a:prstGeom>
                    <a:noFill/>
                  </pic:spPr>
                </pic:pic>
              </a:graphicData>
            </a:graphic>
          </wp:inline>
        </w:drawing>
      </w:r>
    </w:p>
    <w:p w:rsidR="00A91269" w:rsidRDefault="00A91269" w:rsidP="00A91269">
      <w:pPr>
        <w:spacing w:after="0" w:line="240" w:lineRule="auto"/>
        <w:ind w:firstLine="709"/>
        <w:rPr>
          <w:i/>
          <w:sz w:val="24"/>
          <w:szCs w:val="28"/>
        </w:rPr>
      </w:pPr>
      <w:r w:rsidRPr="00EA75DA">
        <w:rPr>
          <w:i/>
          <w:sz w:val="24"/>
          <w:szCs w:val="28"/>
        </w:rPr>
        <w:t xml:space="preserve">Рисунок  </w:t>
      </w:r>
      <w:r>
        <w:rPr>
          <w:i/>
          <w:sz w:val="24"/>
          <w:szCs w:val="28"/>
        </w:rPr>
        <w:t xml:space="preserve">Средний тариф на захоронение ТКО </w:t>
      </w:r>
      <w:r w:rsidRPr="00E66E7B">
        <w:rPr>
          <w:i/>
          <w:sz w:val="24"/>
          <w:szCs w:val="28"/>
        </w:rPr>
        <w:t xml:space="preserve">в Новосибирской области </w:t>
      </w:r>
    </w:p>
    <w:p w:rsidR="00A91269" w:rsidRDefault="00A91269" w:rsidP="00A91269">
      <w:pPr>
        <w:spacing w:after="0" w:line="240" w:lineRule="auto"/>
        <w:ind w:firstLine="709"/>
        <w:rPr>
          <w:i/>
          <w:sz w:val="24"/>
          <w:szCs w:val="28"/>
        </w:rPr>
      </w:pPr>
      <w:r>
        <w:rPr>
          <w:i/>
          <w:sz w:val="24"/>
          <w:szCs w:val="28"/>
        </w:rPr>
        <w:t xml:space="preserve">для операторов, осуществляющих деятельность </w:t>
      </w:r>
    </w:p>
    <w:p w:rsidR="00A91269" w:rsidRDefault="00A91269" w:rsidP="00A91269">
      <w:pPr>
        <w:spacing w:after="0" w:line="240" w:lineRule="auto"/>
        <w:ind w:firstLine="709"/>
        <w:rPr>
          <w:i/>
          <w:sz w:val="24"/>
          <w:szCs w:val="28"/>
        </w:rPr>
      </w:pPr>
      <w:r>
        <w:rPr>
          <w:i/>
          <w:sz w:val="24"/>
          <w:szCs w:val="28"/>
        </w:rPr>
        <w:t>по захоронению ТКО (с НДС) с 2023 по 2025 годы, руб./тонна</w:t>
      </w:r>
    </w:p>
    <w:p w:rsidR="00A91269" w:rsidRDefault="00A91269" w:rsidP="00A91269">
      <w:pPr>
        <w:spacing w:after="0" w:line="240" w:lineRule="auto"/>
        <w:ind w:firstLine="709"/>
        <w:rPr>
          <w:i/>
          <w:sz w:val="24"/>
          <w:szCs w:val="28"/>
        </w:rPr>
      </w:pPr>
    </w:p>
    <w:p w:rsidR="00A91269" w:rsidRPr="00B509A3" w:rsidRDefault="00A91269" w:rsidP="00A91269">
      <w:pPr>
        <w:spacing w:after="0" w:line="240" w:lineRule="auto"/>
        <w:ind w:firstLine="709"/>
        <w:jc w:val="both"/>
        <w:rPr>
          <w:rFonts w:eastAsia="Times New Roman"/>
          <w:szCs w:val="28"/>
        </w:rPr>
      </w:pPr>
      <w:r>
        <w:rPr>
          <w:rFonts w:eastAsia="Times New Roman"/>
          <w:szCs w:val="28"/>
        </w:rPr>
        <w:t>Рост</w:t>
      </w:r>
      <w:r w:rsidRPr="00B509A3">
        <w:rPr>
          <w:rFonts w:eastAsia="Times New Roman"/>
          <w:szCs w:val="28"/>
        </w:rPr>
        <w:t xml:space="preserve"> тарифов операторов</w:t>
      </w:r>
      <w:r>
        <w:rPr>
          <w:rFonts w:eastAsia="Times New Roman"/>
          <w:szCs w:val="28"/>
        </w:rPr>
        <w:t>, осуществляющих деятельность по захоронению ТКО, обусловлен:</w:t>
      </w:r>
      <w:r w:rsidRPr="00B509A3">
        <w:rPr>
          <w:rFonts w:eastAsia="Times New Roman"/>
          <w:szCs w:val="28"/>
        </w:rPr>
        <w:t xml:space="preserve"> </w:t>
      </w:r>
    </w:p>
    <w:p w:rsidR="00A91269" w:rsidRPr="00B509A3" w:rsidRDefault="00A91269" w:rsidP="00A91269">
      <w:pPr>
        <w:spacing w:after="0" w:line="240" w:lineRule="auto"/>
        <w:ind w:firstLine="709"/>
        <w:jc w:val="both"/>
        <w:rPr>
          <w:rFonts w:eastAsia="Times New Roman"/>
          <w:szCs w:val="28"/>
        </w:rPr>
      </w:pPr>
      <w:r>
        <w:rPr>
          <w:rFonts w:eastAsia="Times New Roman"/>
          <w:szCs w:val="28"/>
        </w:rPr>
        <w:t>-</w:t>
      </w:r>
      <w:r w:rsidRPr="00624A06">
        <w:t> </w:t>
      </w:r>
      <w:r w:rsidRPr="00B509A3">
        <w:rPr>
          <w:rFonts w:eastAsia="Times New Roman"/>
          <w:szCs w:val="28"/>
        </w:rPr>
        <w:t>индексацией операционных расходов организаций, предусмотренной законодательством в сфере в сфере государст</w:t>
      </w:r>
      <w:r>
        <w:rPr>
          <w:rFonts w:eastAsia="Times New Roman"/>
          <w:szCs w:val="28"/>
        </w:rPr>
        <w:t>венного регулирования тарифов в </w:t>
      </w:r>
      <w:r w:rsidRPr="00B509A3">
        <w:rPr>
          <w:rFonts w:eastAsia="Times New Roman"/>
          <w:szCs w:val="28"/>
        </w:rPr>
        <w:t>области обращения с ТКО, тарифы для которых установлены на долгосрочный период регулирования;</w:t>
      </w:r>
    </w:p>
    <w:p w:rsidR="00A91269" w:rsidRPr="00B509A3" w:rsidRDefault="00A91269" w:rsidP="00A91269">
      <w:pPr>
        <w:spacing w:after="0" w:line="240" w:lineRule="auto"/>
        <w:ind w:firstLine="709"/>
        <w:jc w:val="both"/>
        <w:rPr>
          <w:rFonts w:eastAsia="Times New Roman"/>
          <w:szCs w:val="28"/>
        </w:rPr>
      </w:pPr>
      <w:r>
        <w:rPr>
          <w:rFonts w:eastAsia="Times New Roman"/>
          <w:szCs w:val="28"/>
        </w:rPr>
        <w:lastRenderedPageBreak/>
        <w:t>- </w:t>
      </w:r>
      <w:r w:rsidRPr="00B509A3">
        <w:rPr>
          <w:rFonts w:eastAsia="Times New Roman"/>
          <w:szCs w:val="28"/>
        </w:rPr>
        <w:t>увеличением цен на энергоресурсы;</w:t>
      </w:r>
    </w:p>
    <w:p w:rsidR="00A91269" w:rsidRPr="00B509A3" w:rsidRDefault="00A91269" w:rsidP="00A91269">
      <w:pPr>
        <w:spacing w:after="0" w:line="240" w:lineRule="auto"/>
        <w:ind w:firstLine="709"/>
        <w:jc w:val="both"/>
        <w:rPr>
          <w:rFonts w:eastAsia="Times New Roman"/>
          <w:szCs w:val="28"/>
        </w:rPr>
      </w:pPr>
      <w:r>
        <w:rPr>
          <w:rFonts w:eastAsia="Times New Roman"/>
          <w:szCs w:val="28"/>
        </w:rPr>
        <w:t>- </w:t>
      </w:r>
      <w:r w:rsidRPr="00B509A3">
        <w:rPr>
          <w:rFonts w:eastAsia="Times New Roman"/>
          <w:szCs w:val="28"/>
        </w:rPr>
        <w:t>превышением скорректированных плановых расходов организаций над товарной выручкой, начисленной за указанный период;</w:t>
      </w:r>
    </w:p>
    <w:p w:rsidR="00A91269" w:rsidRPr="00B509A3" w:rsidRDefault="00A91269" w:rsidP="00A91269">
      <w:pPr>
        <w:spacing w:after="0" w:line="240" w:lineRule="auto"/>
        <w:ind w:firstLine="709"/>
        <w:jc w:val="both"/>
        <w:rPr>
          <w:rFonts w:eastAsia="Times New Roman"/>
          <w:szCs w:val="28"/>
        </w:rPr>
      </w:pPr>
      <w:r>
        <w:rPr>
          <w:rFonts w:eastAsia="Times New Roman"/>
          <w:szCs w:val="28"/>
        </w:rPr>
        <w:t>- </w:t>
      </w:r>
      <w:r w:rsidRPr="00B509A3">
        <w:rPr>
          <w:rFonts w:eastAsia="Times New Roman"/>
          <w:szCs w:val="28"/>
        </w:rPr>
        <w:t>увеличением платы за негативное воздействие на окружающую среду в связи с изменением класса опасности принимаемых на полигон отходов;</w:t>
      </w:r>
    </w:p>
    <w:p w:rsidR="00A91269" w:rsidRDefault="00A91269" w:rsidP="00A91269">
      <w:pPr>
        <w:spacing w:after="0" w:line="240" w:lineRule="auto"/>
        <w:ind w:firstLine="709"/>
        <w:jc w:val="both"/>
        <w:rPr>
          <w:rFonts w:eastAsia="Times New Roman"/>
          <w:szCs w:val="28"/>
        </w:rPr>
      </w:pPr>
      <w:r>
        <w:rPr>
          <w:rFonts w:eastAsia="Times New Roman"/>
          <w:szCs w:val="28"/>
        </w:rPr>
        <w:t>- </w:t>
      </w:r>
      <w:r w:rsidRPr="00B509A3">
        <w:rPr>
          <w:rFonts w:eastAsia="Times New Roman"/>
          <w:szCs w:val="28"/>
        </w:rPr>
        <w:t>снижением массы ТКО, пос</w:t>
      </w:r>
      <w:r>
        <w:rPr>
          <w:rFonts w:eastAsia="Times New Roman"/>
          <w:szCs w:val="28"/>
        </w:rPr>
        <w:t>тупающих на объекты захоронения.</w:t>
      </w:r>
    </w:p>
    <w:p w:rsidR="00A91269" w:rsidRDefault="00A91269" w:rsidP="00A91269">
      <w:pPr>
        <w:spacing w:after="0" w:line="240" w:lineRule="auto"/>
        <w:ind w:firstLine="709"/>
        <w:jc w:val="both"/>
        <w:rPr>
          <w:rFonts w:eastAsia="Times New Roman"/>
          <w:szCs w:val="28"/>
        </w:rPr>
      </w:pPr>
      <w:r>
        <w:rPr>
          <w:rFonts w:eastAsia="Times New Roman"/>
          <w:szCs w:val="28"/>
        </w:rPr>
        <w:t>Снижение</w:t>
      </w:r>
      <w:r w:rsidRPr="00B509A3">
        <w:rPr>
          <w:rFonts w:eastAsia="Times New Roman"/>
          <w:szCs w:val="28"/>
        </w:rPr>
        <w:t xml:space="preserve"> тарифов операторов, осуществляющих деятельность по захоронению ТКО, обусловлен</w:t>
      </w:r>
      <w:r>
        <w:rPr>
          <w:rFonts w:eastAsia="Times New Roman"/>
          <w:szCs w:val="28"/>
        </w:rPr>
        <w:t>о</w:t>
      </w:r>
      <w:r w:rsidRPr="00B509A3">
        <w:rPr>
          <w:rFonts w:eastAsia="Times New Roman"/>
          <w:szCs w:val="28"/>
        </w:rPr>
        <w:t>:</w:t>
      </w:r>
    </w:p>
    <w:p w:rsidR="00A91269" w:rsidRPr="00B509A3" w:rsidRDefault="00A91269" w:rsidP="00A91269">
      <w:pPr>
        <w:spacing w:after="0" w:line="240" w:lineRule="auto"/>
        <w:ind w:firstLine="709"/>
        <w:jc w:val="both"/>
        <w:rPr>
          <w:rFonts w:eastAsia="Times New Roman"/>
          <w:szCs w:val="28"/>
        </w:rPr>
      </w:pPr>
      <w:r>
        <w:rPr>
          <w:rFonts w:eastAsia="Times New Roman"/>
          <w:szCs w:val="28"/>
        </w:rPr>
        <w:t xml:space="preserve">- исключением </w:t>
      </w:r>
      <w:r w:rsidRPr="00B509A3">
        <w:rPr>
          <w:rFonts w:eastAsia="Times New Roman"/>
          <w:szCs w:val="28"/>
        </w:rPr>
        <w:t xml:space="preserve">экономически необоснованных расходов, выявленных в результате анализа фактических показателей за </w:t>
      </w:r>
      <w:r>
        <w:rPr>
          <w:rFonts w:eastAsia="Times New Roman"/>
          <w:szCs w:val="28"/>
        </w:rPr>
        <w:t>предыдущий период регулирования</w:t>
      </w:r>
      <w:r w:rsidRPr="00B509A3">
        <w:rPr>
          <w:rFonts w:eastAsia="Times New Roman"/>
          <w:szCs w:val="28"/>
        </w:rPr>
        <w:t>;</w:t>
      </w:r>
    </w:p>
    <w:p w:rsidR="00A91269" w:rsidRDefault="00A91269" w:rsidP="00A91269">
      <w:pPr>
        <w:spacing w:after="0" w:line="240" w:lineRule="auto"/>
        <w:ind w:firstLine="709"/>
        <w:jc w:val="both"/>
        <w:rPr>
          <w:rFonts w:eastAsia="Times New Roman"/>
          <w:szCs w:val="28"/>
          <w:highlight w:val="yellow"/>
        </w:rPr>
      </w:pPr>
      <w:r>
        <w:rPr>
          <w:rFonts w:eastAsia="Times New Roman"/>
          <w:szCs w:val="28"/>
        </w:rPr>
        <w:t>- </w:t>
      </w:r>
      <w:r w:rsidRPr="00B509A3">
        <w:rPr>
          <w:rFonts w:eastAsia="Times New Roman"/>
          <w:szCs w:val="28"/>
        </w:rPr>
        <w:t>превышени</w:t>
      </w:r>
      <w:r>
        <w:rPr>
          <w:rFonts w:eastAsia="Times New Roman"/>
          <w:szCs w:val="28"/>
        </w:rPr>
        <w:t>ем</w:t>
      </w:r>
      <w:r w:rsidRPr="00B509A3">
        <w:rPr>
          <w:rFonts w:eastAsia="Times New Roman"/>
          <w:szCs w:val="28"/>
        </w:rPr>
        <w:t xml:space="preserve"> товарной выручки, начисленной за указанный период, над скорректированными плановыми расходами организаций.</w:t>
      </w:r>
    </w:p>
    <w:p w:rsidR="00A91269" w:rsidRDefault="00A91269" w:rsidP="00A91269">
      <w:pPr>
        <w:spacing w:after="0" w:line="240" w:lineRule="auto"/>
        <w:ind w:firstLine="709"/>
        <w:jc w:val="both"/>
        <w:rPr>
          <w:rFonts w:eastAsia="Times New Roman"/>
          <w:szCs w:val="28"/>
        </w:rPr>
      </w:pPr>
      <w:r w:rsidRPr="00860C4D">
        <w:rPr>
          <w:rFonts w:eastAsia="Times New Roman"/>
          <w:szCs w:val="28"/>
        </w:rPr>
        <w:t>В целях снижения объема потоков отходов, направляемых</w:t>
      </w:r>
      <w:r>
        <w:rPr>
          <w:rFonts w:eastAsia="Times New Roman"/>
          <w:szCs w:val="28"/>
        </w:rPr>
        <w:t xml:space="preserve"> на захоронение, на территории Новосибирской области организована система обработки ТКО. На рисунке </w:t>
      </w:r>
      <w:r w:rsidR="00467451">
        <w:rPr>
          <w:rFonts w:eastAsia="Times New Roman"/>
          <w:szCs w:val="28"/>
        </w:rPr>
        <w:t>ниже</w:t>
      </w:r>
      <w:r>
        <w:rPr>
          <w:rFonts w:eastAsia="Times New Roman"/>
          <w:szCs w:val="28"/>
        </w:rPr>
        <w:t xml:space="preserve"> представлены операторы, осуществляющие эксплуатацию объектов обработки ТКО в Новосибирской области. </w:t>
      </w:r>
    </w:p>
    <w:p w:rsidR="00A91269" w:rsidRDefault="00A91269" w:rsidP="00A91269">
      <w:pPr>
        <w:spacing w:after="0" w:line="240" w:lineRule="auto"/>
        <w:ind w:firstLine="709"/>
        <w:jc w:val="both"/>
        <w:rPr>
          <w:rFonts w:eastAsia="Times New Roman"/>
          <w:szCs w:val="28"/>
        </w:rPr>
      </w:pPr>
    </w:p>
    <w:p w:rsidR="00467451" w:rsidRDefault="00467451" w:rsidP="00A91269">
      <w:pPr>
        <w:spacing w:after="0" w:line="240" w:lineRule="auto"/>
        <w:ind w:firstLine="709"/>
        <w:jc w:val="both"/>
        <w:rPr>
          <w:rFonts w:eastAsia="Times New Roman"/>
          <w:szCs w:val="28"/>
        </w:rPr>
      </w:pPr>
    </w:p>
    <w:p w:rsidR="00467451" w:rsidRDefault="00467451" w:rsidP="00A91269">
      <w:pPr>
        <w:spacing w:after="0" w:line="240" w:lineRule="auto"/>
        <w:ind w:firstLine="709"/>
        <w:jc w:val="both"/>
        <w:rPr>
          <w:rFonts w:eastAsia="Times New Roman"/>
          <w:szCs w:val="28"/>
        </w:rPr>
      </w:pPr>
    </w:p>
    <w:p w:rsidR="00A91269" w:rsidRDefault="00A91269" w:rsidP="00A91269">
      <w:pPr>
        <w:spacing w:after="0" w:line="240" w:lineRule="auto"/>
        <w:ind w:firstLine="709"/>
        <w:jc w:val="both"/>
        <w:rPr>
          <w:rFonts w:eastAsia="Times New Roman"/>
          <w:szCs w:val="28"/>
        </w:rPr>
      </w:pPr>
    </w:p>
    <w:p w:rsidR="00A91269" w:rsidRPr="00CC169E" w:rsidRDefault="00A91269" w:rsidP="00A91269">
      <w:pPr>
        <w:spacing w:after="0" w:line="240" w:lineRule="auto"/>
        <w:ind w:firstLine="709"/>
        <w:jc w:val="both"/>
        <w:rPr>
          <w:rFonts w:eastAsia="Times New Roman"/>
          <w:sz w:val="18"/>
          <w:szCs w:val="18"/>
        </w:rPr>
      </w:pPr>
      <w:r w:rsidRPr="00CC169E">
        <w:rPr>
          <w:rFonts w:eastAsia="Times New Roman"/>
          <w:noProof/>
          <w:sz w:val="18"/>
          <w:szCs w:val="18"/>
        </w:rPr>
        <mc:AlternateContent>
          <mc:Choice Requires="wps">
            <w:drawing>
              <wp:anchor distT="0" distB="0" distL="114300" distR="114300" simplePos="0" relativeHeight="251679744" behindDoc="0" locked="0" layoutInCell="1" allowOverlap="1" wp14:anchorId="7AE66C0E" wp14:editId="74CC4A92">
                <wp:simplePos x="0" y="0"/>
                <wp:positionH relativeFrom="column">
                  <wp:posOffset>67945</wp:posOffset>
                </wp:positionH>
                <wp:positionV relativeFrom="paragraph">
                  <wp:posOffset>22860</wp:posOffset>
                </wp:positionV>
                <wp:extent cx="6108700" cy="400050"/>
                <wp:effectExtent l="0" t="0" r="25400" b="19050"/>
                <wp:wrapNone/>
                <wp:docPr id="261" name="Скругленный прямоугольник 261"/>
                <wp:cNvGraphicFramePr/>
                <a:graphic xmlns:a="http://schemas.openxmlformats.org/drawingml/2006/main">
                  <a:graphicData uri="http://schemas.microsoft.com/office/word/2010/wordprocessingShape">
                    <wps:wsp>
                      <wps:cNvSpPr/>
                      <wps:spPr>
                        <a:xfrm>
                          <a:off x="0" y="0"/>
                          <a:ext cx="6108700" cy="400050"/>
                        </a:xfrm>
                        <a:prstGeom prst="roundRect">
                          <a:avLst/>
                        </a:prstGeom>
                        <a:solidFill>
                          <a:schemeClr val="accent3"/>
                        </a:solidFill>
                        <a:ln>
                          <a:solidFill>
                            <a:schemeClr val="accent3"/>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01A7D" w:rsidRPr="00B71060" w:rsidRDefault="00201A7D" w:rsidP="00A91269">
                            <w:pPr>
                              <w:spacing w:after="0" w:line="240" w:lineRule="auto"/>
                              <w:rPr>
                                <w:rFonts w:eastAsia="Times New Roman"/>
                                <w:color w:val="000000" w:themeColor="text1"/>
                                <w:szCs w:val="28"/>
                              </w:rPr>
                            </w:pPr>
                            <w:r w:rsidRPr="00B71060">
                              <w:rPr>
                                <w:rFonts w:eastAsia="Times New Roman"/>
                                <w:color w:val="000000" w:themeColor="text1"/>
                                <w:szCs w:val="28"/>
                              </w:rPr>
                              <w:t xml:space="preserve">Операторы, осуществляющие эксплуатацию объектов обработки ТКО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261" o:spid="_x0000_s1027" style="position:absolute;left:0;text-align:left;margin-left:5.35pt;margin-top:1.8pt;width:481pt;height:3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" fillcolor="#9bbb59 [3206]" strokecolor="#9bbb59 [3206]" strokeweight="2pt">
                <v:textbox>
                  <w:txbxContent>
                    <w:p w:rsidR="00201A7D" w:rsidRPr="00B71060" w:rsidRDefault="00201A7D" w:rsidP="00A91269">
                      <w:pPr>
                        <w:spacing w:after="0" w:line="240" w:lineRule="auto"/>
                        <w:rPr>
                          <w:rFonts w:eastAsia="Times New Roman"/>
                          <w:color w:val="000000" w:themeColor="text1"/>
                          <w:szCs w:val="28"/>
                        </w:rPr>
                      </w:pPr>
                      <w:r w:rsidRPr="00B71060">
                        <w:rPr>
                          <w:rFonts w:eastAsia="Times New Roman"/>
                          <w:color w:val="000000" w:themeColor="text1"/>
                          <w:szCs w:val="28"/>
                        </w:rPr>
                        <w:t xml:space="preserve">Операторы, осуществляющие эксплуатацию объектов обработки ТКО </w:t>
                      </w:r>
                    </w:p>
                  </w:txbxContent>
                </v:textbox>
              </v:roundrect>
            </w:pict>
          </mc:Fallback>
        </mc:AlternateContent>
      </w:r>
    </w:p>
    <w:p w:rsidR="00A91269" w:rsidRPr="00CC169E" w:rsidRDefault="00A91269" w:rsidP="00A91269">
      <w:pPr>
        <w:spacing w:after="0" w:line="240" w:lineRule="auto"/>
        <w:ind w:firstLine="709"/>
        <w:jc w:val="both"/>
        <w:rPr>
          <w:rFonts w:eastAsia="Times New Roman"/>
          <w:sz w:val="18"/>
          <w:szCs w:val="18"/>
        </w:rPr>
      </w:pPr>
    </w:p>
    <w:p w:rsidR="00A91269" w:rsidRDefault="00A91269" w:rsidP="00A91269">
      <w:pPr>
        <w:spacing w:after="0" w:line="240" w:lineRule="auto"/>
        <w:ind w:firstLine="709"/>
        <w:jc w:val="both"/>
        <w:rPr>
          <w:rFonts w:eastAsia="Times New Roman"/>
          <w:szCs w:val="28"/>
        </w:rPr>
      </w:pPr>
    </w:p>
    <w:p w:rsidR="00A91269" w:rsidRDefault="00A91269" w:rsidP="00A91269">
      <w:pPr>
        <w:spacing w:after="0" w:line="240" w:lineRule="auto"/>
        <w:rPr>
          <w:szCs w:val="28"/>
        </w:rPr>
      </w:pPr>
      <w:r>
        <w:rPr>
          <w:rFonts w:eastAsia="Times New Roman"/>
          <w:noProof/>
          <w:szCs w:val="28"/>
        </w:rPr>
        <w:drawing>
          <wp:inline distT="0" distB="0" distL="0" distR="0" wp14:anchorId="5C55BC0C" wp14:editId="601BFFAF">
            <wp:extent cx="5943600" cy="2678723"/>
            <wp:effectExtent l="0" t="0" r="0" b="45720"/>
            <wp:docPr id="277" name="Схема 27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6" r:lo="rId137" r:qs="rId138" r:cs="rId139"/>
              </a:graphicData>
            </a:graphic>
          </wp:inline>
        </w:drawing>
      </w:r>
    </w:p>
    <w:p w:rsidR="00A91269" w:rsidRDefault="00A91269" w:rsidP="00A91269">
      <w:pPr>
        <w:spacing w:after="0" w:line="240" w:lineRule="auto"/>
        <w:ind w:firstLine="709"/>
        <w:rPr>
          <w:i/>
          <w:sz w:val="24"/>
          <w:szCs w:val="28"/>
        </w:rPr>
      </w:pPr>
      <w:r w:rsidRPr="00EA75DA">
        <w:rPr>
          <w:i/>
          <w:sz w:val="24"/>
          <w:szCs w:val="28"/>
        </w:rPr>
        <w:t xml:space="preserve">Рисунок – </w:t>
      </w:r>
      <w:r w:rsidRPr="00942A67">
        <w:rPr>
          <w:i/>
          <w:sz w:val="24"/>
          <w:szCs w:val="28"/>
        </w:rPr>
        <w:t xml:space="preserve">Операторы, осуществляющие эксплуатацию объектов </w:t>
      </w:r>
    </w:p>
    <w:p w:rsidR="00A91269" w:rsidRDefault="00A91269" w:rsidP="00A91269">
      <w:pPr>
        <w:spacing w:after="80" w:line="240" w:lineRule="auto"/>
        <w:ind w:firstLine="709"/>
        <w:rPr>
          <w:i/>
          <w:sz w:val="24"/>
          <w:szCs w:val="28"/>
        </w:rPr>
      </w:pPr>
      <w:r w:rsidRPr="00942A67">
        <w:rPr>
          <w:i/>
          <w:sz w:val="24"/>
          <w:szCs w:val="28"/>
        </w:rPr>
        <w:t>обработки ТКО</w:t>
      </w:r>
    </w:p>
    <w:p w:rsidR="00A91269" w:rsidRPr="00FD016A" w:rsidRDefault="00A91269" w:rsidP="00A91269">
      <w:pPr>
        <w:spacing w:after="80" w:line="240" w:lineRule="auto"/>
        <w:ind w:firstLine="709"/>
        <w:rPr>
          <w:i/>
          <w:sz w:val="6"/>
          <w:szCs w:val="28"/>
        </w:rPr>
      </w:pPr>
    </w:p>
    <w:p w:rsidR="00A91269" w:rsidRDefault="00A91269" w:rsidP="00A91269">
      <w:pPr>
        <w:spacing w:before="80" w:after="80" w:line="240" w:lineRule="auto"/>
        <w:ind w:firstLine="709"/>
        <w:jc w:val="both"/>
        <w:rPr>
          <w:rFonts w:eastAsia="Times New Roman"/>
          <w:szCs w:val="28"/>
        </w:rPr>
      </w:pPr>
      <w:r>
        <w:rPr>
          <w:rFonts w:eastAsia="Times New Roman"/>
          <w:szCs w:val="28"/>
        </w:rPr>
        <w:t xml:space="preserve">Департаментом осуществлено государственное регулирование тарифов на обработку ТКО в отношении указанных операторов, осуществляющих деятельность по обработке ТКО на территории Новосибирской области. При этом МУП г. Новосибирска «Спецавтохозяйство» и ООО «Зевель», осуществляющие захоронение ТКО, осуществляют их обработку с </w:t>
      </w:r>
      <w:r>
        <w:rPr>
          <w:rFonts w:eastAsia="Times New Roman"/>
          <w:szCs w:val="28"/>
        </w:rPr>
        <w:lastRenderedPageBreak/>
        <w:t xml:space="preserve">использованием объектов обработки ТКО. С учетом положений пункта 6(1) Основ ценообразования тариф на обработку ТКО для указанных регулируемых организаций не устанавливается. Расходы на обработку ТКО учитывались департаментом при установлении им тарифов на захоронение ТКО. На рисунках </w:t>
      </w:r>
      <w:r w:rsidR="00467451">
        <w:rPr>
          <w:rFonts w:eastAsia="Times New Roman"/>
          <w:szCs w:val="28"/>
        </w:rPr>
        <w:t>ниже</w:t>
      </w:r>
      <w:r>
        <w:rPr>
          <w:rFonts w:eastAsia="Times New Roman"/>
          <w:szCs w:val="28"/>
        </w:rPr>
        <w:t xml:space="preserve"> представлены тарифы операторов, осуществляющих деятельность по обработке ТКО, и тарифы операторов, осуществляющих деятельность по захоронению ТКО с предварительной обработкой, соответственно. </w:t>
      </w:r>
    </w:p>
    <w:p w:rsidR="00A91269" w:rsidRDefault="00A91269" w:rsidP="00A91269">
      <w:pPr>
        <w:spacing w:after="0" w:line="240" w:lineRule="auto"/>
        <w:rPr>
          <w:szCs w:val="28"/>
        </w:rPr>
      </w:pPr>
      <w:r>
        <w:rPr>
          <w:noProof/>
          <w:szCs w:val="28"/>
        </w:rPr>
        <w:drawing>
          <wp:inline distT="0" distB="0" distL="0" distR="0" wp14:anchorId="2D2CC8EC" wp14:editId="2A24D23D">
            <wp:extent cx="5017477" cy="2294684"/>
            <wp:effectExtent l="0" t="0" r="0"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5056972" cy="2312747"/>
                    </a:xfrm>
                    <a:prstGeom prst="rect">
                      <a:avLst/>
                    </a:prstGeom>
                    <a:noFill/>
                  </pic:spPr>
                </pic:pic>
              </a:graphicData>
            </a:graphic>
          </wp:inline>
        </w:drawing>
      </w:r>
    </w:p>
    <w:p w:rsidR="00A91269" w:rsidRDefault="00A91269" w:rsidP="00A91269">
      <w:pPr>
        <w:spacing w:after="0" w:line="240" w:lineRule="auto"/>
        <w:ind w:firstLine="709"/>
        <w:rPr>
          <w:i/>
          <w:sz w:val="24"/>
          <w:szCs w:val="28"/>
        </w:rPr>
      </w:pPr>
      <w:r w:rsidRPr="00EA75DA">
        <w:rPr>
          <w:i/>
          <w:sz w:val="24"/>
          <w:szCs w:val="28"/>
        </w:rPr>
        <w:t xml:space="preserve">Рисунок  – </w:t>
      </w:r>
      <w:r>
        <w:rPr>
          <w:i/>
          <w:sz w:val="24"/>
          <w:szCs w:val="28"/>
        </w:rPr>
        <w:t xml:space="preserve">Тарифы операторов, осуществляющих деятельность </w:t>
      </w:r>
    </w:p>
    <w:p w:rsidR="00A91269" w:rsidRDefault="00A91269" w:rsidP="00A91269">
      <w:pPr>
        <w:spacing w:after="0" w:line="240" w:lineRule="auto"/>
        <w:ind w:firstLine="709"/>
        <w:rPr>
          <w:i/>
          <w:sz w:val="24"/>
          <w:szCs w:val="28"/>
        </w:rPr>
      </w:pPr>
      <w:r>
        <w:rPr>
          <w:i/>
          <w:sz w:val="24"/>
          <w:szCs w:val="28"/>
        </w:rPr>
        <w:t>по обработке ТКО (с НДС), руб./тонна</w:t>
      </w:r>
    </w:p>
    <w:p w:rsidR="00A91269" w:rsidRDefault="00A91269" w:rsidP="00A91269">
      <w:pPr>
        <w:spacing w:after="0" w:line="240" w:lineRule="auto"/>
        <w:rPr>
          <w:i/>
          <w:sz w:val="24"/>
          <w:szCs w:val="28"/>
        </w:rPr>
      </w:pPr>
      <w:r>
        <w:rPr>
          <w:i/>
          <w:noProof/>
          <w:sz w:val="24"/>
          <w:szCs w:val="28"/>
        </w:rPr>
        <w:drawing>
          <wp:inline distT="0" distB="0" distL="0" distR="0" wp14:anchorId="61A23318" wp14:editId="268EFDC1">
            <wp:extent cx="5228492" cy="2748372"/>
            <wp:effectExtent l="0" t="0" r="0" b="0"/>
            <wp:docPr id="27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5244756" cy="2756921"/>
                    </a:xfrm>
                    <a:prstGeom prst="rect">
                      <a:avLst/>
                    </a:prstGeom>
                    <a:noFill/>
                  </pic:spPr>
                </pic:pic>
              </a:graphicData>
            </a:graphic>
          </wp:inline>
        </w:drawing>
      </w:r>
    </w:p>
    <w:p w:rsidR="00A91269" w:rsidRDefault="00A91269" w:rsidP="00A91269">
      <w:pPr>
        <w:spacing w:after="0" w:line="240" w:lineRule="auto"/>
        <w:ind w:firstLine="709"/>
        <w:rPr>
          <w:i/>
          <w:sz w:val="24"/>
          <w:szCs w:val="28"/>
        </w:rPr>
      </w:pPr>
      <w:r w:rsidRPr="00EA75DA">
        <w:rPr>
          <w:i/>
          <w:sz w:val="24"/>
          <w:szCs w:val="28"/>
        </w:rPr>
        <w:t xml:space="preserve">Рисунок – </w:t>
      </w:r>
      <w:r>
        <w:rPr>
          <w:i/>
          <w:sz w:val="24"/>
          <w:szCs w:val="28"/>
        </w:rPr>
        <w:t xml:space="preserve">Тарифы операторов, осуществляющих деятельность </w:t>
      </w:r>
    </w:p>
    <w:p w:rsidR="00A91269" w:rsidRDefault="00A91269" w:rsidP="00A91269">
      <w:pPr>
        <w:spacing w:after="0" w:line="240" w:lineRule="auto"/>
        <w:ind w:firstLine="709"/>
        <w:rPr>
          <w:i/>
          <w:sz w:val="24"/>
          <w:szCs w:val="28"/>
        </w:rPr>
      </w:pPr>
      <w:r>
        <w:rPr>
          <w:i/>
          <w:sz w:val="24"/>
          <w:szCs w:val="28"/>
        </w:rPr>
        <w:t>по захоронению ТКО с предварительной обработкой (с НДС), руб./тонна</w:t>
      </w:r>
    </w:p>
    <w:p w:rsidR="00A91269" w:rsidRDefault="00A91269" w:rsidP="00A91269">
      <w:pPr>
        <w:spacing w:after="0" w:line="240" w:lineRule="auto"/>
        <w:ind w:firstLine="709"/>
        <w:jc w:val="both"/>
        <w:rPr>
          <w:rFonts w:eastAsia="Times New Roman"/>
          <w:szCs w:val="28"/>
        </w:rPr>
      </w:pPr>
    </w:p>
    <w:p w:rsidR="00A91269" w:rsidRDefault="00A91269" w:rsidP="00A91269">
      <w:pPr>
        <w:spacing w:after="0" w:line="240" w:lineRule="auto"/>
        <w:ind w:firstLine="709"/>
        <w:jc w:val="both"/>
        <w:rPr>
          <w:rFonts w:eastAsia="Times New Roman"/>
          <w:szCs w:val="28"/>
        </w:rPr>
      </w:pPr>
      <w:r>
        <w:rPr>
          <w:rFonts w:eastAsia="Times New Roman"/>
          <w:szCs w:val="28"/>
        </w:rPr>
        <w:t xml:space="preserve">На протяжении </w:t>
      </w:r>
      <w:r w:rsidRPr="007B07AA">
        <w:rPr>
          <w:rFonts w:eastAsia="Times New Roman"/>
          <w:i/>
          <w:iCs/>
          <w:szCs w:val="28"/>
        </w:rPr>
        <w:t>2024 года</w:t>
      </w:r>
      <w:r>
        <w:rPr>
          <w:rFonts w:eastAsia="Times New Roman"/>
          <w:szCs w:val="28"/>
        </w:rPr>
        <w:t xml:space="preserve"> департаментом:</w:t>
      </w:r>
    </w:p>
    <w:p w:rsidR="00467451" w:rsidRPr="00467451" w:rsidRDefault="00A91269" w:rsidP="00467451">
      <w:pPr>
        <w:pStyle w:val="ae"/>
        <w:numPr>
          <w:ilvl w:val="0"/>
          <w:numId w:val="4"/>
        </w:numPr>
        <w:spacing w:after="0" w:line="240" w:lineRule="auto"/>
        <w:ind w:left="1134" w:hanging="709"/>
        <w:jc w:val="both"/>
        <w:rPr>
          <w:rFonts w:ascii="Times New Roman" w:hAnsi="Times New Roman"/>
          <w:sz w:val="28"/>
          <w:szCs w:val="28"/>
        </w:rPr>
      </w:pPr>
      <w:r w:rsidRPr="00467451">
        <w:rPr>
          <w:rFonts w:ascii="Times New Roman" w:hAnsi="Times New Roman"/>
          <w:sz w:val="28"/>
          <w:szCs w:val="28"/>
        </w:rPr>
        <w:t xml:space="preserve">В отношении 10 регулируемых организаций в области обращения с ТКО осуществлена </w:t>
      </w:r>
      <w:r w:rsidR="00467451" w:rsidRPr="00467451">
        <w:rPr>
          <w:rFonts w:ascii="Times New Roman" w:hAnsi="Times New Roman"/>
          <w:sz w:val="28"/>
          <w:szCs w:val="28"/>
        </w:rPr>
        <w:t xml:space="preserve">проведена экспертиза </w:t>
      </w:r>
      <w:r w:rsidR="00467451" w:rsidRPr="00467451">
        <w:rPr>
          <w:rFonts w:ascii="Times New Roman" w:hAnsi="Times New Roman"/>
          <w:i/>
          <w:sz w:val="28"/>
          <w:szCs w:val="28"/>
        </w:rPr>
        <w:t>3 предложений</w:t>
      </w:r>
      <w:r w:rsidR="00467451" w:rsidRPr="00467451">
        <w:rPr>
          <w:rFonts w:ascii="Times New Roman" w:hAnsi="Times New Roman"/>
          <w:sz w:val="28"/>
          <w:szCs w:val="28"/>
        </w:rPr>
        <w:t xml:space="preserve"> регулируемых организаций об установлении тарифов на захоронение ТКО в части обоснованности расходов, учтенных при расчете тарифов, корректности определения параметров расчета тарифов, результаты которой отражены в экспертных заключениях;</w:t>
      </w:r>
    </w:p>
    <w:p w:rsidR="00467451" w:rsidRPr="00467451" w:rsidRDefault="00467451" w:rsidP="00467451">
      <w:pPr>
        <w:pStyle w:val="ae"/>
        <w:numPr>
          <w:ilvl w:val="0"/>
          <w:numId w:val="4"/>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lastRenderedPageBreak/>
        <w:t xml:space="preserve">утверждены </w:t>
      </w:r>
      <w:r w:rsidRPr="00467451">
        <w:rPr>
          <w:rFonts w:ascii="Times New Roman" w:hAnsi="Times New Roman"/>
          <w:i/>
          <w:sz w:val="28"/>
          <w:szCs w:val="28"/>
        </w:rPr>
        <w:t>3 производственные программы</w:t>
      </w:r>
      <w:r w:rsidRPr="00467451">
        <w:rPr>
          <w:rFonts w:ascii="Times New Roman" w:hAnsi="Times New Roman"/>
          <w:sz w:val="28"/>
          <w:szCs w:val="28"/>
        </w:rPr>
        <w:t xml:space="preserve"> в области обращения с ТКО операторам, осуществляющим деятельность по захоронению ТКО;</w:t>
      </w:r>
    </w:p>
    <w:p w:rsidR="00467451" w:rsidRPr="00467451" w:rsidRDefault="00467451" w:rsidP="00467451">
      <w:pPr>
        <w:pStyle w:val="ae"/>
        <w:numPr>
          <w:ilvl w:val="0"/>
          <w:numId w:val="4"/>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установлены предельные тарифы на захоронение ТКО для </w:t>
      </w:r>
      <w:r w:rsidRPr="00467451">
        <w:rPr>
          <w:rFonts w:ascii="Times New Roman" w:hAnsi="Times New Roman"/>
          <w:i/>
          <w:sz w:val="28"/>
          <w:szCs w:val="28"/>
        </w:rPr>
        <w:t>3 операторов</w:t>
      </w:r>
      <w:r w:rsidRPr="00467451">
        <w:rPr>
          <w:rFonts w:ascii="Times New Roman" w:hAnsi="Times New Roman"/>
          <w:sz w:val="28"/>
          <w:szCs w:val="28"/>
        </w:rPr>
        <w:t>, осуществляющих деятельность по захоронению ТКО, с использованием метода экономически обоснованных расходов (затрат) в соответствии с пунктом 28 Основ ценообразования.</w:t>
      </w:r>
    </w:p>
    <w:p w:rsidR="00467451" w:rsidRPr="00467451" w:rsidRDefault="00467451" w:rsidP="00467451">
      <w:pPr>
        <w:pStyle w:val="ae"/>
        <w:spacing w:line="240" w:lineRule="auto"/>
        <w:ind w:left="0" w:firstLine="709"/>
        <w:jc w:val="both"/>
        <w:rPr>
          <w:rFonts w:ascii="Times New Roman" w:hAnsi="Times New Roman"/>
          <w:sz w:val="28"/>
          <w:szCs w:val="28"/>
        </w:rPr>
      </w:pPr>
      <w:r w:rsidRPr="00467451">
        <w:rPr>
          <w:rFonts w:ascii="Times New Roman" w:hAnsi="Times New Roman"/>
          <w:sz w:val="28"/>
          <w:szCs w:val="28"/>
        </w:rPr>
        <w:t xml:space="preserve">В рамках тарифной компании </w:t>
      </w:r>
      <w:r w:rsidRPr="00467451">
        <w:rPr>
          <w:rFonts w:ascii="Times New Roman" w:hAnsi="Times New Roman"/>
          <w:i/>
          <w:iCs/>
          <w:sz w:val="28"/>
          <w:szCs w:val="28"/>
        </w:rPr>
        <w:t>2025 года</w:t>
      </w:r>
      <w:r w:rsidRPr="00467451">
        <w:rPr>
          <w:rFonts w:ascii="Times New Roman" w:hAnsi="Times New Roman"/>
          <w:sz w:val="28"/>
          <w:szCs w:val="28"/>
        </w:rPr>
        <w:t xml:space="preserve"> департаментом:</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проведена экспертиза </w:t>
      </w:r>
      <w:r w:rsidRPr="00467451">
        <w:rPr>
          <w:rFonts w:ascii="Times New Roman" w:hAnsi="Times New Roman"/>
          <w:i/>
          <w:sz w:val="28"/>
          <w:szCs w:val="28"/>
        </w:rPr>
        <w:t>15 предложений</w:t>
      </w:r>
      <w:r w:rsidRPr="00467451">
        <w:rPr>
          <w:rFonts w:ascii="Times New Roman" w:hAnsi="Times New Roman"/>
          <w:sz w:val="28"/>
          <w:szCs w:val="28"/>
        </w:rPr>
        <w:t xml:space="preserve"> регулируемых организаций об установлении тарифов на захоронение и обработку ТКО в части обоснованности расходов, учтенных при расчете тарифов, корректности определения параметров расчета тарифов, результаты которой отражены в экспертных заключениях;</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утверждены </w:t>
      </w:r>
      <w:r w:rsidRPr="00467451">
        <w:rPr>
          <w:rFonts w:ascii="Times New Roman" w:hAnsi="Times New Roman"/>
          <w:i/>
          <w:sz w:val="28"/>
          <w:szCs w:val="28"/>
        </w:rPr>
        <w:t>4 производственные программы</w:t>
      </w:r>
      <w:r w:rsidRPr="00467451">
        <w:rPr>
          <w:rFonts w:ascii="Times New Roman" w:hAnsi="Times New Roman"/>
          <w:sz w:val="28"/>
          <w:szCs w:val="28"/>
        </w:rPr>
        <w:t xml:space="preserve"> в области обращения с ТКО операторам, осуществляющим деятельность по захоронению ТКО;</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утверждена </w:t>
      </w:r>
      <w:r w:rsidRPr="00467451">
        <w:rPr>
          <w:rFonts w:ascii="Times New Roman" w:hAnsi="Times New Roman"/>
          <w:i/>
          <w:sz w:val="28"/>
          <w:szCs w:val="28"/>
        </w:rPr>
        <w:t>1 производственная программа</w:t>
      </w:r>
      <w:r w:rsidRPr="00467451">
        <w:rPr>
          <w:rFonts w:ascii="Times New Roman" w:hAnsi="Times New Roman"/>
          <w:sz w:val="28"/>
          <w:szCs w:val="28"/>
        </w:rPr>
        <w:t xml:space="preserve"> в области обращения с ТКО оператору, осуществляющему деятельность по обработке ТКО;</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установлены долгосрочные параметры регулирования и предельные тарифы на захоронение ТКО для </w:t>
      </w:r>
      <w:r w:rsidRPr="00467451">
        <w:rPr>
          <w:rFonts w:ascii="Times New Roman" w:hAnsi="Times New Roman"/>
          <w:i/>
          <w:sz w:val="28"/>
          <w:szCs w:val="28"/>
        </w:rPr>
        <w:t>4 операторов</w:t>
      </w:r>
      <w:r w:rsidRPr="00467451">
        <w:rPr>
          <w:rFonts w:ascii="Times New Roman" w:hAnsi="Times New Roman"/>
          <w:sz w:val="28"/>
          <w:szCs w:val="28"/>
        </w:rPr>
        <w:t>, осуществляющих деятельность по захоронению ТКО;</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установлены долгосрочные параметры регулирования и предельные тарифы на обработку ТКО для </w:t>
      </w:r>
      <w:r w:rsidRPr="00467451">
        <w:rPr>
          <w:rFonts w:ascii="Times New Roman" w:hAnsi="Times New Roman"/>
          <w:i/>
          <w:sz w:val="28"/>
          <w:szCs w:val="28"/>
        </w:rPr>
        <w:t>1 оператора</w:t>
      </w:r>
      <w:r w:rsidRPr="00467451">
        <w:rPr>
          <w:rFonts w:ascii="Times New Roman" w:hAnsi="Times New Roman"/>
          <w:sz w:val="28"/>
          <w:szCs w:val="28"/>
        </w:rPr>
        <w:t>, осуществляющего деятельность по обработке ТКО;</w:t>
      </w:r>
    </w:p>
    <w:p w:rsidR="00467451" w:rsidRPr="00467451" w:rsidRDefault="00467451" w:rsidP="00467451">
      <w:pPr>
        <w:pStyle w:val="ae"/>
        <w:numPr>
          <w:ilvl w:val="0"/>
          <w:numId w:val="5"/>
        </w:numPr>
        <w:spacing w:after="0" w:line="240" w:lineRule="auto"/>
        <w:ind w:left="1134" w:hanging="708"/>
        <w:jc w:val="both"/>
        <w:rPr>
          <w:rFonts w:ascii="Times New Roman" w:hAnsi="Times New Roman"/>
          <w:sz w:val="28"/>
          <w:szCs w:val="28"/>
        </w:rPr>
      </w:pPr>
      <w:r w:rsidRPr="00467451">
        <w:rPr>
          <w:rFonts w:ascii="Times New Roman" w:hAnsi="Times New Roman"/>
          <w:sz w:val="28"/>
          <w:szCs w:val="28"/>
        </w:rPr>
        <w:t xml:space="preserve">скорректированы предельные тарифы на захоронение ТКО для </w:t>
      </w:r>
      <w:r w:rsidRPr="00467451">
        <w:rPr>
          <w:rFonts w:ascii="Times New Roman" w:hAnsi="Times New Roman"/>
          <w:i/>
          <w:sz w:val="28"/>
          <w:szCs w:val="28"/>
        </w:rPr>
        <w:t>10 операторов</w:t>
      </w:r>
      <w:r w:rsidRPr="00467451">
        <w:rPr>
          <w:rFonts w:ascii="Times New Roman" w:hAnsi="Times New Roman"/>
          <w:sz w:val="28"/>
          <w:szCs w:val="28"/>
        </w:rPr>
        <w:t xml:space="preserve">, осуществляющих деятельность по захоронению ТКО. </w:t>
      </w:r>
    </w:p>
    <w:p w:rsidR="00467451" w:rsidRDefault="00467451" w:rsidP="00467451">
      <w:pPr>
        <w:pStyle w:val="ae"/>
        <w:spacing w:line="240" w:lineRule="auto"/>
        <w:ind w:left="0" w:firstLine="709"/>
        <w:jc w:val="both"/>
        <w:rPr>
          <w:rFonts w:ascii="Times New Roman" w:hAnsi="Times New Roman"/>
          <w:sz w:val="28"/>
          <w:szCs w:val="28"/>
        </w:rPr>
      </w:pPr>
      <w:r w:rsidRPr="00467451">
        <w:rPr>
          <w:rFonts w:ascii="Times New Roman" w:hAnsi="Times New Roman"/>
          <w:sz w:val="28"/>
          <w:szCs w:val="28"/>
        </w:rPr>
        <w:t>Формирование тарифов в области обращения с ТКО на долгосрочные периоды регулирования для 5 организаций осуществлено департаментом методом индексации в соответствии с положениями раздела VII Основ ценообразования с учетом изменения макроэкономических показателей (прогнозные значения индексов изменения потребительских цен и индексов цен производителей), определенных Прогнозом</w:t>
      </w:r>
      <w:r>
        <w:rPr>
          <w:rFonts w:ascii="Times New Roman" w:hAnsi="Times New Roman"/>
          <w:sz w:val="28"/>
          <w:szCs w:val="28"/>
        </w:rPr>
        <w:t xml:space="preserve"> СЭР РФ</w:t>
      </w:r>
      <w:r w:rsidRPr="00467451">
        <w:rPr>
          <w:rFonts w:ascii="Times New Roman" w:hAnsi="Times New Roman"/>
          <w:sz w:val="28"/>
          <w:szCs w:val="28"/>
        </w:rPr>
        <w:t xml:space="preserve">. </w:t>
      </w:r>
    </w:p>
    <w:p w:rsidR="00A91269" w:rsidRPr="00467451" w:rsidRDefault="00467451" w:rsidP="00467451">
      <w:pPr>
        <w:pStyle w:val="ae"/>
        <w:spacing w:line="240" w:lineRule="auto"/>
        <w:ind w:left="0" w:firstLine="709"/>
        <w:jc w:val="both"/>
        <w:rPr>
          <w:rFonts w:ascii="Times New Roman" w:hAnsi="Times New Roman"/>
          <w:sz w:val="28"/>
          <w:szCs w:val="28"/>
        </w:rPr>
      </w:pPr>
      <w:r>
        <w:rPr>
          <w:rFonts w:ascii="Times New Roman" w:hAnsi="Times New Roman"/>
          <w:sz w:val="28"/>
          <w:szCs w:val="28"/>
        </w:rPr>
        <w:t>К</w:t>
      </w:r>
      <w:r w:rsidR="00A91269" w:rsidRPr="00467451">
        <w:rPr>
          <w:rFonts w:ascii="Times New Roman" w:hAnsi="Times New Roman"/>
          <w:sz w:val="28"/>
          <w:szCs w:val="28"/>
        </w:rPr>
        <w:t xml:space="preserve">орректировка НВВ в соответствии с формулой пункта 45 Методических указаний по расчету регулируемых тарифов в области обращения с твердыми коммунальными отходами, утвержденных приказом Федеральной антимонопольной службы от 21.11.2016 №1638/16 (далее – Методические указания), включающей скорректированные операционные (подконтрольные) расходы, неподконтрольные расходы, расходы на приобретение энергетических ресурсов, расходы на амортизацию основных средств и нематериальных активов, предпринимательскую прибыль, нормативную прибыль. Корректировка тарифов на 2025 год произведена с использованием показателей Прогноза </w:t>
      </w:r>
      <w:r>
        <w:rPr>
          <w:rFonts w:ascii="Times New Roman" w:hAnsi="Times New Roman"/>
          <w:sz w:val="28"/>
          <w:szCs w:val="28"/>
        </w:rPr>
        <w:t>СЭР РФ</w:t>
      </w:r>
      <w:r w:rsidR="00A91269" w:rsidRPr="00467451">
        <w:rPr>
          <w:rFonts w:ascii="Times New Roman" w:hAnsi="Times New Roman"/>
          <w:sz w:val="28"/>
          <w:szCs w:val="28"/>
        </w:rPr>
        <w:t>.</w:t>
      </w:r>
    </w:p>
    <w:p w:rsidR="00A91269" w:rsidRDefault="00A91269" w:rsidP="00A91269">
      <w:pPr>
        <w:spacing w:after="0" w:line="240" w:lineRule="auto"/>
        <w:ind w:firstLine="709"/>
        <w:jc w:val="both"/>
        <w:rPr>
          <w:szCs w:val="28"/>
        </w:rPr>
      </w:pPr>
      <w:r>
        <w:rPr>
          <w:szCs w:val="28"/>
        </w:rPr>
        <w:lastRenderedPageBreak/>
        <w:t>В 2024 году в департамент представлены на рассмотрение проекты инвестиционных программ в области обращения с ТКО ООО «Зевель» на 2025-2032 годы по строительству полигона ТКО в г. Черепаново Черепановского района Новосибирской области (далее – инвестиционная программа).</w:t>
      </w:r>
    </w:p>
    <w:p w:rsidR="00A91269" w:rsidRDefault="00A91269" w:rsidP="00A91269">
      <w:pPr>
        <w:spacing w:after="0" w:line="240" w:lineRule="auto"/>
        <w:ind w:firstLine="709"/>
        <w:jc w:val="both"/>
        <w:rPr>
          <w:szCs w:val="28"/>
        </w:rPr>
      </w:pPr>
      <w:r>
        <w:rPr>
          <w:szCs w:val="28"/>
        </w:rPr>
        <w:t>Руководствуясь положениями пунктов 14,16 Правил</w:t>
      </w:r>
      <w:r w:rsidRPr="00DD0A08">
        <w:rPr>
          <w:szCs w:val="28"/>
        </w:rPr>
        <w:t xml:space="preserve"> разработки, утверждения и корректировки </w:t>
      </w:r>
      <w:bookmarkStart w:id="113" w:name="_Hlk192444898"/>
      <w:r w:rsidRPr="00DD0A08">
        <w:rPr>
          <w:szCs w:val="28"/>
        </w:rPr>
        <w:t xml:space="preserve">инвестиционных программ в области обращения с </w:t>
      </w:r>
      <w:bookmarkEnd w:id="113"/>
      <w:r w:rsidRPr="00DD0A08">
        <w:rPr>
          <w:szCs w:val="28"/>
        </w:rPr>
        <w:t>твердыми коммунальными отходами, а также осуществления контроля за их реализацией</w:t>
      </w:r>
      <w:r>
        <w:rPr>
          <w:szCs w:val="28"/>
        </w:rPr>
        <w:t xml:space="preserve">, утвержденных </w:t>
      </w:r>
      <w:r w:rsidR="00E614EF">
        <w:rPr>
          <w:szCs w:val="28"/>
        </w:rPr>
        <w:t>п</w:t>
      </w:r>
      <w:r>
        <w:rPr>
          <w:szCs w:val="28"/>
        </w:rPr>
        <w:t>остановлением Правительства РФ от 16.05.2016 № 424, департамент отказал ООО «Зевель» в утверждении представленных проектов инвестиционных программ.</w:t>
      </w:r>
    </w:p>
    <w:p w:rsidR="00A91269" w:rsidRDefault="00A91269" w:rsidP="00A91269">
      <w:pPr>
        <w:spacing w:after="0" w:line="240" w:lineRule="auto"/>
        <w:ind w:firstLine="709"/>
        <w:jc w:val="both"/>
        <w:rPr>
          <w:rFonts w:eastAsia="Times New Roman"/>
          <w:szCs w:val="28"/>
        </w:rPr>
      </w:pPr>
      <w:r>
        <w:rPr>
          <w:rFonts w:eastAsia="Times New Roman"/>
          <w:szCs w:val="28"/>
        </w:rPr>
        <w:t>Средства на реализацию инвестиционных программ не предусмотрены при установлении предельного единого тарифа на услугу регионального оператора по обращению с ТКО.</w:t>
      </w:r>
    </w:p>
    <w:p w:rsidR="00A91269" w:rsidRPr="00DB3707" w:rsidRDefault="00A91269" w:rsidP="00A91269">
      <w:pPr>
        <w:widowControl w:val="0"/>
        <w:autoSpaceDE w:val="0"/>
        <w:autoSpaceDN w:val="0"/>
        <w:adjustRightInd w:val="0"/>
        <w:spacing w:after="0" w:line="240" w:lineRule="auto"/>
        <w:ind w:firstLine="709"/>
        <w:jc w:val="both"/>
        <w:rPr>
          <w:szCs w:val="28"/>
        </w:rPr>
      </w:pPr>
      <w:r w:rsidRPr="00DB3707">
        <w:rPr>
          <w:szCs w:val="28"/>
        </w:rPr>
        <w:t>Разделом XI Основ ценообразования и разделом VI Методических указаний предусмотрены особенности формирования единого тарифа на услугу регионального оператора по обращению с ТКО.</w:t>
      </w:r>
    </w:p>
    <w:p w:rsidR="00A91269" w:rsidRPr="00E614EF" w:rsidRDefault="00A91269" w:rsidP="00E614EF">
      <w:pPr>
        <w:pStyle w:val="ae"/>
        <w:spacing w:after="0" w:line="240" w:lineRule="auto"/>
        <w:ind w:left="0" w:firstLine="709"/>
        <w:jc w:val="both"/>
        <w:rPr>
          <w:rFonts w:ascii="Times New Roman" w:hAnsi="Times New Roman"/>
          <w:sz w:val="28"/>
          <w:szCs w:val="28"/>
        </w:rPr>
      </w:pPr>
      <w:r w:rsidRPr="00E614EF">
        <w:rPr>
          <w:rFonts w:ascii="Times New Roman" w:hAnsi="Times New Roman"/>
          <w:sz w:val="28"/>
          <w:szCs w:val="28"/>
        </w:rPr>
        <w:t xml:space="preserve">В соответствии с разделом XVI Территориальной схемы территория Новосибирской области определена как единая зона деятельности регионального оператора. </w:t>
      </w:r>
    </w:p>
    <w:p w:rsidR="00A91269" w:rsidRPr="00827272" w:rsidRDefault="00A91269" w:rsidP="00E614EF">
      <w:pPr>
        <w:spacing w:after="0" w:line="240" w:lineRule="auto"/>
        <w:ind w:firstLine="709"/>
        <w:jc w:val="both"/>
        <w:rPr>
          <w:szCs w:val="28"/>
          <w:highlight w:val="yellow"/>
        </w:rPr>
      </w:pPr>
      <w:r w:rsidRPr="00E614EF">
        <w:rPr>
          <w:szCs w:val="28"/>
        </w:rPr>
        <w:t>МУП г. Новосибирска «Спецавтохозяйство</w:t>
      </w:r>
      <w:r w:rsidRPr="0028279C">
        <w:rPr>
          <w:szCs w:val="28"/>
        </w:rPr>
        <w:t>»</w:t>
      </w:r>
      <w:r>
        <w:rPr>
          <w:szCs w:val="28"/>
        </w:rPr>
        <w:t xml:space="preserve"> (далее – МУП «САХ») в 2024 </w:t>
      </w:r>
      <w:r w:rsidRPr="0028279C">
        <w:rPr>
          <w:szCs w:val="28"/>
        </w:rPr>
        <w:t xml:space="preserve">году по результатам конкурсного отбора (протокол подведения итогов на участие в конкурсном отборе регионального оператора по обращению с твердыми коммунальными отходами на территории Новосибирской области от 10.01.2024) наделено статусом регионального оператора по обращению с ТКО на территории Новосибирской области. </w:t>
      </w:r>
    </w:p>
    <w:p w:rsidR="00A91269" w:rsidRPr="0028279C" w:rsidRDefault="00A91269" w:rsidP="00A91269">
      <w:pPr>
        <w:spacing w:after="0" w:line="240" w:lineRule="auto"/>
        <w:ind w:firstLine="709"/>
        <w:jc w:val="both"/>
        <w:rPr>
          <w:szCs w:val="28"/>
        </w:rPr>
      </w:pPr>
      <w:r w:rsidRPr="0028279C">
        <w:rPr>
          <w:szCs w:val="28"/>
        </w:rPr>
        <w:t xml:space="preserve">Между </w:t>
      </w:r>
      <w:r>
        <w:rPr>
          <w:szCs w:val="28"/>
        </w:rPr>
        <w:t>м</w:t>
      </w:r>
      <w:r w:rsidRPr="0028279C">
        <w:rPr>
          <w:szCs w:val="28"/>
        </w:rPr>
        <w:t xml:space="preserve">инистерством жилищно-коммунального хозяйства и энергетики Новосибирской области и </w:t>
      </w:r>
      <w:r>
        <w:rPr>
          <w:szCs w:val="28"/>
        </w:rPr>
        <w:t>МУП</w:t>
      </w:r>
      <w:r w:rsidRPr="0028279C">
        <w:rPr>
          <w:szCs w:val="28"/>
        </w:rPr>
        <w:t xml:space="preserve"> «С</w:t>
      </w:r>
      <w:r>
        <w:rPr>
          <w:szCs w:val="28"/>
        </w:rPr>
        <w:t>АХ</w:t>
      </w:r>
      <w:r w:rsidRPr="0028279C">
        <w:rPr>
          <w:szCs w:val="28"/>
        </w:rPr>
        <w:t xml:space="preserve">» (ОГРН 1025401312287, ИНН </w:t>
      </w:r>
      <w:r>
        <w:rPr>
          <w:szCs w:val="28"/>
        </w:rPr>
        <w:t>5403103135</w:t>
      </w:r>
      <w:r w:rsidRPr="0028279C">
        <w:rPr>
          <w:szCs w:val="28"/>
        </w:rPr>
        <w:t>) 30.01.2024 заключено соглашение об организации деятельности по обращению с ТКО на территории Новосибирской области (далее</w:t>
      </w:r>
      <w:r>
        <w:rPr>
          <w:szCs w:val="28"/>
        </w:rPr>
        <w:t> </w:t>
      </w:r>
      <w:r w:rsidRPr="0028279C">
        <w:rPr>
          <w:szCs w:val="28"/>
        </w:rPr>
        <w:t>–</w:t>
      </w:r>
      <w:r>
        <w:rPr>
          <w:szCs w:val="28"/>
        </w:rPr>
        <w:t> </w:t>
      </w:r>
      <w:r w:rsidRPr="0028279C">
        <w:rPr>
          <w:szCs w:val="28"/>
        </w:rPr>
        <w:t>Соглашение).</w:t>
      </w:r>
    </w:p>
    <w:p w:rsidR="00A91269" w:rsidRDefault="00A91269" w:rsidP="00A91269">
      <w:pPr>
        <w:spacing w:after="0" w:line="240" w:lineRule="auto"/>
        <w:ind w:firstLine="709"/>
        <w:jc w:val="both"/>
        <w:rPr>
          <w:rFonts w:eastAsia="Times New Roman"/>
        </w:rPr>
      </w:pPr>
      <w:r>
        <w:rPr>
          <w:rFonts w:eastAsia="Times New Roman"/>
        </w:rPr>
        <w:t>Предметом Соглашения является обеспечение региональным оператором деятельности по обращению с ТКО на территории Новосибирской области, включающей в себя сбор, в том числе раздельный сбор, транспортирование, обработку, утилизацию, обезвреживание, захоронение ТКО самостоятельно или с привлечением операторов по обращению с ТКО.</w:t>
      </w:r>
    </w:p>
    <w:p w:rsidR="00A91269" w:rsidRDefault="00A91269" w:rsidP="00A91269">
      <w:pPr>
        <w:spacing w:after="0" w:line="240" w:lineRule="auto"/>
        <w:ind w:firstLine="709"/>
        <w:jc w:val="both"/>
        <w:rPr>
          <w:rFonts w:eastAsia="Times New Roman"/>
        </w:rPr>
      </w:pPr>
      <w:r>
        <w:rPr>
          <w:rFonts w:eastAsia="Times New Roman"/>
        </w:rPr>
        <w:t>Деятельность МУП «САХ» на территории Новосибирской области, определенная Соглашением, началась с 12 февраля 2024 года и будет осуществляться в течение 7 лет с указанной даты.</w:t>
      </w:r>
    </w:p>
    <w:p w:rsidR="00A91269" w:rsidRDefault="00A91269" w:rsidP="00A91269">
      <w:pPr>
        <w:spacing w:after="0" w:line="240" w:lineRule="auto"/>
        <w:ind w:firstLine="709"/>
        <w:jc w:val="both"/>
        <w:rPr>
          <w:rFonts w:eastAsia="Times New Roman"/>
        </w:rPr>
      </w:pPr>
      <w:r>
        <w:rPr>
          <w:rFonts w:eastAsia="Times New Roman"/>
        </w:rPr>
        <w:t xml:space="preserve">Приказом департамента от 23.07.2024 № 163-ЖКХ/НПА установлены МУП «САХ» предельные единые тарифы на услугу регионального оператора по обращению с ТКО на территории Новосибирской области на период регулирования 2024-2031 годов. </w:t>
      </w:r>
    </w:p>
    <w:p w:rsidR="00A91269" w:rsidRPr="003E446E" w:rsidRDefault="00A91269" w:rsidP="003E446E">
      <w:pPr>
        <w:spacing w:after="0" w:line="240" w:lineRule="auto"/>
        <w:ind w:firstLine="709"/>
        <w:jc w:val="both"/>
        <w:rPr>
          <w:rFonts w:eastAsia="Times New Roman"/>
        </w:rPr>
      </w:pPr>
      <w:r w:rsidRPr="003E446E">
        <w:rPr>
          <w:rFonts w:eastAsia="Times New Roman"/>
        </w:rPr>
        <w:lastRenderedPageBreak/>
        <w:t>Приказом департамента от 12.12.2024 № 376-ЖКХ/НПА на 2025 год скорректированы предельные единые тарифы на услугу регионального оператора по обращению с ТКО на территории Новосибирской области, установленных на период регулирования 2024-2031 годов для МУП «САХ».</w:t>
      </w:r>
    </w:p>
    <w:p w:rsidR="00A91269" w:rsidRPr="003E446E" w:rsidRDefault="00A91269" w:rsidP="003E446E">
      <w:pPr>
        <w:spacing w:after="0" w:line="240" w:lineRule="auto"/>
        <w:ind w:firstLine="709"/>
        <w:jc w:val="both"/>
        <w:rPr>
          <w:rFonts w:eastAsia="Times New Roman"/>
        </w:rPr>
      </w:pPr>
      <w:r w:rsidRPr="003E446E">
        <w:rPr>
          <w:rFonts w:eastAsia="Times New Roman"/>
        </w:rPr>
        <w:t>В соответствии с пунктом 16 Правил регулирование единых тарифов на услугу регионального оператора по обращению с ТКО, в том числе единых тарифов на услугу регионального оператора по обращению с ТКО, устанавливаемых на долгосрочный период регулирования, осуществляется в соответствии с особенностями, предусмотренными пунктами 89 - 92 Основ ценообразования и Методическими указаниями.</w:t>
      </w:r>
    </w:p>
    <w:p w:rsidR="00A91269" w:rsidRPr="00C85F74" w:rsidRDefault="00A91269" w:rsidP="00A91269">
      <w:pPr>
        <w:spacing w:after="0" w:line="240" w:lineRule="auto"/>
        <w:ind w:firstLine="709"/>
        <w:jc w:val="both"/>
        <w:rPr>
          <w:rFonts w:eastAsia="Times New Roman"/>
        </w:rPr>
      </w:pPr>
      <w:r>
        <w:rPr>
          <w:rFonts w:eastAsia="Times New Roman"/>
        </w:rPr>
        <w:t xml:space="preserve">В 2024 году департаментом осуществлялось впервые </w:t>
      </w:r>
      <w:r w:rsidRPr="00112ECD">
        <w:rPr>
          <w:rFonts w:eastAsia="Times New Roman"/>
        </w:rPr>
        <w:t xml:space="preserve">государственное регулирование тарифов </w:t>
      </w:r>
      <w:r>
        <w:rPr>
          <w:rFonts w:eastAsia="Times New Roman"/>
        </w:rPr>
        <w:t>на услугу регионального оператора в</w:t>
      </w:r>
      <w:r w:rsidRPr="00112ECD">
        <w:rPr>
          <w:rFonts w:eastAsia="Times New Roman"/>
        </w:rPr>
        <w:t xml:space="preserve"> отношении </w:t>
      </w:r>
      <w:r>
        <w:rPr>
          <w:rFonts w:eastAsia="Times New Roman"/>
        </w:rPr>
        <w:t>МУП </w:t>
      </w:r>
      <w:r w:rsidRPr="00112ECD">
        <w:rPr>
          <w:rFonts w:eastAsia="Times New Roman"/>
        </w:rPr>
        <w:t>«</w:t>
      </w:r>
      <w:r>
        <w:rPr>
          <w:rFonts w:eastAsia="Times New Roman"/>
        </w:rPr>
        <w:t>САХ</w:t>
      </w:r>
      <w:r w:rsidRPr="00112ECD">
        <w:rPr>
          <w:rFonts w:eastAsia="Times New Roman"/>
        </w:rPr>
        <w:t>»</w:t>
      </w:r>
      <w:r>
        <w:rPr>
          <w:rFonts w:eastAsia="Times New Roman"/>
        </w:rPr>
        <w:t>, представившего 27.05.2024 в департамент предложение об </w:t>
      </w:r>
      <w:r w:rsidRPr="00392B4F">
        <w:rPr>
          <w:rFonts w:eastAsia="Times New Roman"/>
        </w:rPr>
        <w:t>установлении тарифов на 2024 год</w:t>
      </w:r>
      <w:r>
        <w:rPr>
          <w:rFonts w:eastAsia="Times New Roman"/>
        </w:rPr>
        <w:t xml:space="preserve"> </w:t>
      </w:r>
      <w:r w:rsidRPr="00392B4F">
        <w:rPr>
          <w:rFonts w:eastAsia="Times New Roman"/>
        </w:rPr>
        <w:t>с</w:t>
      </w:r>
      <w:r>
        <w:rPr>
          <w:rFonts w:eastAsia="Times New Roman"/>
        </w:rPr>
        <w:t xml:space="preserve"> </w:t>
      </w:r>
      <w:r w:rsidRPr="00392B4F">
        <w:rPr>
          <w:rFonts w:eastAsia="Times New Roman"/>
        </w:rPr>
        <w:t>обосновывающими материалами.</w:t>
      </w:r>
    </w:p>
    <w:p w:rsidR="00A91269" w:rsidRDefault="00A91269" w:rsidP="00A91269">
      <w:pPr>
        <w:autoSpaceDE w:val="0"/>
        <w:autoSpaceDN w:val="0"/>
        <w:adjustRightInd w:val="0"/>
        <w:spacing w:after="0" w:line="240" w:lineRule="auto"/>
        <w:ind w:firstLine="709"/>
        <w:jc w:val="both"/>
        <w:rPr>
          <w:szCs w:val="28"/>
        </w:rPr>
      </w:pPr>
      <w:r>
        <w:rPr>
          <w:szCs w:val="28"/>
        </w:rPr>
        <w:t xml:space="preserve">При установке </w:t>
      </w:r>
      <w:r w:rsidRPr="00EC69D6">
        <w:rPr>
          <w:szCs w:val="28"/>
        </w:rPr>
        <w:t>предельны</w:t>
      </w:r>
      <w:r>
        <w:rPr>
          <w:szCs w:val="28"/>
        </w:rPr>
        <w:t>х</w:t>
      </w:r>
      <w:r w:rsidRPr="00EC69D6">
        <w:rPr>
          <w:szCs w:val="28"/>
        </w:rPr>
        <w:t xml:space="preserve"> едины</w:t>
      </w:r>
      <w:r>
        <w:rPr>
          <w:szCs w:val="28"/>
        </w:rPr>
        <w:t>х</w:t>
      </w:r>
      <w:r w:rsidRPr="00EC69D6">
        <w:rPr>
          <w:szCs w:val="28"/>
        </w:rPr>
        <w:t xml:space="preserve"> тари</w:t>
      </w:r>
      <w:r>
        <w:rPr>
          <w:szCs w:val="28"/>
        </w:rPr>
        <w:t>фов</w:t>
      </w:r>
      <w:r w:rsidRPr="00EC69D6">
        <w:rPr>
          <w:szCs w:val="28"/>
        </w:rPr>
        <w:t xml:space="preserve"> на услугу регионального оператора по обращению с ТКО на территории Новосибирской области на период регулирования 2024-2031 годов</w:t>
      </w:r>
      <w:r>
        <w:rPr>
          <w:szCs w:val="28"/>
        </w:rPr>
        <w:t xml:space="preserve"> расчетный объем ТКО определен департаментом исходя из данных Территориальной схемы и составил </w:t>
      </w:r>
      <w:r w:rsidRPr="0071233E">
        <w:rPr>
          <w:szCs w:val="28"/>
        </w:rPr>
        <w:t>9</w:t>
      </w:r>
      <w:r>
        <w:rPr>
          <w:szCs w:val="28"/>
        </w:rPr>
        <w:t> </w:t>
      </w:r>
      <w:r w:rsidRPr="0071233E">
        <w:rPr>
          <w:szCs w:val="28"/>
        </w:rPr>
        <w:t>728</w:t>
      </w:r>
      <w:r>
        <w:rPr>
          <w:szCs w:val="28"/>
        </w:rPr>
        <w:t> </w:t>
      </w:r>
      <w:r w:rsidRPr="0071233E">
        <w:rPr>
          <w:szCs w:val="28"/>
        </w:rPr>
        <w:t>094,93</w:t>
      </w:r>
      <w:r>
        <w:rPr>
          <w:szCs w:val="28"/>
        </w:rPr>
        <w:t xml:space="preserve"> куб. м.</w:t>
      </w:r>
    </w:p>
    <w:p w:rsidR="00A91269" w:rsidRPr="003E446E" w:rsidRDefault="00A91269" w:rsidP="003E446E">
      <w:pPr>
        <w:pStyle w:val="ae"/>
        <w:spacing w:after="0" w:line="240" w:lineRule="auto"/>
        <w:ind w:left="0" w:firstLine="709"/>
        <w:jc w:val="both"/>
        <w:rPr>
          <w:rFonts w:ascii="Times New Roman" w:hAnsi="Times New Roman"/>
          <w:i/>
          <w:sz w:val="28"/>
          <w:szCs w:val="28"/>
        </w:rPr>
      </w:pPr>
      <w:r w:rsidRPr="003E446E">
        <w:rPr>
          <w:rFonts w:ascii="Times New Roman" w:eastAsia="MS Mincho" w:hAnsi="Times New Roman"/>
          <w:sz w:val="28"/>
          <w:szCs w:val="28"/>
        </w:rPr>
        <w:t>Необходимая валовая выручка (далее – НВВ) регионального оператора определяется в соответствии с Методическими указаниями как сумма НВВ организаций, осуществляющих регулируемые виды деятельности в области обращения с ТКО, включая обработку ТКО, в том числе собственная необходимая валовая выручка регионального оператора, относимая на такие виды деятельности, расходов на транспортирование ТКО, а также расходов на приобретение контейнеров и бункеров для накопления ТКО и их содержание, включая расходы на лизинговые платежи в отношении контейнеров и бункеров, уборку мест погрузки ТКО и расходов, связанных с предоставлением безотзывной банковской гарантии в обеспечение исполнения обязательств по соглашению об организации деятельности по обращению с ТКО, заключенному исполнительным органом субъекта РФ</w:t>
      </w:r>
      <w:r w:rsidR="003E446E">
        <w:rPr>
          <w:rFonts w:ascii="Times New Roman" w:eastAsia="MS Mincho" w:hAnsi="Times New Roman"/>
          <w:sz w:val="28"/>
          <w:szCs w:val="28"/>
        </w:rPr>
        <w:t xml:space="preserve"> </w:t>
      </w:r>
      <w:r w:rsidRPr="003E446E">
        <w:rPr>
          <w:rFonts w:ascii="Times New Roman" w:eastAsia="MS Mincho" w:hAnsi="Times New Roman"/>
          <w:sz w:val="28"/>
          <w:szCs w:val="28"/>
        </w:rPr>
        <w:t>и региональным оператором.</w:t>
      </w:r>
    </w:p>
    <w:p w:rsidR="00A91269" w:rsidRPr="003E446E" w:rsidRDefault="00A91269" w:rsidP="003E446E">
      <w:pPr>
        <w:pStyle w:val="af9"/>
        <w:ind w:firstLine="709"/>
        <w:jc w:val="both"/>
        <w:rPr>
          <w:rFonts w:ascii="Times New Roman" w:eastAsia="MS Mincho" w:hAnsi="Times New Roman"/>
          <w:sz w:val="28"/>
          <w:szCs w:val="28"/>
        </w:rPr>
      </w:pPr>
      <w:r w:rsidRPr="003E446E">
        <w:rPr>
          <w:rFonts w:ascii="Times New Roman" w:eastAsia="MS Mincho" w:hAnsi="Times New Roman"/>
          <w:sz w:val="28"/>
          <w:szCs w:val="28"/>
        </w:rPr>
        <w:t xml:space="preserve">Величина НВВ регионального оператора по обращению с ТКО, признанная департаментом экономически обоснованной для расчета тарифа на 2024 год, составила 4 033 130,34 тыс. руб. и представлена в таблице </w:t>
      </w:r>
      <w:r w:rsidR="003E446E">
        <w:rPr>
          <w:rFonts w:ascii="Times New Roman" w:eastAsia="MS Mincho" w:hAnsi="Times New Roman"/>
          <w:sz w:val="28"/>
          <w:szCs w:val="28"/>
        </w:rPr>
        <w:t>ниже</w:t>
      </w:r>
      <w:r w:rsidRPr="003E446E">
        <w:rPr>
          <w:rFonts w:ascii="Times New Roman" w:eastAsia="MS Mincho" w:hAnsi="Times New Roman"/>
          <w:sz w:val="28"/>
          <w:szCs w:val="28"/>
        </w:rPr>
        <w:t xml:space="preserve">. Величина НВВ не превышает значения, определенного документацией о проведении конкурсного отбора регионального оператора по обращению с ТКО на территории Новосибирской области на 2024 год (4 120 737,08 тыс. руб.). </w:t>
      </w:r>
    </w:p>
    <w:p w:rsidR="00A91269" w:rsidRPr="003E446E" w:rsidRDefault="00A91269" w:rsidP="00A91269">
      <w:pPr>
        <w:pStyle w:val="af9"/>
        <w:spacing w:before="80" w:after="80"/>
        <w:ind w:firstLine="709"/>
        <w:jc w:val="both"/>
        <w:rPr>
          <w:rFonts w:ascii="Times New Roman" w:eastAsia="MS Mincho" w:hAnsi="Times New Roman"/>
          <w:b/>
          <w:sz w:val="24"/>
          <w:szCs w:val="24"/>
        </w:rPr>
      </w:pPr>
      <w:r w:rsidRPr="003E446E">
        <w:rPr>
          <w:rFonts w:ascii="Times New Roman" w:eastAsia="MS Mincho" w:hAnsi="Times New Roman"/>
          <w:b/>
          <w:sz w:val="24"/>
          <w:szCs w:val="24"/>
        </w:rPr>
        <w:t>Таблица  – Структура НВВ МУП «САХ» на 2024 год</w:t>
      </w:r>
    </w:p>
    <w:tbl>
      <w:tblPr>
        <w:tblW w:w="91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5807"/>
        <w:gridCol w:w="2755"/>
      </w:tblGrid>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 п/п</w:t>
            </w:r>
          </w:p>
        </w:tc>
        <w:tc>
          <w:tcPr>
            <w:tcW w:w="5807"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Наименование показателя</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 xml:space="preserve">НВВ 2024, тыс. руб. </w:t>
            </w:r>
          </w:p>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(с учетом НДС)</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Собственные расходы регионального оператора</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3 654 242,38</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tcPr>
          <w:p w:rsidR="00A91269" w:rsidRPr="003E446E" w:rsidRDefault="00A91269" w:rsidP="005A5E13">
            <w:pPr>
              <w:pStyle w:val="af9"/>
              <w:jc w:val="center"/>
              <w:rPr>
                <w:rFonts w:ascii="Times New Roman" w:hAnsi="Times New Roman"/>
                <w:sz w:val="24"/>
                <w:szCs w:val="24"/>
              </w:rPr>
            </w:pPr>
          </w:p>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1.1.</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в т.ч.:</w:t>
            </w:r>
          </w:p>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на транспортирование ТКО</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3 099 803,96</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lastRenderedPageBreak/>
              <w:t>1.2</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сбытовые расходы (сомнительные долги)</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194 241,36</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1.3</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на заключение и обслуживание договоров</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327 774,69</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1.4</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нормативная прибыль</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310,81</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1.5</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на приобретение и содержание контейнеров и бункеров</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24 639,43</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1.6</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на уборку мест погрузки ТКО</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1 973,33</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1.7</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связанные с предоставлением банковской гарантии в обеспечение исполнения обязательств по соглашению</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5 170,39</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1.8</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налоги</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328,41</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2.</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Расходы на обработку, обезвреживание и (или) захоронение ТКО</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487 241,02</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3.</w:t>
            </w: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Величина сглаживания необходимой валовой выручки</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-108 353,06</w:t>
            </w:r>
          </w:p>
        </w:tc>
      </w:tr>
      <w:tr w:rsidR="00A91269" w:rsidRPr="003E446E" w:rsidTr="005A5E13">
        <w:trPr>
          <w:jc w:val="center"/>
        </w:trPr>
        <w:tc>
          <w:tcPr>
            <w:tcW w:w="636" w:type="dxa"/>
            <w:tcBorders>
              <w:top w:val="single" w:sz="4" w:space="0" w:color="auto"/>
              <w:left w:val="single" w:sz="4" w:space="0" w:color="auto"/>
              <w:bottom w:val="single" w:sz="4" w:space="0" w:color="auto"/>
              <w:right w:val="single" w:sz="4" w:space="0" w:color="auto"/>
            </w:tcBorders>
          </w:tcPr>
          <w:p w:rsidR="00A91269" w:rsidRPr="003E446E" w:rsidRDefault="00A91269" w:rsidP="005A5E13">
            <w:pPr>
              <w:pStyle w:val="af9"/>
              <w:jc w:val="both"/>
              <w:rPr>
                <w:rFonts w:ascii="Times New Roman" w:hAnsi="Times New Roman"/>
                <w:sz w:val="24"/>
                <w:szCs w:val="24"/>
              </w:rPr>
            </w:pPr>
          </w:p>
        </w:tc>
        <w:tc>
          <w:tcPr>
            <w:tcW w:w="5807" w:type="dxa"/>
            <w:tcBorders>
              <w:top w:val="single" w:sz="4" w:space="0" w:color="auto"/>
              <w:left w:val="single" w:sz="4" w:space="0" w:color="auto"/>
              <w:bottom w:val="single" w:sz="4" w:space="0" w:color="auto"/>
              <w:right w:val="single" w:sz="4" w:space="0" w:color="auto"/>
            </w:tcBorders>
            <w:hideMark/>
          </w:tcPr>
          <w:p w:rsidR="00A91269" w:rsidRPr="003E446E" w:rsidRDefault="00A91269" w:rsidP="005A5E13">
            <w:pPr>
              <w:pStyle w:val="af9"/>
              <w:jc w:val="both"/>
              <w:rPr>
                <w:rFonts w:ascii="Times New Roman" w:hAnsi="Times New Roman"/>
                <w:sz w:val="24"/>
                <w:szCs w:val="24"/>
              </w:rPr>
            </w:pPr>
            <w:r w:rsidRPr="003E446E">
              <w:rPr>
                <w:rFonts w:ascii="Times New Roman" w:hAnsi="Times New Roman"/>
                <w:sz w:val="24"/>
                <w:szCs w:val="24"/>
              </w:rPr>
              <w:t xml:space="preserve">Необходимая валовая выручка </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3E446E" w:rsidRDefault="00A91269" w:rsidP="005A5E13">
            <w:pPr>
              <w:pStyle w:val="af9"/>
              <w:jc w:val="center"/>
              <w:rPr>
                <w:rFonts w:ascii="Times New Roman" w:hAnsi="Times New Roman"/>
                <w:sz w:val="24"/>
                <w:szCs w:val="24"/>
              </w:rPr>
            </w:pPr>
            <w:r w:rsidRPr="003E446E">
              <w:rPr>
                <w:rFonts w:ascii="Times New Roman" w:hAnsi="Times New Roman"/>
                <w:sz w:val="24"/>
                <w:szCs w:val="24"/>
              </w:rPr>
              <w:t>4 033 130,34</w:t>
            </w:r>
          </w:p>
        </w:tc>
      </w:tr>
    </w:tbl>
    <w:p w:rsidR="00A91269" w:rsidRDefault="00A91269" w:rsidP="00A91269">
      <w:pPr>
        <w:pStyle w:val="af9"/>
        <w:ind w:firstLine="709"/>
        <w:jc w:val="both"/>
      </w:pPr>
    </w:p>
    <w:p w:rsidR="00A91269" w:rsidRPr="003E446E" w:rsidRDefault="00A91269" w:rsidP="00A91269">
      <w:pPr>
        <w:pStyle w:val="af9"/>
        <w:ind w:firstLine="709"/>
        <w:jc w:val="both"/>
        <w:rPr>
          <w:rFonts w:ascii="Times New Roman" w:eastAsia="MS Mincho" w:hAnsi="Times New Roman"/>
          <w:sz w:val="28"/>
          <w:szCs w:val="28"/>
        </w:rPr>
      </w:pPr>
      <w:r w:rsidRPr="003E446E">
        <w:rPr>
          <w:rFonts w:ascii="Times New Roman" w:eastAsia="MS Mincho" w:hAnsi="Times New Roman"/>
          <w:sz w:val="28"/>
          <w:szCs w:val="28"/>
        </w:rPr>
        <w:t>Структура НВВ регионального оператора на 2024 представлена также на рисунке</w:t>
      </w:r>
      <w:r w:rsidR="003E446E">
        <w:rPr>
          <w:rFonts w:ascii="Times New Roman" w:eastAsia="MS Mincho" w:hAnsi="Times New Roman"/>
          <w:sz w:val="28"/>
          <w:szCs w:val="28"/>
        </w:rPr>
        <w:t xml:space="preserve"> ниже</w:t>
      </w:r>
      <w:r w:rsidRPr="003E446E">
        <w:rPr>
          <w:rFonts w:ascii="Times New Roman" w:eastAsia="MS Mincho" w:hAnsi="Times New Roman"/>
          <w:sz w:val="28"/>
          <w:szCs w:val="28"/>
        </w:rPr>
        <w:t xml:space="preserve">. </w:t>
      </w:r>
    </w:p>
    <w:p w:rsidR="00A91269" w:rsidRPr="003E446E" w:rsidRDefault="00A91269" w:rsidP="00A91269">
      <w:pPr>
        <w:pStyle w:val="af9"/>
        <w:ind w:firstLine="709"/>
        <w:jc w:val="both"/>
        <w:rPr>
          <w:rFonts w:ascii="Times New Roman" w:hAnsi="Times New Roman"/>
          <w:b/>
          <w:sz w:val="24"/>
          <w:szCs w:val="24"/>
        </w:rPr>
      </w:pPr>
    </w:p>
    <w:p w:rsidR="00A91269" w:rsidRDefault="00A91269" w:rsidP="00A91269">
      <w:pPr>
        <w:pStyle w:val="af9"/>
        <w:jc w:val="center"/>
      </w:pPr>
      <w:r>
        <w:rPr>
          <w:noProof/>
          <w:lang w:eastAsia="ru-RU"/>
        </w:rPr>
        <w:drawing>
          <wp:inline distT="0" distB="0" distL="0" distR="0" wp14:anchorId="56A9AD61" wp14:editId="466D3B07">
            <wp:extent cx="5826369" cy="3657168"/>
            <wp:effectExtent l="0" t="0" r="3175" b="635"/>
            <wp:docPr id="280"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43" cstate="print">
                      <a:extLst>
                        <a:ext uri="{28A0092B-C50C-407E-A947-70E740481C1C}">
                          <a14:useLocalDpi xmlns:a14="http://schemas.microsoft.com/office/drawing/2010/main" val="0"/>
                        </a:ext>
                      </a:extLst>
                    </a:blip>
                    <a:srcRect t="13328"/>
                    <a:stretch/>
                  </pic:blipFill>
                  <pic:spPr bwMode="auto">
                    <a:xfrm>
                      <a:off x="0" y="0"/>
                      <a:ext cx="5837759" cy="3664317"/>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Default="00A91269" w:rsidP="00A91269">
      <w:pPr>
        <w:pStyle w:val="af9"/>
        <w:jc w:val="center"/>
        <w:rPr>
          <w:i/>
        </w:rPr>
      </w:pPr>
      <w:r w:rsidRPr="003E446E">
        <w:rPr>
          <w:rFonts w:ascii="Times New Roman" w:hAnsi="Times New Roman"/>
          <w:i/>
          <w:sz w:val="24"/>
        </w:rPr>
        <w:t>Рисунок – Структура НВВ регионального оператора МУП «САХ» на 2024 год, тыс. руб</w:t>
      </w:r>
      <w:r w:rsidRPr="00FD016A">
        <w:rPr>
          <w:i/>
          <w:sz w:val="24"/>
        </w:rPr>
        <w:t>.</w:t>
      </w:r>
    </w:p>
    <w:p w:rsidR="00A91269" w:rsidRDefault="00A91269" w:rsidP="00A91269">
      <w:pPr>
        <w:pStyle w:val="af9"/>
        <w:jc w:val="center"/>
        <w:rPr>
          <w:i/>
        </w:rPr>
      </w:pPr>
    </w:p>
    <w:p w:rsidR="00A91269" w:rsidRDefault="00A91269" w:rsidP="00A91269">
      <w:pPr>
        <w:autoSpaceDE w:val="0"/>
        <w:autoSpaceDN w:val="0"/>
        <w:adjustRightInd w:val="0"/>
        <w:spacing w:after="0" w:line="240" w:lineRule="auto"/>
        <w:ind w:firstLine="540"/>
        <w:jc w:val="both"/>
        <w:rPr>
          <w:rFonts w:eastAsia="Times New Roman"/>
        </w:rPr>
      </w:pPr>
      <w:r>
        <w:rPr>
          <w:rFonts w:eastAsia="Times New Roman"/>
        </w:rPr>
        <w:t>П</w:t>
      </w:r>
      <w:r w:rsidRPr="00B25264">
        <w:rPr>
          <w:rFonts w:eastAsia="Times New Roman"/>
        </w:rPr>
        <w:t>редельн</w:t>
      </w:r>
      <w:r>
        <w:rPr>
          <w:rFonts w:eastAsia="Times New Roman"/>
        </w:rPr>
        <w:t>ый</w:t>
      </w:r>
      <w:r w:rsidRPr="00B25264">
        <w:rPr>
          <w:rFonts w:eastAsia="Times New Roman"/>
        </w:rPr>
        <w:t xml:space="preserve"> един</w:t>
      </w:r>
      <w:r>
        <w:rPr>
          <w:rFonts w:eastAsia="Times New Roman"/>
        </w:rPr>
        <w:t>ый</w:t>
      </w:r>
      <w:r w:rsidRPr="00B25264">
        <w:rPr>
          <w:rFonts w:eastAsia="Times New Roman"/>
        </w:rPr>
        <w:t xml:space="preserve"> тариф на ус</w:t>
      </w:r>
      <w:r>
        <w:rPr>
          <w:rFonts w:eastAsia="Times New Roman"/>
        </w:rPr>
        <w:t>лугу регионального оператора по </w:t>
      </w:r>
      <w:r w:rsidRPr="00B25264">
        <w:rPr>
          <w:rFonts w:eastAsia="Times New Roman"/>
        </w:rPr>
        <w:t>обращению с ТКО на территории Новосибирской области с</w:t>
      </w:r>
      <w:r>
        <w:rPr>
          <w:rFonts w:eastAsia="Times New Roman"/>
        </w:rPr>
        <w:t> 06</w:t>
      </w:r>
      <w:r w:rsidRPr="00B25264">
        <w:rPr>
          <w:rFonts w:eastAsia="Times New Roman"/>
        </w:rPr>
        <w:t>.0</w:t>
      </w:r>
      <w:r>
        <w:rPr>
          <w:rFonts w:eastAsia="Times New Roman"/>
        </w:rPr>
        <w:t>8</w:t>
      </w:r>
      <w:r w:rsidRPr="00B25264">
        <w:rPr>
          <w:rFonts w:eastAsia="Times New Roman"/>
        </w:rPr>
        <w:t>.202</w:t>
      </w:r>
      <w:r>
        <w:rPr>
          <w:rFonts w:eastAsia="Times New Roman"/>
        </w:rPr>
        <w:t>4</w:t>
      </w:r>
      <w:r w:rsidRPr="00B25264">
        <w:rPr>
          <w:rFonts w:eastAsia="Times New Roman"/>
        </w:rPr>
        <w:t xml:space="preserve"> по 31.12.202</w:t>
      </w:r>
      <w:r>
        <w:rPr>
          <w:rFonts w:eastAsia="Times New Roman"/>
        </w:rPr>
        <w:t>4</w:t>
      </w:r>
      <w:r w:rsidR="00C66354">
        <w:rPr>
          <w:rFonts w:eastAsia="Times New Roman"/>
        </w:rPr>
        <w:t xml:space="preserve"> </w:t>
      </w:r>
      <w:r w:rsidR="00C66354" w:rsidRPr="00B25264">
        <w:rPr>
          <w:rFonts w:eastAsia="Times New Roman"/>
        </w:rPr>
        <w:t>состави</w:t>
      </w:r>
      <w:r w:rsidR="00C66354">
        <w:rPr>
          <w:rFonts w:eastAsia="Times New Roman"/>
        </w:rPr>
        <w:t>л</w:t>
      </w:r>
      <w:r w:rsidRPr="00B25264">
        <w:rPr>
          <w:rFonts w:eastAsia="Times New Roman"/>
        </w:rPr>
        <w:t xml:space="preserve"> </w:t>
      </w:r>
      <w:r>
        <w:rPr>
          <w:rFonts w:eastAsia="Times New Roman"/>
        </w:rPr>
        <w:t>436,69</w:t>
      </w:r>
      <w:r w:rsidRPr="00B25264">
        <w:rPr>
          <w:rFonts w:eastAsia="Times New Roman"/>
        </w:rPr>
        <w:t xml:space="preserve"> руб./м</w:t>
      </w:r>
      <w:r w:rsidRPr="00495A93">
        <w:rPr>
          <w:rFonts w:eastAsia="Times New Roman"/>
          <w:vertAlign w:val="superscript"/>
        </w:rPr>
        <w:t>3</w:t>
      </w:r>
      <w:r w:rsidRPr="00B25264">
        <w:rPr>
          <w:rFonts w:eastAsia="Times New Roman"/>
        </w:rPr>
        <w:t xml:space="preserve"> (НДС не облагается в соответствии с подпунктом 36 пункта 2 статьи 149 Налогового к</w:t>
      </w:r>
      <w:r>
        <w:rPr>
          <w:rFonts w:eastAsia="Times New Roman"/>
        </w:rPr>
        <w:t>одекса РФ), с </w:t>
      </w:r>
      <w:r w:rsidRPr="00B25264">
        <w:rPr>
          <w:rFonts w:eastAsia="Times New Roman"/>
        </w:rPr>
        <w:t>ростом относительно тарифа, установленного по состоянию на 31.12.202</w:t>
      </w:r>
      <w:r>
        <w:rPr>
          <w:rFonts w:eastAsia="Times New Roman"/>
        </w:rPr>
        <w:t>3</w:t>
      </w:r>
      <w:r w:rsidRPr="00B25264">
        <w:rPr>
          <w:rFonts w:eastAsia="Times New Roman"/>
        </w:rPr>
        <w:t xml:space="preserve">, на </w:t>
      </w:r>
      <w:r>
        <w:rPr>
          <w:rFonts w:eastAsia="Times New Roman"/>
        </w:rPr>
        <w:t>9,5</w:t>
      </w:r>
      <w:r w:rsidRPr="00B25264">
        <w:rPr>
          <w:rFonts w:eastAsia="Times New Roman"/>
        </w:rPr>
        <w:t>%.</w:t>
      </w:r>
    </w:p>
    <w:p w:rsidR="00A91269" w:rsidRDefault="00A91269" w:rsidP="00A91269">
      <w:pPr>
        <w:autoSpaceDE w:val="0"/>
        <w:autoSpaceDN w:val="0"/>
        <w:adjustRightInd w:val="0"/>
        <w:spacing w:after="0" w:line="240" w:lineRule="auto"/>
        <w:ind w:firstLine="540"/>
        <w:jc w:val="both"/>
        <w:rPr>
          <w:rFonts w:eastAsia="Times New Roman"/>
        </w:rPr>
      </w:pPr>
      <w:r>
        <w:rPr>
          <w:rFonts w:eastAsia="Times New Roman"/>
        </w:rPr>
        <w:t xml:space="preserve">С учетом особенностей, предусмотренных пунктом 95 Методических указаний, департаментом определены тарифы на второй и последующие годы действия Соглашения (таблица 4). </w:t>
      </w:r>
    </w:p>
    <w:p w:rsidR="00A91269" w:rsidRPr="00C66354" w:rsidRDefault="00A91269" w:rsidP="00A91269">
      <w:pPr>
        <w:pStyle w:val="af9"/>
        <w:spacing w:before="80" w:after="80"/>
        <w:ind w:firstLine="709"/>
        <w:jc w:val="both"/>
        <w:rPr>
          <w:rFonts w:ascii="Times New Roman" w:eastAsia="Times New Roman" w:hAnsi="Times New Roman"/>
          <w:b/>
          <w:sz w:val="24"/>
          <w:szCs w:val="24"/>
          <w:lang w:eastAsia="ru-RU"/>
        </w:rPr>
      </w:pPr>
      <w:r w:rsidRPr="00C66354">
        <w:rPr>
          <w:rFonts w:ascii="Times New Roman" w:eastAsia="Times New Roman" w:hAnsi="Times New Roman"/>
          <w:b/>
          <w:sz w:val="24"/>
          <w:szCs w:val="24"/>
          <w:lang w:eastAsia="ru-RU"/>
        </w:rPr>
        <w:lastRenderedPageBreak/>
        <w:t>Таблица – Предельные единые тарифы на услугу регионального оператора по обращению с ТКО, руб./м3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3213"/>
        <w:gridCol w:w="1059"/>
        <w:gridCol w:w="2261"/>
        <w:gridCol w:w="2498"/>
      </w:tblGrid>
      <w:tr w:rsidR="00A91269" w:rsidRPr="00C66354" w:rsidTr="005A5E13">
        <w:trPr>
          <w:trHeight w:val="398"/>
        </w:trPr>
        <w:tc>
          <w:tcPr>
            <w:tcW w:w="268" w:type="pct"/>
            <w:vMerge w:val="restar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autoSpaceDE w:val="0"/>
              <w:autoSpaceDN w:val="0"/>
              <w:adjustRightInd w:val="0"/>
              <w:spacing w:after="0" w:line="240" w:lineRule="auto"/>
              <w:rPr>
                <w:rFonts w:eastAsia="Times New Roman"/>
                <w:sz w:val="24"/>
              </w:rPr>
            </w:pPr>
            <w:r w:rsidRPr="00C66354">
              <w:rPr>
                <w:rFonts w:eastAsia="Times New Roman"/>
                <w:sz w:val="24"/>
              </w:rPr>
              <w:t>№</w:t>
            </w:r>
          </w:p>
          <w:p w:rsidR="00A91269" w:rsidRPr="00C66354" w:rsidRDefault="00A91269" w:rsidP="005A5E13">
            <w:pPr>
              <w:autoSpaceDE w:val="0"/>
              <w:autoSpaceDN w:val="0"/>
              <w:adjustRightInd w:val="0"/>
              <w:spacing w:after="0" w:line="240" w:lineRule="auto"/>
              <w:rPr>
                <w:rFonts w:eastAsia="Times New Roman"/>
                <w:sz w:val="24"/>
              </w:rPr>
            </w:pPr>
            <w:r w:rsidRPr="00C66354">
              <w:rPr>
                <w:rFonts w:eastAsia="Times New Roman"/>
                <w:sz w:val="24"/>
              </w:rPr>
              <w:t>п/п</w:t>
            </w:r>
          </w:p>
        </w:tc>
        <w:tc>
          <w:tcPr>
            <w:tcW w:w="1682" w:type="pct"/>
            <w:vMerge w:val="restar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Наименование</w:t>
            </w:r>
          </w:p>
          <w:p w:rsidR="00A91269" w:rsidRPr="00C66354" w:rsidRDefault="00A91269" w:rsidP="005A5E13">
            <w:pPr>
              <w:spacing w:after="0" w:line="240" w:lineRule="auto"/>
              <w:rPr>
                <w:rFonts w:eastAsia="Times New Roman"/>
                <w:sz w:val="24"/>
              </w:rPr>
            </w:pPr>
            <w:r w:rsidRPr="00C66354">
              <w:rPr>
                <w:rFonts w:eastAsia="Times New Roman"/>
                <w:sz w:val="24"/>
              </w:rPr>
              <w:t>регулируемой организации</w:t>
            </w:r>
          </w:p>
          <w:p w:rsidR="00A91269" w:rsidRPr="00C66354" w:rsidRDefault="00A91269" w:rsidP="005A5E13">
            <w:pPr>
              <w:spacing w:after="0" w:line="240" w:lineRule="auto"/>
              <w:rPr>
                <w:rFonts w:eastAsia="Times New Roman"/>
                <w:sz w:val="24"/>
              </w:rPr>
            </w:pPr>
            <w:r w:rsidRPr="00C66354">
              <w:rPr>
                <w:rFonts w:eastAsia="Times New Roman"/>
                <w:sz w:val="24"/>
              </w:rPr>
              <w:t>(ОГРН/ИНН)</w:t>
            </w:r>
          </w:p>
        </w:tc>
        <w:tc>
          <w:tcPr>
            <w:tcW w:w="557" w:type="pct"/>
            <w:vMerge w:val="restar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autoSpaceDE w:val="0"/>
              <w:autoSpaceDN w:val="0"/>
              <w:adjustRightInd w:val="0"/>
              <w:spacing w:after="0" w:line="240" w:lineRule="auto"/>
              <w:rPr>
                <w:rFonts w:ascii="Arial" w:eastAsia="Times New Roman" w:hAnsi="Arial" w:cs="Arial"/>
                <w:sz w:val="24"/>
              </w:rPr>
            </w:pPr>
            <w:r w:rsidRPr="00C66354">
              <w:rPr>
                <w:rFonts w:eastAsia="Times New Roman"/>
                <w:sz w:val="24"/>
              </w:rPr>
              <w:t>Год</w:t>
            </w:r>
          </w:p>
        </w:tc>
        <w:tc>
          <w:tcPr>
            <w:tcW w:w="2493" w:type="pct"/>
            <w:gridSpan w:val="2"/>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 xml:space="preserve">Предельные единые тарифы на услугу регионального оператора по обращению </w:t>
            </w:r>
            <w:r w:rsidRPr="00C66354">
              <w:rPr>
                <w:rFonts w:eastAsia="Times New Roman"/>
                <w:sz w:val="24"/>
              </w:rPr>
              <w:br/>
              <w:t>с ТКО, руб./м</w:t>
            </w:r>
            <w:r w:rsidRPr="00C66354">
              <w:rPr>
                <w:rFonts w:eastAsia="Times New Roman"/>
                <w:sz w:val="24"/>
                <w:vertAlign w:val="superscript"/>
              </w:rPr>
              <w:t>3</w:t>
            </w:r>
            <w:r w:rsidRPr="00C66354">
              <w:rPr>
                <w:rFonts w:eastAsia="Times New Roman"/>
                <w:sz w:val="24"/>
              </w:rPr>
              <w:t>&lt;*&gt;</w:t>
            </w:r>
          </w:p>
        </w:tc>
      </w:tr>
      <w:tr w:rsidR="00A91269" w:rsidRPr="00C66354" w:rsidTr="005A5E13">
        <w:trPr>
          <w:trHeight w:val="39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ascii="Arial" w:eastAsia="Times New Roman" w:hAnsi="Arial" w:cs="Arial"/>
                <w:sz w:val="24"/>
              </w:rPr>
            </w:pP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с 1 января по 30 июня</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с 1 июля по 31 декабря</w:t>
            </w:r>
          </w:p>
        </w:tc>
      </w:tr>
      <w:tr w:rsidR="00A91269" w:rsidRPr="00C66354" w:rsidTr="005A5E13">
        <w:trPr>
          <w:trHeight w:val="246"/>
        </w:trPr>
        <w:tc>
          <w:tcPr>
            <w:tcW w:w="26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autoSpaceDE w:val="0"/>
              <w:autoSpaceDN w:val="0"/>
              <w:adjustRightInd w:val="0"/>
              <w:spacing w:after="0" w:line="240" w:lineRule="auto"/>
              <w:rPr>
                <w:rFonts w:eastAsia="Times New Roman"/>
                <w:sz w:val="24"/>
              </w:rPr>
            </w:pPr>
            <w:r w:rsidRPr="00C66354">
              <w:rPr>
                <w:rFonts w:eastAsia="Times New Roman"/>
                <w:sz w:val="24"/>
              </w:rPr>
              <w:t>1</w:t>
            </w:r>
          </w:p>
        </w:tc>
        <w:tc>
          <w:tcPr>
            <w:tcW w:w="1682"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w:t>
            </w: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3</w:t>
            </w:r>
          </w:p>
        </w:tc>
        <w:tc>
          <w:tcPr>
            <w:tcW w:w="1185" w:type="pct"/>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spacing w:after="0" w:line="240" w:lineRule="auto"/>
              <w:rPr>
                <w:rFonts w:eastAsia="Times New Roman"/>
                <w:sz w:val="24"/>
              </w:rPr>
            </w:pPr>
          </w:p>
        </w:tc>
        <w:tc>
          <w:tcPr>
            <w:tcW w:w="1308" w:type="pct"/>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spacing w:after="0" w:line="240" w:lineRule="auto"/>
              <w:rPr>
                <w:rFonts w:eastAsia="Times New Roman"/>
                <w:sz w:val="24"/>
              </w:rPr>
            </w:pPr>
          </w:p>
        </w:tc>
      </w:tr>
      <w:tr w:rsidR="00A91269" w:rsidRPr="00C66354" w:rsidTr="005A5E13">
        <w:trPr>
          <w:trHeight w:val="284"/>
        </w:trPr>
        <w:tc>
          <w:tcPr>
            <w:tcW w:w="268" w:type="pct"/>
            <w:vMerge w:val="restar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r w:rsidRPr="00C66354">
              <w:rPr>
                <w:rFonts w:eastAsia="Times New Roman"/>
                <w:sz w:val="24"/>
              </w:rPr>
              <w:t>1.</w:t>
            </w:r>
          </w:p>
        </w:tc>
        <w:tc>
          <w:tcPr>
            <w:tcW w:w="16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 xml:space="preserve">МУП «САХ» </w:t>
            </w:r>
            <w:r w:rsidRPr="00C66354">
              <w:rPr>
                <w:rFonts w:eastAsia="Times New Roman"/>
                <w:sz w:val="24"/>
              </w:rPr>
              <w:br/>
              <w:t xml:space="preserve">(ОГРН 1025401312287, </w:t>
            </w:r>
            <w:r w:rsidRPr="00C66354">
              <w:rPr>
                <w:rFonts w:eastAsia="Times New Roman"/>
                <w:sz w:val="24"/>
              </w:rPr>
              <w:br/>
              <w:t>ИНН 5403103135)</w:t>
            </w: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2024</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lang w:val="en-US"/>
              </w:rPr>
            </w:pPr>
            <w:r w:rsidRPr="00C66354">
              <w:rPr>
                <w:rFonts w:eastAsia="Times New Roman"/>
                <w:sz w:val="24"/>
              </w:rPr>
              <w:t>436,69&lt;**</w:t>
            </w:r>
            <w:r w:rsidRPr="00C66354">
              <w:rPr>
                <w:rFonts w:eastAsia="Times New Roman"/>
                <w:sz w:val="24"/>
                <w:lang w:val="en-US"/>
              </w:rPr>
              <w:t>&gt;</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2025</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435,20</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435,20</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2026</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435,20</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470,30</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2027</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466,33</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466,33</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2028</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466,33</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503,45</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2029</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503,45</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505,11</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2030</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505,11</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543,79</w:t>
            </w:r>
          </w:p>
        </w:tc>
      </w:tr>
      <w:tr w:rsidR="00A91269" w:rsidRPr="00C66354" w:rsidTr="005A5E13">
        <w:trPr>
          <w:trHeight w:val="2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highlight w:val="yellow"/>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91269" w:rsidRPr="00C66354" w:rsidRDefault="00A91269" w:rsidP="005A5E13">
            <w:pPr>
              <w:spacing w:after="0" w:line="240" w:lineRule="auto"/>
              <w:rPr>
                <w:rFonts w:eastAsia="Times New Roman"/>
                <w:sz w:val="24"/>
              </w:rPr>
            </w:pPr>
          </w:p>
        </w:tc>
        <w:tc>
          <w:tcPr>
            <w:tcW w:w="557"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2031</w:t>
            </w:r>
          </w:p>
        </w:tc>
        <w:tc>
          <w:tcPr>
            <w:tcW w:w="1185"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543,79</w:t>
            </w:r>
          </w:p>
        </w:tc>
        <w:tc>
          <w:tcPr>
            <w:tcW w:w="1308" w:type="pct"/>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spacing w:after="0" w:line="240" w:lineRule="auto"/>
              <w:rPr>
                <w:rFonts w:eastAsia="Times New Roman"/>
                <w:sz w:val="24"/>
              </w:rPr>
            </w:pPr>
            <w:r w:rsidRPr="00C66354">
              <w:rPr>
                <w:rFonts w:eastAsia="Times New Roman"/>
                <w:sz w:val="24"/>
              </w:rPr>
              <w:t>547,06</w:t>
            </w:r>
          </w:p>
        </w:tc>
      </w:tr>
    </w:tbl>
    <w:p w:rsidR="00A91269" w:rsidRPr="00FE1651" w:rsidRDefault="00A91269" w:rsidP="00A91269">
      <w:pPr>
        <w:autoSpaceDE w:val="0"/>
        <w:autoSpaceDN w:val="0"/>
        <w:adjustRightInd w:val="0"/>
        <w:spacing w:after="0" w:line="240" w:lineRule="auto"/>
        <w:ind w:firstLine="540"/>
        <w:jc w:val="both"/>
        <w:rPr>
          <w:rFonts w:eastAsia="Times New Roman"/>
          <w:szCs w:val="20"/>
        </w:rPr>
      </w:pPr>
      <w:r w:rsidRPr="00FE1651">
        <w:rPr>
          <w:rFonts w:eastAsia="Times New Roman"/>
          <w:szCs w:val="20"/>
        </w:rPr>
        <w:t>&lt;**&gt; предельный тариф, установленный на 2024 год, действует с 6 августа 2024 года</w:t>
      </w:r>
      <w:r>
        <w:rPr>
          <w:rFonts w:eastAsia="Times New Roman"/>
          <w:szCs w:val="20"/>
        </w:rPr>
        <w:t>.</w:t>
      </w:r>
    </w:p>
    <w:p w:rsidR="00A91269" w:rsidRDefault="00A91269" w:rsidP="00A91269">
      <w:pPr>
        <w:spacing w:after="0" w:line="240" w:lineRule="auto"/>
        <w:ind w:firstLine="709"/>
        <w:jc w:val="both"/>
        <w:rPr>
          <w:szCs w:val="28"/>
        </w:rPr>
      </w:pPr>
      <w:r w:rsidRPr="00392B4F">
        <w:rPr>
          <w:szCs w:val="28"/>
        </w:rPr>
        <w:t xml:space="preserve">Во исполнение пункта 6 Правил </w:t>
      </w:r>
      <w:r>
        <w:rPr>
          <w:szCs w:val="28"/>
        </w:rPr>
        <w:t xml:space="preserve">МУП </w:t>
      </w:r>
      <w:r w:rsidRPr="00392B4F">
        <w:rPr>
          <w:szCs w:val="28"/>
        </w:rPr>
        <w:t>«С</w:t>
      </w:r>
      <w:r>
        <w:rPr>
          <w:szCs w:val="28"/>
        </w:rPr>
        <w:t>АХ</w:t>
      </w:r>
      <w:r w:rsidRPr="00392B4F">
        <w:rPr>
          <w:szCs w:val="28"/>
        </w:rPr>
        <w:t>» представило в департамент 30.08.2024 предложение о корректировке тарифа на услугу регионального оператора по обращению с ТКО на 2025 год</w:t>
      </w:r>
      <w:r>
        <w:rPr>
          <w:szCs w:val="28"/>
        </w:rPr>
        <w:t>.</w:t>
      </w:r>
    </w:p>
    <w:p w:rsidR="00A91269" w:rsidRDefault="00A91269" w:rsidP="00A91269">
      <w:pPr>
        <w:autoSpaceDE w:val="0"/>
        <w:autoSpaceDN w:val="0"/>
        <w:adjustRightInd w:val="0"/>
        <w:spacing w:after="0" w:line="240" w:lineRule="auto"/>
        <w:ind w:firstLine="709"/>
        <w:jc w:val="both"/>
        <w:rPr>
          <w:rFonts w:eastAsia="Times New Roman"/>
        </w:rPr>
      </w:pPr>
      <w:r w:rsidRPr="002A444B">
        <w:rPr>
          <w:rFonts w:eastAsia="Times New Roman"/>
        </w:rPr>
        <w:t xml:space="preserve">При установлении предельного единого тарифа на услугу регионального оператора по обращению с ТКО для </w:t>
      </w:r>
      <w:r>
        <w:rPr>
          <w:rFonts w:eastAsia="Times New Roman"/>
        </w:rPr>
        <w:t>МУП</w:t>
      </w:r>
      <w:r w:rsidRPr="002A444B">
        <w:rPr>
          <w:rFonts w:eastAsia="Times New Roman"/>
        </w:rPr>
        <w:t xml:space="preserve"> «</w:t>
      </w:r>
      <w:r>
        <w:rPr>
          <w:rFonts w:eastAsia="Times New Roman"/>
        </w:rPr>
        <w:t>САХ</w:t>
      </w:r>
      <w:r w:rsidRPr="002A444B">
        <w:rPr>
          <w:rFonts w:eastAsia="Times New Roman"/>
        </w:rPr>
        <w:t>» на 202</w:t>
      </w:r>
      <w:r>
        <w:rPr>
          <w:rFonts w:eastAsia="Times New Roman"/>
        </w:rPr>
        <w:t>5</w:t>
      </w:r>
      <w:r w:rsidRPr="002A444B">
        <w:rPr>
          <w:rFonts w:eastAsia="Times New Roman"/>
        </w:rPr>
        <w:t xml:space="preserve"> год департаментом применены положения пункта 95 Методических указаний.</w:t>
      </w:r>
    </w:p>
    <w:p w:rsidR="00A91269" w:rsidRPr="00FF430E" w:rsidRDefault="00A91269" w:rsidP="00A91269">
      <w:pPr>
        <w:autoSpaceDE w:val="0"/>
        <w:autoSpaceDN w:val="0"/>
        <w:adjustRightInd w:val="0"/>
        <w:spacing w:after="0" w:line="240" w:lineRule="auto"/>
        <w:ind w:firstLine="709"/>
        <w:jc w:val="both"/>
        <w:rPr>
          <w:rFonts w:eastAsia="Times New Roman"/>
        </w:rPr>
      </w:pPr>
      <w:r>
        <w:rPr>
          <w:rFonts w:eastAsia="Times New Roman"/>
        </w:rPr>
        <w:t>Р</w:t>
      </w:r>
      <w:r w:rsidRPr="00FF430E">
        <w:rPr>
          <w:rFonts w:eastAsia="Times New Roman"/>
        </w:rPr>
        <w:t xml:space="preserve">асчетный объем ТКО на очередной период регулирования (2025 год) определен департаментом исходя из данных </w:t>
      </w:r>
      <w:r>
        <w:rPr>
          <w:rFonts w:eastAsia="Times New Roman"/>
        </w:rPr>
        <w:t>Т</w:t>
      </w:r>
      <w:r w:rsidRPr="00FF430E">
        <w:rPr>
          <w:rFonts w:eastAsia="Times New Roman"/>
        </w:rPr>
        <w:t>ерриториальной схемы и составил 9</w:t>
      </w:r>
      <w:r>
        <w:rPr>
          <w:rFonts w:eastAsia="Times New Roman"/>
          <w:lang w:val="en-US"/>
        </w:rPr>
        <w:t> </w:t>
      </w:r>
      <w:r w:rsidRPr="00FF430E">
        <w:rPr>
          <w:rFonts w:eastAsia="Times New Roman"/>
        </w:rPr>
        <w:t>777</w:t>
      </w:r>
      <w:r>
        <w:rPr>
          <w:rFonts w:eastAsia="Times New Roman"/>
          <w:lang w:val="en-US"/>
        </w:rPr>
        <w:t> </w:t>
      </w:r>
      <w:r w:rsidRPr="00FF430E">
        <w:rPr>
          <w:rFonts w:eastAsia="Times New Roman"/>
        </w:rPr>
        <w:t>067,30 м</w:t>
      </w:r>
      <w:r w:rsidRPr="00FF430E">
        <w:rPr>
          <w:rFonts w:eastAsia="Times New Roman"/>
          <w:vertAlign w:val="superscript"/>
        </w:rPr>
        <w:t>3</w:t>
      </w:r>
      <w:r>
        <w:rPr>
          <w:rFonts w:eastAsia="Times New Roman"/>
        </w:rPr>
        <w:t>.</w:t>
      </w:r>
    </w:p>
    <w:p w:rsidR="00A91269" w:rsidRPr="00C66354" w:rsidRDefault="00A91269" w:rsidP="00C66354">
      <w:pPr>
        <w:spacing w:after="0" w:line="240" w:lineRule="auto"/>
        <w:ind w:firstLine="709"/>
        <w:jc w:val="both"/>
        <w:rPr>
          <w:szCs w:val="28"/>
        </w:rPr>
      </w:pPr>
      <w:r w:rsidRPr="00C66354">
        <w:rPr>
          <w:szCs w:val="28"/>
        </w:rPr>
        <w:t xml:space="preserve">В результате произведенных расчетов экономически обоснованной департаментом признана НВВ на 2025 год в размере 4 390 596,01 тыс. руб. и представлена в таблице </w:t>
      </w:r>
      <w:r w:rsidR="00C66354">
        <w:rPr>
          <w:szCs w:val="28"/>
        </w:rPr>
        <w:t>ниже</w:t>
      </w:r>
      <w:r w:rsidRPr="00C66354">
        <w:rPr>
          <w:szCs w:val="28"/>
        </w:rPr>
        <w:t xml:space="preserve">. </w:t>
      </w:r>
    </w:p>
    <w:p w:rsidR="00A91269" w:rsidRPr="00C66354" w:rsidRDefault="00A91269" w:rsidP="00C66354">
      <w:pPr>
        <w:spacing w:after="0" w:line="240" w:lineRule="auto"/>
        <w:ind w:firstLine="709"/>
        <w:jc w:val="both"/>
        <w:rPr>
          <w:b/>
          <w:sz w:val="24"/>
        </w:rPr>
      </w:pPr>
      <w:r w:rsidRPr="00C66354">
        <w:rPr>
          <w:b/>
          <w:sz w:val="24"/>
        </w:rPr>
        <w:t>Таблица  – Структура НВВ МУП «САХ» на 2025 год</w:t>
      </w:r>
    </w:p>
    <w:tbl>
      <w:tblPr>
        <w:tblW w:w="91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5807"/>
        <w:gridCol w:w="2755"/>
      </w:tblGrid>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 п/п</w:t>
            </w:r>
          </w:p>
        </w:tc>
        <w:tc>
          <w:tcPr>
            <w:tcW w:w="5807"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Наименование показателя</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 xml:space="preserve">НВВ 2025, тыс. руб. </w:t>
            </w:r>
          </w:p>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(с учетом НДС)</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Собственные расходы регионального оператора</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3 858 886,60</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tcPr>
          <w:p w:rsidR="00A91269" w:rsidRPr="00C66354" w:rsidRDefault="00A91269" w:rsidP="005A5E13">
            <w:pPr>
              <w:pStyle w:val="af9"/>
              <w:jc w:val="center"/>
              <w:rPr>
                <w:rFonts w:ascii="Times New Roman" w:hAnsi="Times New Roman"/>
                <w:sz w:val="24"/>
                <w:szCs w:val="24"/>
              </w:rPr>
            </w:pPr>
          </w:p>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1.1.</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в т.ч.:</w:t>
            </w:r>
          </w:p>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на транспортирование ТКО</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3 327 110,87</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1.2</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сбытовые расходы (сомнительные долги)</w:t>
            </w:r>
          </w:p>
        </w:tc>
        <w:tc>
          <w:tcPr>
            <w:tcW w:w="2755" w:type="dxa"/>
            <w:tcBorders>
              <w:top w:val="single" w:sz="4" w:space="0" w:color="auto"/>
              <w:left w:val="single" w:sz="4" w:space="0" w:color="auto"/>
              <w:bottom w:val="single" w:sz="4" w:space="0" w:color="auto"/>
              <w:right w:val="single" w:sz="4" w:space="0" w:color="auto"/>
            </w:tcBorders>
            <w:vAlign w:val="center"/>
            <w:hideMark/>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120 993,91</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1.3</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на заключение и обслуживание договоров</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346 785,62</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1.4</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нормативная прибыль</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22 716,86</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1.5</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на приобретение и содержание контейнеров и бункеров</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30 486,93</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1.6</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на уборку мест погрузки ТКО</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2 011,55</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1.7</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связанные с предоставлением банковской гарантии в обеспечение исполнения обязательств по соглашению</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8 467,34</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1.8</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налоги</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313,52</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2.</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Расходы на обработку, обезвреживание и (или) захоронение ТКО</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423 356,35</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lastRenderedPageBreak/>
              <w:t>3.</w:t>
            </w: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Величина сглаживания необходимой валовой выручки</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108 353,06</w:t>
            </w:r>
          </w:p>
        </w:tc>
      </w:tr>
      <w:tr w:rsidR="00A91269" w:rsidRPr="00C66354" w:rsidTr="005A5E13">
        <w:trPr>
          <w:jc w:val="center"/>
        </w:trPr>
        <w:tc>
          <w:tcPr>
            <w:tcW w:w="636" w:type="dxa"/>
            <w:tcBorders>
              <w:top w:val="single" w:sz="4" w:space="0" w:color="auto"/>
              <w:left w:val="single" w:sz="4" w:space="0" w:color="auto"/>
              <w:bottom w:val="single" w:sz="4" w:space="0" w:color="auto"/>
              <w:right w:val="single" w:sz="4" w:space="0" w:color="auto"/>
            </w:tcBorders>
          </w:tcPr>
          <w:p w:rsidR="00A91269" w:rsidRPr="00C66354" w:rsidRDefault="00A91269" w:rsidP="005A5E13">
            <w:pPr>
              <w:pStyle w:val="af9"/>
              <w:jc w:val="both"/>
              <w:rPr>
                <w:rFonts w:ascii="Times New Roman" w:hAnsi="Times New Roman"/>
                <w:sz w:val="24"/>
                <w:szCs w:val="24"/>
              </w:rPr>
            </w:pPr>
          </w:p>
        </w:tc>
        <w:tc>
          <w:tcPr>
            <w:tcW w:w="5807" w:type="dxa"/>
            <w:tcBorders>
              <w:top w:val="single" w:sz="4" w:space="0" w:color="auto"/>
              <w:left w:val="single" w:sz="4" w:space="0" w:color="auto"/>
              <w:bottom w:val="single" w:sz="4" w:space="0" w:color="auto"/>
              <w:right w:val="single" w:sz="4" w:space="0" w:color="auto"/>
            </w:tcBorders>
            <w:hideMark/>
          </w:tcPr>
          <w:p w:rsidR="00A91269" w:rsidRPr="00C66354" w:rsidRDefault="00A91269" w:rsidP="005A5E13">
            <w:pPr>
              <w:pStyle w:val="af9"/>
              <w:jc w:val="both"/>
              <w:rPr>
                <w:rFonts w:ascii="Times New Roman" w:hAnsi="Times New Roman"/>
                <w:sz w:val="24"/>
                <w:szCs w:val="24"/>
              </w:rPr>
            </w:pPr>
            <w:r w:rsidRPr="00C66354">
              <w:rPr>
                <w:rFonts w:ascii="Times New Roman" w:hAnsi="Times New Roman"/>
                <w:sz w:val="24"/>
                <w:szCs w:val="24"/>
              </w:rPr>
              <w:t xml:space="preserve">Необходимая валовая выручка </w:t>
            </w:r>
          </w:p>
        </w:tc>
        <w:tc>
          <w:tcPr>
            <w:tcW w:w="2755" w:type="dxa"/>
            <w:tcBorders>
              <w:top w:val="single" w:sz="4" w:space="0" w:color="auto"/>
              <w:left w:val="single" w:sz="4" w:space="0" w:color="auto"/>
              <w:bottom w:val="single" w:sz="4" w:space="0" w:color="auto"/>
              <w:right w:val="single" w:sz="4" w:space="0" w:color="auto"/>
            </w:tcBorders>
            <w:vAlign w:val="center"/>
          </w:tcPr>
          <w:p w:rsidR="00A91269" w:rsidRPr="00C66354" w:rsidRDefault="00A91269" w:rsidP="005A5E13">
            <w:pPr>
              <w:pStyle w:val="af9"/>
              <w:jc w:val="center"/>
              <w:rPr>
                <w:rFonts w:ascii="Times New Roman" w:hAnsi="Times New Roman"/>
                <w:sz w:val="24"/>
                <w:szCs w:val="24"/>
              </w:rPr>
            </w:pPr>
            <w:r w:rsidRPr="00C66354">
              <w:rPr>
                <w:rFonts w:ascii="Times New Roman" w:hAnsi="Times New Roman"/>
                <w:sz w:val="24"/>
                <w:szCs w:val="24"/>
              </w:rPr>
              <w:t>4 390 596,01</w:t>
            </w:r>
          </w:p>
        </w:tc>
      </w:tr>
    </w:tbl>
    <w:p w:rsidR="00A91269" w:rsidRDefault="00A91269" w:rsidP="00A91269">
      <w:pPr>
        <w:pStyle w:val="af9"/>
        <w:ind w:firstLine="709"/>
        <w:jc w:val="both"/>
      </w:pPr>
    </w:p>
    <w:p w:rsidR="00A91269" w:rsidRPr="00C66354" w:rsidRDefault="00A91269" w:rsidP="00A91269">
      <w:pPr>
        <w:pStyle w:val="af9"/>
        <w:ind w:firstLine="709"/>
        <w:jc w:val="both"/>
        <w:rPr>
          <w:rFonts w:ascii="Times New Roman" w:hAnsi="Times New Roman"/>
          <w:sz w:val="28"/>
          <w:szCs w:val="28"/>
        </w:rPr>
      </w:pPr>
      <w:r w:rsidRPr="00C66354">
        <w:rPr>
          <w:rFonts w:ascii="Times New Roman" w:hAnsi="Times New Roman"/>
          <w:sz w:val="28"/>
          <w:szCs w:val="28"/>
        </w:rPr>
        <w:t xml:space="preserve">Структура НВВ регионального оператора на 2025 представлена также на рисунке </w:t>
      </w:r>
      <w:r w:rsidR="00C66354">
        <w:rPr>
          <w:rFonts w:ascii="Times New Roman" w:hAnsi="Times New Roman"/>
          <w:sz w:val="28"/>
          <w:szCs w:val="28"/>
        </w:rPr>
        <w:t>ниже</w:t>
      </w:r>
      <w:r w:rsidRPr="00C66354">
        <w:rPr>
          <w:rFonts w:ascii="Times New Roman" w:hAnsi="Times New Roman"/>
          <w:sz w:val="28"/>
          <w:szCs w:val="28"/>
        </w:rPr>
        <w:t xml:space="preserve">. </w:t>
      </w:r>
    </w:p>
    <w:p w:rsidR="00A91269" w:rsidRPr="00C66354" w:rsidRDefault="00A91269" w:rsidP="00A91269">
      <w:pPr>
        <w:autoSpaceDE w:val="0"/>
        <w:autoSpaceDN w:val="0"/>
        <w:adjustRightInd w:val="0"/>
        <w:spacing w:after="0" w:line="240" w:lineRule="auto"/>
        <w:ind w:firstLine="540"/>
        <w:jc w:val="both"/>
        <w:rPr>
          <w:rFonts w:eastAsia="Times New Roman"/>
          <w:szCs w:val="28"/>
        </w:rPr>
      </w:pPr>
    </w:p>
    <w:p w:rsidR="00A91269" w:rsidRDefault="00A91269" w:rsidP="00A91269">
      <w:pPr>
        <w:spacing w:after="0" w:line="252" w:lineRule="auto"/>
        <w:rPr>
          <w:szCs w:val="28"/>
        </w:rPr>
      </w:pPr>
      <w:r>
        <w:rPr>
          <w:noProof/>
          <w:szCs w:val="28"/>
        </w:rPr>
        <w:drawing>
          <wp:inline distT="0" distB="0" distL="0" distR="0" wp14:anchorId="677E5EBF" wp14:editId="7605B21B">
            <wp:extent cx="5662246" cy="3502331"/>
            <wp:effectExtent l="0" t="0" r="0" b="3175"/>
            <wp:docPr id="281"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4" cstate="print">
                      <a:extLst>
                        <a:ext uri="{28A0092B-C50C-407E-A947-70E740481C1C}">
                          <a14:useLocalDpi xmlns:a14="http://schemas.microsoft.com/office/drawing/2010/main" val="0"/>
                        </a:ext>
                      </a:extLst>
                    </a:blip>
                    <a:srcRect t="13937" b="3618"/>
                    <a:stretch/>
                  </pic:blipFill>
                  <pic:spPr bwMode="auto">
                    <a:xfrm>
                      <a:off x="0" y="0"/>
                      <a:ext cx="5693477" cy="3521648"/>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Pr="00FD016A" w:rsidRDefault="00A91269" w:rsidP="00A91269">
      <w:pPr>
        <w:pStyle w:val="af9"/>
        <w:jc w:val="center"/>
        <w:rPr>
          <w:i/>
          <w:sz w:val="24"/>
        </w:rPr>
      </w:pPr>
      <w:r w:rsidRPr="00C66354">
        <w:rPr>
          <w:rFonts w:ascii="Times New Roman" w:hAnsi="Times New Roman"/>
          <w:i/>
          <w:sz w:val="24"/>
        </w:rPr>
        <w:t>Рисунок  – Структура НВВ регионального оператора МУП «САХ» на 2025 год, тыс. руб</w:t>
      </w:r>
      <w:r w:rsidRPr="00FD016A">
        <w:rPr>
          <w:i/>
          <w:sz w:val="24"/>
        </w:rPr>
        <w:t>.</w:t>
      </w:r>
    </w:p>
    <w:p w:rsidR="00A91269" w:rsidRDefault="00A91269" w:rsidP="00A91269">
      <w:pPr>
        <w:spacing w:after="0" w:line="252" w:lineRule="auto"/>
        <w:ind w:firstLine="709"/>
        <w:jc w:val="both"/>
        <w:rPr>
          <w:szCs w:val="28"/>
        </w:rPr>
      </w:pPr>
    </w:p>
    <w:p w:rsidR="00A91269" w:rsidRPr="00B25264" w:rsidRDefault="00A91269" w:rsidP="00A91269">
      <w:pPr>
        <w:autoSpaceDE w:val="0"/>
        <w:autoSpaceDN w:val="0"/>
        <w:adjustRightInd w:val="0"/>
        <w:spacing w:after="0" w:line="240" w:lineRule="auto"/>
        <w:ind w:firstLine="709"/>
        <w:jc w:val="both"/>
        <w:rPr>
          <w:rFonts w:eastAsia="Times New Roman"/>
        </w:rPr>
      </w:pPr>
      <w:r>
        <w:rPr>
          <w:rFonts w:eastAsia="Times New Roman"/>
        </w:rPr>
        <w:t>П</w:t>
      </w:r>
      <w:r w:rsidRPr="00B25264">
        <w:rPr>
          <w:rFonts w:eastAsia="Times New Roman"/>
        </w:rPr>
        <w:t>редельн</w:t>
      </w:r>
      <w:r>
        <w:rPr>
          <w:rFonts w:eastAsia="Times New Roman"/>
        </w:rPr>
        <w:t>ый</w:t>
      </w:r>
      <w:r w:rsidRPr="00B25264">
        <w:rPr>
          <w:rFonts w:eastAsia="Times New Roman"/>
        </w:rPr>
        <w:t xml:space="preserve"> един</w:t>
      </w:r>
      <w:r>
        <w:rPr>
          <w:rFonts w:eastAsia="Times New Roman"/>
        </w:rPr>
        <w:t>ый</w:t>
      </w:r>
      <w:r w:rsidRPr="00B25264">
        <w:rPr>
          <w:rFonts w:eastAsia="Times New Roman"/>
        </w:rPr>
        <w:t xml:space="preserve"> тариф на услугу регионального оператора по обращению с ТКО на территории Новосибирской области </w:t>
      </w:r>
      <w:r w:rsidR="00C66354">
        <w:rPr>
          <w:rFonts w:eastAsia="Times New Roman"/>
        </w:rPr>
        <w:t xml:space="preserve">без учета НДС </w:t>
      </w:r>
      <w:r w:rsidR="00C66354" w:rsidRPr="00131038">
        <w:rPr>
          <w:rFonts w:eastAsia="Times New Roman"/>
        </w:rPr>
        <w:t>(НДС не облагается в соответствии с подпунктом 36) пункта 2 статьи 149 Налогового кодекса РФ)</w:t>
      </w:r>
      <w:r w:rsidR="00C66354">
        <w:rPr>
          <w:rFonts w:eastAsia="Times New Roman"/>
        </w:rPr>
        <w:t xml:space="preserve"> </w:t>
      </w:r>
      <w:r w:rsidR="00C66354" w:rsidRPr="00B25264">
        <w:rPr>
          <w:rFonts w:eastAsia="Times New Roman"/>
        </w:rPr>
        <w:t>составит</w:t>
      </w:r>
      <w:r w:rsidRPr="00B25264">
        <w:rPr>
          <w:rFonts w:eastAsia="Times New Roman"/>
        </w:rPr>
        <w:t>:</w:t>
      </w:r>
    </w:p>
    <w:p w:rsidR="00A91269" w:rsidRPr="00131038" w:rsidRDefault="00A91269" w:rsidP="00A91269">
      <w:pPr>
        <w:autoSpaceDE w:val="0"/>
        <w:autoSpaceDN w:val="0"/>
        <w:adjustRightInd w:val="0"/>
        <w:spacing w:after="0" w:line="240" w:lineRule="auto"/>
        <w:ind w:firstLine="709"/>
        <w:jc w:val="both"/>
        <w:rPr>
          <w:rFonts w:eastAsia="Times New Roman"/>
        </w:rPr>
      </w:pPr>
      <w:r>
        <w:rPr>
          <w:rFonts w:eastAsia="Times New Roman"/>
        </w:rPr>
        <w:t xml:space="preserve">с 01.01.2025 по 30.06.2025 </w:t>
      </w:r>
      <w:r w:rsidR="00C66354">
        <w:rPr>
          <w:rFonts w:eastAsia="Times New Roman"/>
        </w:rPr>
        <w:t xml:space="preserve">- </w:t>
      </w:r>
      <w:r>
        <w:rPr>
          <w:rFonts w:eastAsia="Times New Roman"/>
        </w:rPr>
        <w:t>436,69 руб./м</w:t>
      </w:r>
      <w:r w:rsidRPr="00131038">
        <w:rPr>
          <w:rFonts w:eastAsia="Times New Roman"/>
          <w:vertAlign w:val="superscript"/>
        </w:rPr>
        <w:t>3</w:t>
      </w:r>
      <w:r>
        <w:rPr>
          <w:rFonts w:eastAsia="Times New Roman"/>
        </w:rPr>
        <w:t>;</w:t>
      </w:r>
    </w:p>
    <w:p w:rsidR="00A91269" w:rsidRDefault="00A91269" w:rsidP="00A91269">
      <w:pPr>
        <w:autoSpaceDE w:val="0"/>
        <w:autoSpaceDN w:val="0"/>
        <w:adjustRightInd w:val="0"/>
        <w:spacing w:after="0" w:line="240" w:lineRule="auto"/>
        <w:ind w:firstLine="709"/>
        <w:jc w:val="both"/>
        <w:rPr>
          <w:rFonts w:eastAsia="Times New Roman"/>
        </w:rPr>
      </w:pPr>
      <w:r w:rsidRPr="00B25264">
        <w:rPr>
          <w:rFonts w:eastAsia="Times New Roman"/>
        </w:rPr>
        <w:t xml:space="preserve">с </w:t>
      </w:r>
      <w:r>
        <w:rPr>
          <w:rFonts w:eastAsia="Times New Roman"/>
        </w:rPr>
        <w:t>01.07</w:t>
      </w:r>
      <w:r w:rsidRPr="00B25264">
        <w:rPr>
          <w:rFonts w:eastAsia="Times New Roman"/>
        </w:rPr>
        <w:t>.202</w:t>
      </w:r>
      <w:r>
        <w:rPr>
          <w:rFonts w:eastAsia="Times New Roman"/>
        </w:rPr>
        <w:t>5</w:t>
      </w:r>
      <w:r w:rsidR="00C66354">
        <w:rPr>
          <w:rFonts w:eastAsia="Times New Roman"/>
        </w:rPr>
        <w:t xml:space="preserve"> </w:t>
      </w:r>
      <w:r w:rsidRPr="00B25264">
        <w:rPr>
          <w:rFonts w:eastAsia="Times New Roman"/>
        </w:rPr>
        <w:t>по 31.12.202</w:t>
      </w:r>
      <w:r>
        <w:rPr>
          <w:rFonts w:eastAsia="Times New Roman"/>
        </w:rPr>
        <w:t>5</w:t>
      </w:r>
      <w:r w:rsidRPr="00B25264">
        <w:rPr>
          <w:rFonts w:eastAsia="Times New Roman"/>
        </w:rPr>
        <w:t xml:space="preserve"> </w:t>
      </w:r>
      <w:r w:rsidR="00C66354">
        <w:rPr>
          <w:rFonts w:eastAsia="Times New Roman"/>
        </w:rPr>
        <w:t xml:space="preserve">- </w:t>
      </w:r>
      <w:r>
        <w:rPr>
          <w:rFonts w:eastAsia="Times New Roman"/>
        </w:rPr>
        <w:t>461,46</w:t>
      </w:r>
      <w:r w:rsidRPr="00B25264">
        <w:rPr>
          <w:rFonts w:eastAsia="Times New Roman"/>
        </w:rPr>
        <w:t xml:space="preserve"> руб./м</w:t>
      </w:r>
      <w:r w:rsidRPr="00C66354">
        <w:rPr>
          <w:rFonts w:eastAsia="Times New Roman"/>
        </w:rPr>
        <w:t>3</w:t>
      </w:r>
      <w:r w:rsidRPr="00B25264">
        <w:rPr>
          <w:rFonts w:eastAsia="Times New Roman"/>
        </w:rPr>
        <w:t>, с ростом относительно тарифа, установленного по состоянию на 31.12.202</w:t>
      </w:r>
      <w:r>
        <w:rPr>
          <w:rFonts w:eastAsia="Times New Roman"/>
        </w:rPr>
        <w:t>4</w:t>
      </w:r>
      <w:r w:rsidRPr="00B25264">
        <w:rPr>
          <w:rFonts w:eastAsia="Times New Roman"/>
        </w:rPr>
        <w:t xml:space="preserve">, на </w:t>
      </w:r>
      <w:r>
        <w:rPr>
          <w:rFonts w:eastAsia="Times New Roman"/>
        </w:rPr>
        <w:t>5,7</w:t>
      </w:r>
      <w:r w:rsidRPr="00B25264">
        <w:rPr>
          <w:rFonts w:eastAsia="Times New Roman"/>
        </w:rPr>
        <w:t>%.</w:t>
      </w:r>
    </w:p>
    <w:p w:rsidR="00A91269" w:rsidRDefault="00A91269" w:rsidP="00A91269">
      <w:pPr>
        <w:spacing w:after="0" w:line="240" w:lineRule="auto"/>
        <w:ind w:firstLine="709"/>
        <w:jc w:val="both"/>
        <w:rPr>
          <w:szCs w:val="28"/>
        </w:rPr>
      </w:pPr>
      <w:r w:rsidRPr="006E78BA">
        <w:rPr>
          <w:szCs w:val="28"/>
        </w:rPr>
        <w:t>Исходя из установленного норматива накопления ТКО в отношении домовладений на территории Новосибирской области на 1 проживающего в</w:t>
      </w:r>
      <w:r>
        <w:rPr>
          <w:szCs w:val="28"/>
        </w:rPr>
        <w:t> </w:t>
      </w:r>
      <w:r w:rsidRPr="006E78BA">
        <w:rPr>
          <w:szCs w:val="28"/>
        </w:rPr>
        <w:t>размере 2,38 куб. м/чел/год и установленн</w:t>
      </w:r>
      <w:r>
        <w:rPr>
          <w:szCs w:val="28"/>
        </w:rPr>
        <w:t>ого</w:t>
      </w:r>
      <w:r w:rsidRPr="006E78BA">
        <w:rPr>
          <w:szCs w:val="28"/>
        </w:rPr>
        <w:t xml:space="preserve"> </w:t>
      </w:r>
      <w:r>
        <w:rPr>
          <w:szCs w:val="28"/>
        </w:rPr>
        <w:t xml:space="preserve">на 2024 год </w:t>
      </w:r>
      <w:r w:rsidRPr="006E78BA">
        <w:rPr>
          <w:szCs w:val="28"/>
        </w:rPr>
        <w:t>предельн</w:t>
      </w:r>
      <w:r>
        <w:rPr>
          <w:szCs w:val="28"/>
        </w:rPr>
        <w:t>ого</w:t>
      </w:r>
      <w:r w:rsidRPr="006E78BA">
        <w:rPr>
          <w:szCs w:val="28"/>
        </w:rPr>
        <w:t xml:space="preserve"> един</w:t>
      </w:r>
      <w:r>
        <w:rPr>
          <w:szCs w:val="28"/>
        </w:rPr>
        <w:t>ого</w:t>
      </w:r>
      <w:r w:rsidRPr="006E78BA">
        <w:rPr>
          <w:szCs w:val="28"/>
        </w:rPr>
        <w:t xml:space="preserve"> тариф</w:t>
      </w:r>
      <w:r>
        <w:rPr>
          <w:szCs w:val="28"/>
        </w:rPr>
        <w:t>а</w:t>
      </w:r>
      <w:r w:rsidRPr="006E78BA">
        <w:rPr>
          <w:szCs w:val="28"/>
        </w:rPr>
        <w:t xml:space="preserve"> на услугу регионального оператора по обращению с ТКО для населения </w:t>
      </w:r>
      <w:r w:rsidRPr="00601419">
        <w:rPr>
          <w:szCs w:val="28"/>
        </w:rPr>
        <w:t>436,69</w:t>
      </w:r>
      <w:r>
        <w:rPr>
          <w:szCs w:val="28"/>
        </w:rPr>
        <w:t> </w:t>
      </w:r>
      <w:r w:rsidRPr="006E78BA">
        <w:rPr>
          <w:szCs w:val="28"/>
        </w:rPr>
        <w:t>руб./куб.</w:t>
      </w:r>
      <w:r>
        <w:rPr>
          <w:szCs w:val="28"/>
        </w:rPr>
        <w:t> </w:t>
      </w:r>
      <w:r w:rsidRPr="006E78BA">
        <w:rPr>
          <w:szCs w:val="28"/>
        </w:rPr>
        <w:t xml:space="preserve">м, </w:t>
      </w:r>
      <w:bookmarkStart w:id="114" w:name="_Hlk192413772"/>
      <w:r w:rsidRPr="006E78BA">
        <w:rPr>
          <w:szCs w:val="28"/>
        </w:rPr>
        <w:t xml:space="preserve">размер платы за коммунальную услугу по обращению с ТКО на 1 проживающего </w:t>
      </w:r>
      <w:r>
        <w:rPr>
          <w:szCs w:val="28"/>
        </w:rPr>
        <w:t>с 0</w:t>
      </w:r>
      <w:r w:rsidRPr="00081707">
        <w:rPr>
          <w:szCs w:val="28"/>
        </w:rPr>
        <w:t>6</w:t>
      </w:r>
      <w:r>
        <w:rPr>
          <w:szCs w:val="28"/>
        </w:rPr>
        <w:t>.0</w:t>
      </w:r>
      <w:r w:rsidRPr="00081707">
        <w:rPr>
          <w:szCs w:val="28"/>
        </w:rPr>
        <w:t>8</w:t>
      </w:r>
      <w:r>
        <w:rPr>
          <w:szCs w:val="28"/>
        </w:rPr>
        <w:t>.2024</w:t>
      </w:r>
      <w:r w:rsidRPr="006E78BA">
        <w:rPr>
          <w:szCs w:val="28"/>
        </w:rPr>
        <w:t xml:space="preserve"> состави</w:t>
      </w:r>
      <w:r>
        <w:rPr>
          <w:szCs w:val="28"/>
        </w:rPr>
        <w:t>л</w:t>
      </w:r>
      <w:r w:rsidRPr="006E78BA">
        <w:rPr>
          <w:szCs w:val="28"/>
        </w:rPr>
        <w:t xml:space="preserve"> </w:t>
      </w:r>
      <w:r>
        <w:rPr>
          <w:szCs w:val="28"/>
        </w:rPr>
        <w:t>86,61 руб./мес</w:t>
      </w:r>
      <w:r w:rsidRPr="006E78BA">
        <w:rPr>
          <w:szCs w:val="28"/>
        </w:rPr>
        <w:t>.</w:t>
      </w:r>
      <w:bookmarkEnd w:id="114"/>
    </w:p>
    <w:p w:rsidR="00A91269" w:rsidRDefault="00A91269" w:rsidP="00A91269">
      <w:pPr>
        <w:spacing w:after="0" w:line="240" w:lineRule="auto"/>
        <w:ind w:firstLine="709"/>
        <w:jc w:val="both"/>
        <w:rPr>
          <w:szCs w:val="28"/>
        </w:rPr>
      </w:pPr>
      <w:r>
        <w:rPr>
          <w:szCs w:val="28"/>
        </w:rPr>
        <w:t xml:space="preserve">По результатам корректировки </w:t>
      </w:r>
      <w:r w:rsidRPr="00086D8C">
        <w:rPr>
          <w:szCs w:val="28"/>
        </w:rPr>
        <w:t>предельного единого тарифа на услугу регионального оператора по обращению с ТКО для населения</w:t>
      </w:r>
      <w:r>
        <w:rPr>
          <w:szCs w:val="28"/>
        </w:rPr>
        <w:t xml:space="preserve"> на 2025 год р</w:t>
      </w:r>
      <w:r w:rsidRPr="00081707">
        <w:rPr>
          <w:szCs w:val="28"/>
        </w:rPr>
        <w:t>азмер платы за коммунальную услугу по обращению с ТКО на 1</w:t>
      </w:r>
      <w:r>
        <w:rPr>
          <w:szCs w:val="28"/>
        </w:rPr>
        <w:t> </w:t>
      </w:r>
      <w:r w:rsidRPr="00081707">
        <w:rPr>
          <w:szCs w:val="28"/>
        </w:rPr>
        <w:t xml:space="preserve">проживающего </w:t>
      </w:r>
      <w:r>
        <w:rPr>
          <w:szCs w:val="28"/>
        </w:rPr>
        <w:t xml:space="preserve">с 01.07.2025 соответственно </w:t>
      </w:r>
      <w:r w:rsidRPr="00081707">
        <w:rPr>
          <w:szCs w:val="28"/>
        </w:rPr>
        <w:t>состави</w:t>
      </w:r>
      <w:r>
        <w:rPr>
          <w:szCs w:val="28"/>
        </w:rPr>
        <w:t>т</w:t>
      </w:r>
      <w:r w:rsidRPr="00081707">
        <w:rPr>
          <w:szCs w:val="28"/>
        </w:rPr>
        <w:t xml:space="preserve"> </w:t>
      </w:r>
      <w:r>
        <w:rPr>
          <w:szCs w:val="28"/>
        </w:rPr>
        <w:t>91</w:t>
      </w:r>
      <w:r w:rsidRPr="00081707">
        <w:rPr>
          <w:szCs w:val="28"/>
        </w:rPr>
        <w:t>,</w:t>
      </w:r>
      <w:r>
        <w:rPr>
          <w:szCs w:val="28"/>
        </w:rPr>
        <w:t>52</w:t>
      </w:r>
      <w:r w:rsidRPr="00081707">
        <w:rPr>
          <w:szCs w:val="28"/>
        </w:rPr>
        <w:t xml:space="preserve"> руб./мес.</w:t>
      </w:r>
    </w:p>
    <w:p w:rsidR="00A91269" w:rsidRPr="008F0CD1" w:rsidRDefault="00A91269" w:rsidP="00A91269">
      <w:pPr>
        <w:autoSpaceDE w:val="0"/>
        <w:autoSpaceDN w:val="0"/>
        <w:adjustRightInd w:val="0"/>
        <w:spacing w:after="0" w:line="240" w:lineRule="auto"/>
        <w:ind w:firstLine="709"/>
        <w:jc w:val="both"/>
        <w:rPr>
          <w:szCs w:val="28"/>
        </w:rPr>
      </w:pPr>
      <w:r w:rsidRPr="008F0CD1">
        <w:rPr>
          <w:szCs w:val="28"/>
        </w:rPr>
        <w:t>Согласно п</w:t>
      </w:r>
      <w:r>
        <w:rPr>
          <w:szCs w:val="28"/>
        </w:rPr>
        <w:t>ункту </w:t>
      </w:r>
      <w:r w:rsidRPr="008F0CD1">
        <w:rPr>
          <w:szCs w:val="28"/>
        </w:rPr>
        <w:t xml:space="preserve">98 Методических указаний, единый тариф регионального оператора по обращению с ТКО по решению органа </w:t>
      </w:r>
      <w:r w:rsidRPr="008F0CD1">
        <w:rPr>
          <w:szCs w:val="28"/>
        </w:rPr>
        <w:lastRenderedPageBreak/>
        <w:t xml:space="preserve">регулирования тарифов или в соответствии с соглашением об организации деятельности по обращению с </w:t>
      </w:r>
      <w:r>
        <w:rPr>
          <w:szCs w:val="28"/>
        </w:rPr>
        <w:t>ТКО</w:t>
      </w:r>
      <w:r w:rsidRPr="008F0CD1">
        <w:rPr>
          <w:szCs w:val="28"/>
        </w:rPr>
        <w:t xml:space="preserve"> может дифференцироваться</w:t>
      </w:r>
      <w:r>
        <w:rPr>
          <w:szCs w:val="28"/>
        </w:rPr>
        <w:t xml:space="preserve"> по</w:t>
      </w:r>
      <w:r w:rsidRPr="008F0CD1">
        <w:rPr>
          <w:szCs w:val="28"/>
        </w:rPr>
        <w:t>:</w:t>
      </w:r>
    </w:p>
    <w:p w:rsidR="00A91269" w:rsidRPr="008F0CD1" w:rsidRDefault="00A91269" w:rsidP="00A91269">
      <w:pPr>
        <w:autoSpaceDE w:val="0"/>
        <w:autoSpaceDN w:val="0"/>
        <w:adjustRightInd w:val="0"/>
        <w:spacing w:after="0" w:line="240" w:lineRule="auto"/>
        <w:ind w:firstLine="709"/>
        <w:jc w:val="both"/>
        <w:rPr>
          <w:szCs w:val="28"/>
        </w:rPr>
      </w:pPr>
      <w:r>
        <w:rPr>
          <w:szCs w:val="28"/>
        </w:rPr>
        <w:t>- </w:t>
      </w:r>
      <w:r w:rsidRPr="008F0CD1">
        <w:rPr>
          <w:szCs w:val="28"/>
        </w:rPr>
        <w:t>видам ТКО (сортированные, несортированные, крупногабаритные, другие виды отходов, определенные органом исполнительной власти субъекта РФ) и классам опасности отходов;</w:t>
      </w:r>
    </w:p>
    <w:p w:rsidR="00A91269" w:rsidRPr="008F0CD1" w:rsidRDefault="00A91269" w:rsidP="00A91269">
      <w:pPr>
        <w:autoSpaceDE w:val="0"/>
        <w:autoSpaceDN w:val="0"/>
        <w:adjustRightInd w:val="0"/>
        <w:spacing w:after="0" w:line="240" w:lineRule="auto"/>
        <w:ind w:firstLine="709"/>
        <w:jc w:val="both"/>
        <w:rPr>
          <w:szCs w:val="28"/>
        </w:rPr>
      </w:pPr>
      <w:r>
        <w:rPr>
          <w:szCs w:val="28"/>
        </w:rPr>
        <w:t>- </w:t>
      </w:r>
      <w:r w:rsidRPr="008F0CD1">
        <w:rPr>
          <w:szCs w:val="28"/>
        </w:rPr>
        <w:t>муниципальным образованиям;</w:t>
      </w:r>
    </w:p>
    <w:p w:rsidR="00A91269" w:rsidRPr="008F0CD1" w:rsidRDefault="00A91269" w:rsidP="00A91269">
      <w:pPr>
        <w:autoSpaceDE w:val="0"/>
        <w:autoSpaceDN w:val="0"/>
        <w:adjustRightInd w:val="0"/>
        <w:spacing w:after="0" w:line="240" w:lineRule="auto"/>
        <w:ind w:firstLine="709"/>
        <w:jc w:val="both"/>
        <w:rPr>
          <w:szCs w:val="28"/>
        </w:rPr>
      </w:pPr>
      <w:r>
        <w:rPr>
          <w:szCs w:val="28"/>
        </w:rPr>
        <w:t>- </w:t>
      </w:r>
      <w:r w:rsidRPr="008F0CD1">
        <w:rPr>
          <w:szCs w:val="28"/>
        </w:rPr>
        <w:t xml:space="preserve">технологическим особенностям в соответствии с </w:t>
      </w:r>
      <w:r>
        <w:rPr>
          <w:szCs w:val="28"/>
        </w:rPr>
        <w:t>Т</w:t>
      </w:r>
      <w:r w:rsidRPr="008F0CD1">
        <w:rPr>
          <w:szCs w:val="28"/>
        </w:rPr>
        <w:t>ерриториальной схемой.</w:t>
      </w:r>
    </w:p>
    <w:p w:rsidR="00A91269" w:rsidRPr="008F0CD1" w:rsidRDefault="00A91269" w:rsidP="00A91269">
      <w:pPr>
        <w:autoSpaceDE w:val="0"/>
        <w:autoSpaceDN w:val="0"/>
        <w:adjustRightInd w:val="0"/>
        <w:spacing w:after="0" w:line="240" w:lineRule="auto"/>
        <w:ind w:firstLine="709"/>
        <w:jc w:val="both"/>
        <w:rPr>
          <w:szCs w:val="28"/>
        </w:rPr>
      </w:pPr>
      <w:r w:rsidRPr="008F0CD1">
        <w:rPr>
          <w:szCs w:val="28"/>
        </w:rPr>
        <w:t xml:space="preserve">Соглашением от </w:t>
      </w:r>
      <w:r w:rsidRPr="005804D7">
        <w:rPr>
          <w:szCs w:val="28"/>
        </w:rPr>
        <w:t>30.01.2024</w:t>
      </w:r>
      <w:r w:rsidRPr="008F0CD1">
        <w:rPr>
          <w:szCs w:val="28"/>
        </w:rPr>
        <w:t xml:space="preserve"> </w:t>
      </w:r>
      <w:r>
        <w:rPr>
          <w:szCs w:val="28"/>
        </w:rPr>
        <w:t xml:space="preserve">об организации деятельности по обращению с ТКО на территории Новосибирской области, </w:t>
      </w:r>
      <w:r w:rsidRPr="008F0CD1">
        <w:rPr>
          <w:szCs w:val="28"/>
        </w:rPr>
        <w:t xml:space="preserve">равно как и </w:t>
      </w:r>
      <w:r>
        <w:rPr>
          <w:szCs w:val="28"/>
        </w:rPr>
        <w:t>Т</w:t>
      </w:r>
      <w:r w:rsidRPr="008F0CD1">
        <w:rPr>
          <w:szCs w:val="28"/>
        </w:rPr>
        <w:t>ерриториальной схемой</w:t>
      </w:r>
      <w:r>
        <w:rPr>
          <w:szCs w:val="28"/>
        </w:rPr>
        <w:t>,</w:t>
      </w:r>
      <w:r w:rsidRPr="008F0CD1">
        <w:rPr>
          <w:szCs w:val="28"/>
        </w:rPr>
        <w:t xml:space="preserve"> дифференциация тарифов регионального оператора по обращению с ТКО не предусмотрена.</w:t>
      </w:r>
    </w:p>
    <w:p w:rsidR="00A91269" w:rsidRPr="008F0CD1" w:rsidRDefault="00A91269" w:rsidP="00A91269">
      <w:pPr>
        <w:autoSpaceDE w:val="0"/>
        <w:autoSpaceDN w:val="0"/>
        <w:adjustRightInd w:val="0"/>
        <w:spacing w:after="0" w:line="240" w:lineRule="auto"/>
        <w:ind w:firstLine="709"/>
        <w:jc w:val="both"/>
        <w:rPr>
          <w:szCs w:val="28"/>
        </w:rPr>
      </w:pPr>
      <w:r w:rsidRPr="008F0CD1">
        <w:rPr>
          <w:szCs w:val="28"/>
        </w:rPr>
        <w:t>Предложени</w:t>
      </w:r>
      <w:r>
        <w:rPr>
          <w:szCs w:val="28"/>
        </w:rPr>
        <w:t>я</w:t>
      </w:r>
      <w:r w:rsidRPr="008F0CD1">
        <w:rPr>
          <w:szCs w:val="28"/>
        </w:rPr>
        <w:t xml:space="preserve"> </w:t>
      </w:r>
      <w:r>
        <w:rPr>
          <w:szCs w:val="28"/>
        </w:rPr>
        <w:t>МУП «САХ»</w:t>
      </w:r>
      <w:r w:rsidRPr="008F0CD1">
        <w:rPr>
          <w:szCs w:val="28"/>
        </w:rPr>
        <w:t xml:space="preserve"> об установлении </w:t>
      </w:r>
      <w:r>
        <w:rPr>
          <w:szCs w:val="28"/>
        </w:rPr>
        <w:t xml:space="preserve">предельных </w:t>
      </w:r>
      <w:r w:rsidRPr="008F0CD1">
        <w:rPr>
          <w:szCs w:val="28"/>
        </w:rPr>
        <w:t>един</w:t>
      </w:r>
      <w:r>
        <w:rPr>
          <w:szCs w:val="28"/>
        </w:rPr>
        <w:t>ых</w:t>
      </w:r>
      <w:r w:rsidRPr="008F0CD1">
        <w:rPr>
          <w:szCs w:val="28"/>
        </w:rPr>
        <w:t xml:space="preserve"> тариф</w:t>
      </w:r>
      <w:r>
        <w:rPr>
          <w:szCs w:val="28"/>
        </w:rPr>
        <w:t>ов</w:t>
      </w:r>
      <w:r w:rsidRPr="008F0CD1">
        <w:rPr>
          <w:szCs w:val="28"/>
        </w:rPr>
        <w:t xml:space="preserve"> на услугу регионального оператора по обращению с ТКО</w:t>
      </w:r>
      <w:r>
        <w:rPr>
          <w:szCs w:val="28"/>
        </w:rPr>
        <w:t xml:space="preserve"> на период регулирования 2024-2031 годов и </w:t>
      </w:r>
      <w:r w:rsidRPr="00483657">
        <w:rPr>
          <w:szCs w:val="28"/>
        </w:rPr>
        <w:t xml:space="preserve">о корректировке предельного единого тарифа на услугу регионального оператора по обращению с </w:t>
      </w:r>
      <w:r>
        <w:rPr>
          <w:szCs w:val="28"/>
        </w:rPr>
        <w:t xml:space="preserve">ТКО </w:t>
      </w:r>
      <w:r w:rsidRPr="00483657">
        <w:rPr>
          <w:szCs w:val="28"/>
        </w:rPr>
        <w:t>на 2025 год</w:t>
      </w:r>
      <w:r w:rsidRPr="008F0CD1">
        <w:rPr>
          <w:szCs w:val="28"/>
        </w:rPr>
        <w:t xml:space="preserve"> </w:t>
      </w:r>
      <w:r>
        <w:rPr>
          <w:szCs w:val="28"/>
        </w:rPr>
        <w:t xml:space="preserve">также </w:t>
      </w:r>
      <w:r w:rsidRPr="008F0CD1">
        <w:rPr>
          <w:szCs w:val="28"/>
        </w:rPr>
        <w:t>не содержал</w:t>
      </w:r>
      <w:r>
        <w:rPr>
          <w:szCs w:val="28"/>
        </w:rPr>
        <w:t>и</w:t>
      </w:r>
      <w:r w:rsidRPr="008F0CD1">
        <w:rPr>
          <w:szCs w:val="28"/>
        </w:rPr>
        <w:t xml:space="preserve"> параметров дифференциации тарифа по муниципальным образованиям Новосибирской области.</w:t>
      </w:r>
    </w:p>
    <w:p w:rsidR="00A91269" w:rsidRPr="008F0CD1" w:rsidRDefault="00A91269" w:rsidP="00A91269">
      <w:pPr>
        <w:autoSpaceDE w:val="0"/>
        <w:autoSpaceDN w:val="0"/>
        <w:adjustRightInd w:val="0"/>
        <w:spacing w:after="0" w:line="240" w:lineRule="auto"/>
        <w:ind w:firstLine="709"/>
        <w:jc w:val="both"/>
        <w:rPr>
          <w:szCs w:val="28"/>
        </w:rPr>
      </w:pPr>
      <w:r w:rsidRPr="008F0CD1">
        <w:rPr>
          <w:szCs w:val="28"/>
        </w:rPr>
        <w:t>Кроме того, применение дифференцированного тарифа нецелесообразно, так как развитая инфраструктура по вывозу отходов существует только в крупных населенных пунктах. При установлении дифференцированного тарифа регионального оператора наибольший уровень тарифа сложится в небольших сельских населенных пунктах, имеющих меньшую плотность населения, менее развитую (зачастую отсутствующую) инфраструктуру в сфере обращения с отходами и большую транспортную удаленность</w:t>
      </w:r>
      <w:r>
        <w:rPr>
          <w:szCs w:val="28"/>
        </w:rPr>
        <w:t xml:space="preserve"> от ОРО</w:t>
      </w:r>
      <w:r w:rsidRPr="008F0CD1">
        <w:rPr>
          <w:szCs w:val="28"/>
        </w:rPr>
        <w:t>. Поэтому дифференциация тарифа регионального оператора не позволит решить проблему минимизации роста платы за услуги по обращению с ТКО по сравнению с текущим уровнем.</w:t>
      </w:r>
    </w:p>
    <w:p w:rsidR="00A91269" w:rsidRDefault="00A91269" w:rsidP="00A91269">
      <w:pPr>
        <w:autoSpaceDE w:val="0"/>
        <w:autoSpaceDN w:val="0"/>
        <w:adjustRightInd w:val="0"/>
        <w:spacing w:after="0" w:line="240" w:lineRule="auto"/>
        <w:ind w:firstLine="709"/>
        <w:jc w:val="both"/>
        <w:rPr>
          <w:szCs w:val="28"/>
        </w:rPr>
      </w:pPr>
      <w:r w:rsidRPr="008F0CD1">
        <w:rPr>
          <w:szCs w:val="28"/>
        </w:rPr>
        <w:t xml:space="preserve">Наличие формулировки «предельный единый тариф» </w:t>
      </w:r>
      <w:r>
        <w:rPr>
          <w:szCs w:val="28"/>
        </w:rPr>
        <w:t>дает возможность</w:t>
      </w:r>
      <w:r w:rsidRPr="008F0CD1">
        <w:rPr>
          <w:szCs w:val="28"/>
        </w:rPr>
        <w:t xml:space="preserve"> региональному оператору применять в отношении отдельных категорий потребителей более низкий тариф с постепенным его доведением до единого по всей зоне деятельности уровня, что позволяет избежать социальной напряженности.</w:t>
      </w:r>
    </w:p>
    <w:p w:rsidR="00A91269" w:rsidRDefault="00A91269" w:rsidP="00A91269">
      <w:pPr>
        <w:spacing w:after="0" w:line="240" w:lineRule="auto"/>
        <w:ind w:firstLine="709"/>
        <w:jc w:val="both"/>
        <w:rPr>
          <w:rFonts w:eastAsia="Times New Roman"/>
          <w:szCs w:val="28"/>
        </w:rPr>
      </w:pPr>
      <w:r w:rsidRPr="008D3E3B">
        <w:rPr>
          <w:rFonts w:eastAsia="Times New Roman"/>
          <w:szCs w:val="28"/>
        </w:rPr>
        <w:t>Экономический эффект от государст</w:t>
      </w:r>
      <w:r>
        <w:rPr>
          <w:rFonts w:eastAsia="Times New Roman"/>
          <w:szCs w:val="28"/>
        </w:rPr>
        <w:t>венного регулирования тарифов в </w:t>
      </w:r>
      <w:r w:rsidRPr="008D3E3B">
        <w:rPr>
          <w:rFonts w:eastAsia="Times New Roman"/>
          <w:szCs w:val="28"/>
        </w:rPr>
        <w:t>сфере обращения с ТКО на 2025 год составил 1</w:t>
      </w:r>
      <w:r>
        <w:rPr>
          <w:rFonts w:eastAsia="Times New Roman"/>
          <w:szCs w:val="28"/>
        </w:rPr>
        <w:t> </w:t>
      </w:r>
      <w:r w:rsidRPr="008D3E3B">
        <w:rPr>
          <w:rFonts w:eastAsia="Times New Roman"/>
          <w:szCs w:val="28"/>
        </w:rPr>
        <w:t>399</w:t>
      </w:r>
      <w:r>
        <w:rPr>
          <w:rFonts w:eastAsia="Times New Roman"/>
          <w:szCs w:val="28"/>
        </w:rPr>
        <w:t> </w:t>
      </w:r>
      <w:r w:rsidRPr="008D3E3B">
        <w:rPr>
          <w:rFonts w:eastAsia="Times New Roman"/>
          <w:szCs w:val="28"/>
        </w:rPr>
        <w:t>998,21 тыс.</w:t>
      </w:r>
      <w:r>
        <w:rPr>
          <w:rFonts w:eastAsia="Times New Roman"/>
          <w:szCs w:val="28"/>
        </w:rPr>
        <w:t> </w:t>
      </w:r>
      <w:r w:rsidRPr="008D3E3B">
        <w:rPr>
          <w:rFonts w:eastAsia="Times New Roman"/>
          <w:szCs w:val="28"/>
        </w:rPr>
        <w:t>рублей.</w:t>
      </w:r>
    </w:p>
    <w:p w:rsidR="00A91269" w:rsidRPr="00EE4F51" w:rsidRDefault="00A91269" w:rsidP="00A91269">
      <w:pPr>
        <w:spacing w:after="0" w:line="240" w:lineRule="auto"/>
        <w:ind w:firstLine="709"/>
        <w:jc w:val="both"/>
        <w:rPr>
          <w:rFonts w:eastAsia="Times New Roman"/>
          <w:szCs w:val="28"/>
        </w:rPr>
      </w:pPr>
      <w:r w:rsidRPr="00EE4F51">
        <w:rPr>
          <w:rFonts w:eastAsia="Times New Roman"/>
          <w:szCs w:val="28"/>
        </w:rPr>
        <w:t>Согласно выписке из Единого государственного реестра юридических лиц от 27.12.2024 №</w:t>
      </w:r>
      <w:r>
        <w:rPr>
          <w:rFonts w:eastAsia="Times New Roman"/>
          <w:szCs w:val="28"/>
        </w:rPr>
        <w:t> </w:t>
      </w:r>
      <w:r w:rsidRPr="00EE4F51">
        <w:rPr>
          <w:rFonts w:eastAsia="Times New Roman"/>
          <w:szCs w:val="28"/>
        </w:rPr>
        <w:t>ЮЭ9965-24-181396186 МУП «САХ» прекратило деятельность юридического лица путем реорганизации в форме преобразования. Правопреемником МУП «САХ» является АО «СПЕЦАВТОХОЗЯЙСТВО».</w:t>
      </w:r>
    </w:p>
    <w:p w:rsidR="00A91269" w:rsidRPr="00EE4F51" w:rsidRDefault="00A91269" w:rsidP="00A91269">
      <w:pPr>
        <w:spacing w:after="0" w:line="240" w:lineRule="auto"/>
        <w:ind w:firstLine="709"/>
        <w:jc w:val="both"/>
        <w:rPr>
          <w:rFonts w:eastAsia="Times New Roman"/>
          <w:szCs w:val="28"/>
        </w:rPr>
      </w:pPr>
      <w:r w:rsidRPr="00EE4F51">
        <w:rPr>
          <w:rFonts w:eastAsia="Times New Roman"/>
          <w:szCs w:val="28"/>
        </w:rPr>
        <w:t>В соответствии с пунктом 2</w:t>
      </w:r>
      <w:r>
        <w:rPr>
          <w:rFonts w:eastAsia="Times New Roman"/>
          <w:szCs w:val="28"/>
        </w:rPr>
        <w:t>5 Основ в отношении организации </w:t>
      </w:r>
      <w:r w:rsidRPr="00EE4F51">
        <w:rPr>
          <w:rFonts w:eastAsia="Times New Roman"/>
          <w:szCs w:val="28"/>
        </w:rPr>
        <w:t>-правопреемника регулируемой организации, которая в полном объеме приобрела ее права и обязанности, до утверждения в установленном порядке тарифов применяются тарифы, установленные для указанной регулируемой организации.</w:t>
      </w:r>
    </w:p>
    <w:p w:rsidR="00A91269" w:rsidRPr="00106019" w:rsidRDefault="00A91269" w:rsidP="00A91269">
      <w:pPr>
        <w:spacing w:after="0" w:line="240" w:lineRule="auto"/>
        <w:ind w:firstLine="709"/>
        <w:jc w:val="both"/>
        <w:rPr>
          <w:rFonts w:eastAsia="Times New Roman"/>
          <w:szCs w:val="28"/>
        </w:rPr>
      </w:pPr>
      <w:r w:rsidRPr="00EE4F51">
        <w:rPr>
          <w:rFonts w:eastAsia="Times New Roman"/>
          <w:szCs w:val="28"/>
        </w:rPr>
        <w:lastRenderedPageBreak/>
        <w:t>Учитывая изложенное, приказом департамента от 21.01.2025 №</w:t>
      </w:r>
      <w:r>
        <w:rPr>
          <w:rFonts w:eastAsia="Times New Roman"/>
          <w:szCs w:val="28"/>
        </w:rPr>
        <w:t> </w:t>
      </w:r>
      <w:r w:rsidRPr="00EE4F51">
        <w:rPr>
          <w:rFonts w:eastAsia="Times New Roman"/>
          <w:szCs w:val="28"/>
        </w:rPr>
        <w:t>6-ЖКХ/НПА внесены изменения в приказы д</w:t>
      </w:r>
      <w:r>
        <w:rPr>
          <w:rFonts w:eastAsia="Times New Roman"/>
          <w:szCs w:val="28"/>
        </w:rPr>
        <w:t>епартамента от 23.07.2024 № </w:t>
      </w:r>
      <w:r w:rsidRPr="00EE4F51">
        <w:rPr>
          <w:rFonts w:eastAsia="Times New Roman"/>
          <w:szCs w:val="28"/>
        </w:rPr>
        <w:t xml:space="preserve">163-ЖКХ/НПА, </w:t>
      </w:r>
      <w:r>
        <w:rPr>
          <w:rFonts w:eastAsia="Times New Roman"/>
          <w:szCs w:val="28"/>
        </w:rPr>
        <w:t xml:space="preserve">от </w:t>
      </w:r>
      <w:r w:rsidRPr="00EE4F51">
        <w:rPr>
          <w:rFonts w:eastAsia="Times New Roman"/>
          <w:szCs w:val="28"/>
        </w:rPr>
        <w:t>03.12.2024 №</w:t>
      </w:r>
      <w:r>
        <w:rPr>
          <w:rFonts w:eastAsia="Times New Roman"/>
          <w:szCs w:val="28"/>
        </w:rPr>
        <w:t> </w:t>
      </w:r>
      <w:r w:rsidRPr="00EE4F51">
        <w:rPr>
          <w:rFonts w:eastAsia="Times New Roman"/>
          <w:szCs w:val="28"/>
        </w:rPr>
        <w:t>330-ЖКХ/НПА, №</w:t>
      </w:r>
      <w:r>
        <w:rPr>
          <w:rFonts w:eastAsia="Times New Roman"/>
          <w:szCs w:val="28"/>
        </w:rPr>
        <w:t> </w:t>
      </w:r>
      <w:r w:rsidRPr="00EE4F51">
        <w:rPr>
          <w:rFonts w:eastAsia="Times New Roman"/>
          <w:szCs w:val="28"/>
        </w:rPr>
        <w:t>331-ЖКХ, №</w:t>
      </w:r>
      <w:r>
        <w:rPr>
          <w:rFonts w:eastAsia="Times New Roman"/>
          <w:szCs w:val="28"/>
        </w:rPr>
        <w:t> </w:t>
      </w:r>
      <w:r w:rsidRPr="00EE4F51">
        <w:rPr>
          <w:rFonts w:eastAsia="Times New Roman"/>
          <w:szCs w:val="28"/>
        </w:rPr>
        <w:t xml:space="preserve">332-ЖКХ/НПА, </w:t>
      </w:r>
      <w:r>
        <w:rPr>
          <w:rFonts w:eastAsia="Times New Roman"/>
          <w:szCs w:val="28"/>
        </w:rPr>
        <w:t>от </w:t>
      </w:r>
      <w:r w:rsidRPr="00EE4F51">
        <w:rPr>
          <w:rFonts w:eastAsia="Times New Roman"/>
          <w:szCs w:val="28"/>
        </w:rPr>
        <w:t>12.12.2024 №</w:t>
      </w:r>
      <w:r>
        <w:rPr>
          <w:rFonts w:eastAsia="Times New Roman"/>
          <w:szCs w:val="28"/>
        </w:rPr>
        <w:t> </w:t>
      </w:r>
      <w:r w:rsidRPr="00EE4F51">
        <w:rPr>
          <w:rFonts w:eastAsia="Times New Roman"/>
          <w:szCs w:val="28"/>
        </w:rPr>
        <w:t>376-ЖКХ/НПА в части изменения наименования юридического лица.</w:t>
      </w:r>
    </w:p>
    <w:p w:rsidR="00A91269" w:rsidRDefault="00A91269" w:rsidP="00A91269">
      <w:pPr>
        <w:autoSpaceDE w:val="0"/>
        <w:autoSpaceDN w:val="0"/>
        <w:adjustRightInd w:val="0"/>
        <w:spacing w:after="80" w:line="240" w:lineRule="auto"/>
        <w:ind w:firstLine="709"/>
        <w:jc w:val="both"/>
        <w:rPr>
          <w:szCs w:val="28"/>
        </w:rPr>
      </w:pPr>
      <w:r>
        <w:rPr>
          <w:szCs w:val="28"/>
        </w:rPr>
        <w:t xml:space="preserve">Отделом регулирования обращения с ТКО и мониторинга департамента проведен мониторинг предельных единых тарифов на услугу регионального оператора по обращению с ТКО в крупнейших городах Российской Федерации, результаты которого представлены на рисунке </w:t>
      </w:r>
      <w:r w:rsidR="005F2773">
        <w:rPr>
          <w:szCs w:val="28"/>
        </w:rPr>
        <w:t>ниже</w:t>
      </w:r>
      <w:r>
        <w:rPr>
          <w:szCs w:val="28"/>
        </w:rPr>
        <w:t xml:space="preserve">. </w:t>
      </w:r>
    </w:p>
    <w:p w:rsidR="00A91269" w:rsidRDefault="00A91269" w:rsidP="00A91269">
      <w:pPr>
        <w:autoSpaceDE w:val="0"/>
        <w:autoSpaceDN w:val="0"/>
        <w:adjustRightInd w:val="0"/>
        <w:spacing w:after="0" w:line="240" w:lineRule="auto"/>
        <w:rPr>
          <w:i/>
          <w:sz w:val="24"/>
          <w:szCs w:val="28"/>
        </w:rPr>
      </w:pPr>
      <w:r>
        <w:rPr>
          <w:noProof/>
          <w:szCs w:val="28"/>
        </w:rPr>
        <w:drawing>
          <wp:inline distT="0" distB="0" distL="0" distR="0" wp14:anchorId="538EA527" wp14:editId="2262A003">
            <wp:extent cx="5848890" cy="4149969"/>
            <wp:effectExtent l="0" t="0" r="0" b="3175"/>
            <wp:docPr id="282"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7890" t="2138" r="8679" b="3127"/>
                    <a:stretch/>
                  </pic:blipFill>
                  <pic:spPr bwMode="auto">
                    <a:xfrm>
                      <a:off x="0" y="0"/>
                      <a:ext cx="5857270" cy="4155915"/>
                    </a:xfrm>
                    <a:prstGeom prst="rect">
                      <a:avLst/>
                    </a:prstGeom>
                    <a:noFill/>
                    <a:ln>
                      <a:noFill/>
                    </a:ln>
                    <a:extLst>
                      <a:ext uri="{53640926-AAD7-44D8-BBD7-CCE9431645EC}">
                        <a14:shadowObscured xmlns:a14="http://schemas.microsoft.com/office/drawing/2010/main"/>
                      </a:ext>
                    </a:extLst>
                  </pic:spPr>
                </pic:pic>
              </a:graphicData>
            </a:graphic>
          </wp:inline>
        </w:drawing>
      </w:r>
      <w:r w:rsidRPr="00EA75DA">
        <w:rPr>
          <w:i/>
          <w:sz w:val="24"/>
          <w:szCs w:val="28"/>
        </w:rPr>
        <w:t xml:space="preserve">Рисунок  – </w:t>
      </w:r>
      <w:r w:rsidRPr="00FD49DC">
        <w:rPr>
          <w:i/>
          <w:sz w:val="24"/>
          <w:szCs w:val="28"/>
        </w:rPr>
        <w:t>Предельные единые тарифы на услугу регионального оператора</w:t>
      </w:r>
    </w:p>
    <w:p w:rsidR="00A91269" w:rsidRDefault="00A91269" w:rsidP="00A91269">
      <w:pPr>
        <w:spacing w:after="0" w:line="240" w:lineRule="auto"/>
        <w:ind w:firstLine="709"/>
        <w:rPr>
          <w:i/>
          <w:sz w:val="24"/>
          <w:szCs w:val="28"/>
        </w:rPr>
      </w:pPr>
      <w:r w:rsidRPr="00FD49DC">
        <w:rPr>
          <w:i/>
          <w:sz w:val="24"/>
          <w:szCs w:val="28"/>
        </w:rPr>
        <w:t>по обращению с ТКО, руб./м³</w:t>
      </w:r>
    </w:p>
    <w:p w:rsidR="00A91269" w:rsidRDefault="00A91269" w:rsidP="00A91269">
      <w:pPr>
        <w:spacing w:after="0" w:line="240" w:lineRule="auto"/>
        <w:ind w:firstLine="709"/>
        <w:rPr>
          <w:i/>
          <w:sz w:val="24"/>
          <w:szCs w:val="28"/>
        </w:rPr>
      </w:pPr>
    </w:p>
    <w:p w:rsidR="00A91269" w:rsidRPr="009B6B10" w:rsidRDefault="00A91269" w:rsidP="00A91269">
      <w:pPr>
        <w:autoSpaceDE w:val="0"/>
        <w:autoSpaceDN w:val="0"/>
        <w:adjustRightInd w:val="0"/>
        <w:spacing w:after="0" w:line="240" w:lineRule="auto"/>
        <w:ind w:firstLine="709"/>
        <w:jc w:val="both"/>
        <w:rPr>
          <w:rFonts w:eastAsia="Times New Roman"/>
        </w:rPr>
      </w:pPr>
      <w:r>
        <w:rPr>
          <w:rFonts w:eastAsia="Times New Roman"/>
        </w:rPr>
        <w:t>П</w:t>
      </w:r>
      <w:r w:rsidRPr="00B25264">
        <w:rPr>
          <w:rFonts w:eastAsia="Times New Roman"/>
        </w:rPr>
        <w:t>редельн</w:t>
      </w:r>
      <w:r>
        <w:rPr>
          <w:rFonts w:eastAsia="Times New Roman"/>
        </w:rPr>
        <w:t>ый</w:t>
      </w:r>
      <w:r w:rsidRPr="00B25264">
        <w:rPr>
          <w:rFonts w:eastAsia="Times New Roman"/>
        </w:rPr>
        <w:t xml:space="preserve"> един</w:t>
      </w:r>
      <w:r>
        <w:rPr>
          <w:rFonts w:eastAsia="Times New Roman"/>
        </w:rPr>
        <w:t>ый</w:t>
      </w:r>
      <w:r w:rsidRPr="00B25264">
        <w:rPr>
          <w:rFonts w:eastAsia="Times New Roman"/>
        </w:rPr>
        <w:t xml:space="preserve"> тариф на услугу регионального оператора по обращению с ТКО на территории </w:t>
      </w:r>
      <w:r>
        <w:rPr>
          <w:rFonts w:eastAsia="Times New Roman"/>
        </w:rPr>
        <w:t xml:space="preserve">г. Новосибирска </w:t>
      </w:r>
      <w:r w:rsidRPr="00B25264">
        <w:rPr>
          <w:rFonts w:eastAsia="Times New Roman"/>
        </w:rPr>
        <w:t xml:space="preserve">с </w:t>
      </w:r>
      <w:r>
        <w:rPr>
          <w:rFonts w:eastAsia="Times New Roman"/>
        </w:rPr>
        <w:t>01.07</w:t>
      </w:r>
      <w:r w:rsidRPr="00B25264">
        <w:rPr>
          <w:rFonts w:eastAsia="Times New Roman"/>
        </w:rPr>
        <w:t>.202</w:t>
      </w:r>
      <w:r>
        <w:rPr>
          <w:rFonts w:eastAsia="Times New Roman"/>
        </w:rPr>
        <w:t>5</w:t>
      </w:r>
      <w:r w:rsidRPr="00B25264">
        <w:rPr>
          <w:rFonts w:eastAsia="Times New Roman"/>
        </w:rPr>
        <w:t xml:space="preserve"> по 31.12.202</w:t>
      </w:r>
      <w:r>
        <w:rPr>
          <w:rFonts w:eastAsia="Times New Roman"/>
        </w:rPr>
        <w:t>5</w:t>
      </w:r>
      <w:r w:rsidRPr="00B25264">
        <w:rPr>
          <w:rFonts w:eastAsia="Times New Roman"/>
        </w:rPr>
        <w:t xml:space="preserve"> </w:t>
      </w:r>
      <w:r>
        <w:rPr>
          <w:rFonts w:eastAsia="Times New Roman"/>
        </w:rPr>
        <w:t>в размере 461,46</w:t>
      </w:r>
      <w:r w:rsidRPr="00B25264">
        <w:rPr>
          <w:rFonts w:eastAsia="Times New Roman"/>
        </w:rPr>
        <w:t xml:space="preserve"> руб./м</w:t>
      </w:r>
      <w:r w:rsidRPr="00131038">
        <w:rPr>
          <w:rFonts w:eastAsia="Times New Roman"/>
          <w:vertAlign w:val="superscript"/>
        </w:rPr>
        <w:t>3</w:t>
      </w:r>
      <w:r>
        <w:rPr>
          <w:rFonts w:eastAsia="Times New Roman"/>
        </w:rPr>
        <w:t xml:space="preserve"> является самым низким среди установленных </w:t>
      </w:r>
      <w:r>
        <w:rPr>
          <w:szCs w:val="28"/>
        </w:rPr>
        <w:t xml:space="preserve">предельных единых тарифов на услугу регионального оператора по обращению с ТКО в выбранных крупнейших городах РФ с </w:t>
      </w:r>
      <w:r>
        <w:rPr>
          <w:rFonts w:eastAsia="Times New Roman"/>
        </w:rPr>
        <w:t>01.07</w:t>
      </w:r>
      <w:r w:rsidRPr="00B25264">
        <w:rPr>
          <w:rFonts w:eastAsia="Times New Roman"/>
        </w:rPr>
        <w:t>.202</w:t>
      </w:r>
      <w:r>
        <w:rPr>
          <w:rFonts w:eastAsia="Times New Roman"/>
        </w:rPr>
        <w:t>5 по </w:t>
      </w:r>
      <w:r w:rsidRPr="00B25264">
        <w:rPr>
          <w:rFonts w:eastAsia="Times New Roman"/>
        </w:rPr>
        <w:t>31.12.202</w:t>
      </w:r>
      <w:r>
        <w:rPr>
          <w:rFonts w:eastAsia="Times New Roman"/>
        </w:rPr>
        <w:t>5</w:t>
      </w:r>
      <w:r>
        <w:rPr>
          <w:szCs w:val="28"/>
        </w:rPr>
        <w:t xml:space="preserve">. </w:t>
      </w:r>
    </w:p>
    <w:p w:rsidR="00A91269" w:rsidRDefault="00A91269" w:rsidP="00A91269">
      <w:pPr>
        <w:autoSpaceDE w:val="0"/>
        <w:autoSpaceDN w:val="0"/>
        <w:adjustRightInd w:val="0"/>
        <w:spacing w:after="0" w:line="240" w:lineRule="auto"/>
        <w:ind w:firstLine="709"/>
        <w:jc w:val="both"/>
        <w:rPr>
          <w:szCs w:val="28"/>
        </w:rPr>
      </w:pPr>
      <w:r>
        <w:rPr>
          <w:szCs w:val="28"/>
        </w:rPr>
        <w:t>Кроме того, на территориях</w:t>
      </w:r>
      <w:r w:rsidR="005F2773">
        <w:rPr>
          <w:szCs w:val="28"/>
        </w:rPr>
        <w:t xml:space="preserve"> субъектов РФ</w:t>
      </w:r>
      <w:r>
        <w:rPr>
          <w:szCs w:val="28"/>
        </w:rPr>
        <w:t>, входящих в состав Сибирского Федерального округа, проведен сравнительный анализ платы за коммунальную услугу по обращению с ТКО</w:t>
      </w:r>
      <w:r w:rsidRPr="008D2C69">
        <w:rPr>
          <w:szCs w:val="28"/>
        </w:rPr>
        <w:t xml:space="preserve"> </w:t>
      </w:r>
      <w:r>
        <w:rPr>
          <w:szCs w:val="28"/>
        </w:rPr>
        <w:t>на одного проживающего, исходя из установленных тарифов на услугу регионального оператора по обращению с ТКО с 01.07.</w:t>
      </w:r>
      <w:r w:rsidRPr="007807C9">
        <w:rPr>
          <w:szCs w:val="28"/>
        </w:rPr>
        <w:t>2025 (средних значений при наличии нескольких региональных операторов и зон обслуживания)</w:t>
      </w:r>
      <w:r>
        <w:rPr>
          <w:szCs w:val="28"/>
        </w:rPr>
        <w:t xml:space="preserve"> и действующих нормативов </w:t>
      </w:r>
      <w:r>
        <w:rPr>
          <w:szCs w:val="28"/>
        </w:rPr>
        <w:lastRenderedPageBreak/>
        <w:t xml:space="preserve">накопления ТКО (средних значений в случае их дифференциации). Данные анализа приведены на следующих диаграммах для многоквартирных (далее – МКД) и индивидуальных жилых домов (далее – ИЖД), представленных на рисунках </w:t>
      </w:r>
      <w:r w:rsidR="005F2773">
        <w:rPr>
          <w:szCs w:val="28"/>
        </w:rPr>
        <w:t xml:space="preserve">ниже </w:t>
      </w:r>
      <w:r>
        <w:rPr>
          <w:szCs w:val="28"/>
        </w:rPr>
        <w:t>соответственно.</w:t>
      </w:r>
    </w:p>
    <w:p w:rsidR="00A91269" w:rsidRDefault="00A91269" w:rsidP="00A91269">
      <w:pPr>
        <w:autoSpaceDE w:val="0"/>
        <w:autoSpaceDN w:val="0"/>
        <w:adjustRightInd w:val="0"/>
        <w:spacing w:after="0" w:line="252" w:lineRule="auto"/>
        <w:rPr>
          <w:szCs w:val="28"/>
        </w:rPr>
      </w:pPr>
      <w:r>
        <w:rPr>
          <w:noProof/>
          <w:szCs w:val="28"/>
        </w:rPr>
        <w:drawing>
          <wp:inline distT="0" distB="0" distL="0" distR="0" wp14:anchorId="3CA15A92" wp14:editId="151C77D2">
            <wp:extent cx="5738518" cy="2860431"/>
            <wp:effectExtent l="0" t="0" r="0" b="0"/>
            <wp:docPr id="2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6" cstate="print">
                      <a:extLst>
                        <a:ext uri="{28A0092B-C50C-407E-A947-70E740481C1C}">
                          <a14:useLocalDpi xmlns:a14="http://schemas.microsoft.com/office/drawing/2010/main" val="0"/>
                        </a:ext>
                      </a:extLst>
                    </a:blip>
                    <a:srcRect t="11956"/>
                    <a:stretch/>
                  </pic:blipFill>
                  <pic:spPr bwMode="auto">
                    <a:xfrm>
                      <a:off x="0" y="0"/>
                      <a:ext cx="5782597" cy="2882403"/>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Pr="00B821CD" w:rsidRDefault="00A91269" w:rsidP="00A91269">
      <w:pPr>
        <w:autoSpaceDE w:val="0"/>
        <w:autoSpaceDN w:val="0"/>
        <w:adjustRightInd w:val="0"/>
        <w:spacing w:after="0" w:line="252" w:lineRule="auto"/>
        <w:ind w:firstLine="709"/>
        <w:jc w:val="both"/>
        <w:rPr>
          <w:sz w:val="10"/>
          <w:szCs w:val="10"/>
        </w:rPr>
      </w:pPr>
    </w:p>
    <w:p w:rsidR="00A91269" w:rsidRDefault="00A91269" w:rsidP="00A91269">
      <w:pPr>
        <w:spacing w:after="0" w:line="240" w:lineRule="auto"/>
        <w:ind w:firstLine="709"/>
        <w:rPr>
          <w:i/>
          <w:sz w:val="24"/>
          <w:szCs w:val="28"/>
        </w:rPr>
      </w:pPr>
      <w:r w:rsidRPr="00EA75DA">
        <w:rPr>
          <w:i/>
          <w:sz w:val="24"/>
          <w:szCs w:val="28"/>
        </w:rPr>
        <w:t>Рисунок –</w:t>
      </w:r>
      <w:r w:rsidRPr="00916B47">
        <w:t xml:space="preserve"> </w:t>
      </w:r>
      <w:r w:rsidRPr="00916B47">
        <w:rPr>
          <w:i/>
          <w:sz w:val="24"/>
          <w:szCs w:val="28"/>
        </w:rPr>
        <w:t>Сравнительные данные в сфере обращения с ТКО по субъектам</w:t>
      </w:r>
      <w:r w:rsidR="00914CFD">
        <w:rPr>
          <w:i/>
          <w:sz w:val="24"/>
          <w:szCs w:val="28"/>
        </w:rPr>
        <w:t xml:space="preserve"> РФ </w:t>
      </w:r>
      <w:r w:rsidRPr="00916B47">
        <w:rPr>
          <w:i/>
          <w:sz w:val="24"/>
          <w:szCs w:val="28"/>
        </w:rPr>
        <w:br/>
        <w:t>Сибирского Федерального округа (МКД)</w:t>
      </w:r>
    </w:p>
    <w:p w:rsidR="00A91269" w:rsidRPr="000130A9" w:rsidRDefault="00A91269" w:rsidP="00A91269">
      <w:pPr>
        <w:spacing w:after="0" w:line="240" w:lineRule="auto"/>
        <w:ind w:firstLine="709"/>
        <w:rPr>
          <w:i/>
          <w:sz w:val="20"/>
        </w:rPr>
      </w:pPr>
    </w:p>
    <w:p w:rsidR="00A91269" w:rsidRPr="00142ED6" w:rsidRDefault="00A91269" w:rsidP="00A91269">
      <w:pPr>
        <w:spacing w:after="0" w:line="240" w:lineRule="auto"/>
        <w:rPr>
          <w:i/>
          <w:sz w:val="20"/>
        </w:rPr>
      </w:pPr>
      <w:r>
        <w:rPr>
          <w:i/>
          <w:noProof/>
          <w:sz w:val="20"/>
        </w:rPr>
        <w:drawing>
          <wp:inline distT="0" distB="0" distL="0" distR="0" wp14:anchorId="002D7288" wp14:editId="6A8F8A92">
            <wp:extent cx="5785339" cy="2321170"/>
            <wp:effectExtent l="0" t="0" r="6350" b="3175"/>
            <wp:docPr id="284"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47" cstate="print">
                      <a:extLst>
                        <a:ext uri="{28A0092B-C50C-407E-A947-70E740481C1C}">
                          <a14:useLocalDpi xmlns:a14="http://schemas.microsoft.com/office/drawing/2010/main" val="0"/>
                        </a:ext>
                      </a:extLst>
                    </a:blip>
                    <a:srcRect t="12895"/>
                    <a:stretch/>
                  </pic:blipFill>
                  <pic:spPr bwMode="auto">
                    <a:xfrm>
                      <a:off x="0" y="0"/>
                      <a:ext cx="5934326" cy="2380946"/>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Pr="00B821CD" w:rsidRDefault="00A91269" w:rsidP="00A91269">
      <w:pPr>
        <w:spacing w:after="0" w:line="240" w:lineRule="auto"/>
        <w:rPr>
          <w:i/>
          <w:sz w:val="10"/>
          <w:szCs w:val="12"/>
        </w:rPr>
      </w:pPr>
    </w:p>
    <w:p w:rsidR="00A91269" w:rsidRDefault="00A91269" w:rsidP="00A91269">
      <w:pPr>
        <w:spacing w:after="0" w:line="240" w:lineRule="auto"/>
        <w:ind w:firstLine="709"/>
        <w:rPr>
          <w:i/>
          <w:sz w:val="24"/>
          <w:szCs w:val="28"/>
        </w:rPr>
      </w:pPr>
      <w:r w:rsidRPr="00EA75DA">
        <w:rPr>
          <w:i/>
          <w:sz w:val="24"/>
          <w:szCs w:val="28"/>
        </w:rPr>
        <w:t>Рисунок  –</w:t>
      </w:r>
      <w:r w:rsidRPr="00916B47">
        <w:t xml:space="preserve"> </w:t>
      </w:r>
      <w:r w:rsidRPr="00916B47">
        <w:rPr>
          <w:i/>
          <w:sz w:val="24"/>
          <w:szCs w:val="28"/>
        </w:rPr>
        <w:t xml:space="preserve">Сравнительные данные в сфере обращения с ТКО по субъектам </w:t>
      </w:r>
      <w:r w:rsidR="00914CFD">
        <w:rPr>
          <w:i/>
          <w:sz w:val="24"/>
          <w:szCs w:val="28"/>
        </w:rPr>
        <w:t>РФ</w:t>
      </w:r>
      <w:r w:rsidRPr="00916B47">
        <w:rPr>
          <w:i/>
          <w:sz w:val="24"/>
          <w:szCs w:val="28"/>
        </w:rPr>
        <w:br/>
        <w:t>Сибирского Федерального округа (</w:t>
      </w:r>
      <w:r>
        <w:rPr>
          <w:i/>
          <w:sz w:val="24"/>
          <w:szCs w:val="28"/>
        </w:rPr>
        <w:t>ИЖД</w:t>
      </w:r>
      <w:r w:rsidRPr="00916B47">
        <w:rPr>
          <w:i/>
          <w:sz w:val="24"/>
          <w:szCs w:val="28"/>
        </w:rPr>
        <w:t>)</w:t>
      </w:r>
      <w:r>
        <w:rPr>
          <w:i/>
          <w:sz w:val="24"/>
          <w:szCs w:val="28"/>
        </w:rPr>
        <w:t xml:space="preserve"> </w:t>
      </w:r>
    </w:p>
    <w:p w:rsidR="00A91269" w:rsidRDefault="00A91269" w:rsidP="00A91269">
      <w:pPr>
        <w:spacing w:after="0" w:line="240" w:lineRule="auto"/>
        <w:rPr>
          <w:i/>
          <w:sz w:val="24"/>
          <w:szCs w:val="28"/>
        </w:rPr>
      </w:pPr>
    </w:p>
    <w:p w:rsidR="00A91269" w:rsidRDefault="00A91269" w:rsidP="00A91269">
      <w:pPr>
        <w:autoSpaceDE w:val="0"/>
        <w:autoSpaceDN w:val="0"/>
        <w:adjustRightInd w:val="0"/>
        <w:spacing w:after="0" w:line="240" w:lineRule="auto"/>
        <w:ind w:firstLine="709"/>
        <w:jc w:val="both"/>
        <w:rPr>
          <w:szCs w:val="28"/>
        </w:rPr>
      </w:pPr>
      <w:r>
        <w:rPr>
          <w:szCs w:val="28"/>
        </w:rPr>
        <w:t>Различие тарифов по величине может свидетельствовать о:</w:t>
      </w:r>
    </w:p>
    <w:p w:rsidR="00A91269" w:rsidRDefault="00A91269" w:rsidP="00A91269">
      <w:pPr>
        <w:autoSpaceDE w:val="0"/>
        <w:autoSpaceDN w:val="0"/>
        <w:adjustRightInd w:val="0"/>
        <w:spacing w:after="0" w:line="240" w:lineRule="auto"/>
        <w:ind w:firstLine="709"/>
        <w:jc w:val="both"/>
        <w:rPr>
          <w:szCs w:val="28"/>
        </w:rPr>
      </w:pPr>
      <w:r>
        <w:rPr>
          <w:szCs w:val="28"/>
        </w:rPr>
        <w:t>- наличии в составе тарифов инвестиционной составляющей, учитывающей создание и (или) реконструкцию объектов инфраструктуры по обращению с ТКО;</w:t>
      </w:r>
    </w:p>
    <w:p w:rsidR="00A91269" w:rsidRDefault="00A91269" w:rsidP="00A91269">
      <w:pPr>
        <w:autoSpaceDE w:val="0"/>
        <w:autoSpaceDN w:val="0"/>
        <w:adjustRightInd w:val="0"/>
        <w:spacing w:after="0" w:line="240" w:lineRule="auto"/>
        <w:ind w:firstLine="709"/>
        <w:jc w:val="both"/>
        <w:rPr>
          <w:szCs w:val="28"/>
        </w:rPr>
      </w:pPr>
      <w:r>
        <w:rPr>
          <w:szCs w:val="28"/>
        </w:rPr>
        <w:t>- различии условий оказания услуги (климатические особенности субъектов, расстояния транспортирования ТКО от источников образования до объектов размещения и т.п.).</w:t>
      </w:r>
    </w:p>
    <w:p w:rsidR="00914CFD" w:rsidRDefault="00914CFD" w:rsidP="00A91269">
      <w:pPr>
        <w:autoSpaceDE w:val="0"/>
        <w:autoSpaceDN w:val="0"/>
        <w:adjustRightInd w:val="0"/>
        <w:spacing w:after="0" w:line="240" w:lineRule="auto"/>
        <w:ind w:firstLine="709"/>
        <w:jc w:val="both"/>
        <w:rPr>
          <w:szCs w:val="28"/>
        </w:rPr>
      </w:pPr>
    </w:p>
    <w:p w:rsidR="00A91269" w:rsidRPr="00E11EFD" w:rsidRDefault="00A91269" w:rsidP="00A91269">
      <w:pPr>
        <w:autoSpaceDE w:val="0"/>
        <w:autoSpaceDN w:val="0"/>
        <w:adjustRightInd w:val="0"/>
        <w:spacing w:after="0" w:line="240" w:lineRule="auto"/>
        <w:ind w:firstLine="709"/>
        <w:jc w:val="both"/>
        <w:rPr>
          <w:szCs w:val="28"/>
        </w:rPr>
      </w:pPr>
      <w:r w:rsidRPr="00E11EFD">
        <w:rPr>
          <w:szCs w:val="28"/>
        </w:rPr>
        <w:lastRenderedPageBreak/>
        <w:t xml:space="preserve">Посредством системы ФГИС ЕИАС ФАС России </w:t>
      </w:r>
      <w:r>
        <w:rPr>
          <w:szCs w:val="28"/>
        </w:rPr>
        <w:t>д</w:t>
      </w:r>
      <w:r w:rsidRPr="00E11EFD">
        <w:rPr>
          <w:szCs w:val="28"/>
        </w:rPr>
        <w:t>епартамент в течение 20</w:t>
      </w:r>
      <w:r>
        <w:rPr>
          <w:szCs w:val="28"/>
        </w:rPr>
        <w:t>24</w:t>
      </w:r>
      <w:r w:rsidRPr="00E11EFD">
        <w:rPr>
          <w:szCs w:val="28"/>
        </w:rPr>
        <w:t xml:space="preserve"> года направлял следующую информацию:</w:t>
      </w:r>
    </w:p>
    <w:p w:rsidR="00A91269" w:rsidRPr="00E11EFD" w:rsidRDefault="00A91269" w:rsidP="00A91269">
      <w:pPr>
        <w:autoSpaceDE w:val="0"/>
        <w:autoSpaceDN w:val="0"/>
        <w:adjustRightInd w:val="0"/>
        <w:spacing w:after="0" w:line="240" w:lineRule="auto"/>
        <w:ind w:firstLine="709"/>
        <w:jc w:val="both"/>
        <w:rPr>
          <w:szCs w:val="28"/>
        </w:rPr>
      </w:pPr>
      <w:r w:rsidRPr="00E11EFD">
        <w:rPr>
          <w:szCs w:val="28"/>
        </w:rPr>
        <w:t>-</w:t>
      </w:r>
      <w:r>
        <w:rPr>
          <w:szCs w:val="28"/>
        </w:rPr>
        <w:t> </w:t>
      </w:r>
      <w:r w:rsidRPr="00E11EFD">
        <w:rPr>
          <w:szCs w:val="28"/>
        </w:rPr>
        <w:t xml:space="preserve">реестр объектов инфраструктуры регулируемых организаций в формате электронного документа – шаблона </w:t>
      </w:r>
      <w:r w:rsidRPr="00ED74E2">
        <w:rPr>
          <w:szCs w:val="28"/>
        </w:rPr>
        <w:t>REESTR.OTKO.SOURCE.2024;</w:t>
      </w:r>
    </w:p>
    <w:p w:rsidR="00A91269" w:rsidRPr="00E11EFD" w:rsidRDefault="00A91269" w:rsidP="00A91269">
      <w:pPr>
        <w:autoSpaceDE w:val="0"/>
        <w:autoSpaceDN w:val="0"/>
        <w:adjustRightInd w:val="0"/>
        <w:spacing w:after="0" w:line="240" w:lineRule="auto"/>
        <w:ind w:firstLine="709"/>
        <w:jc w:val="both"/>
        <w:rPr>
          <w:szCs w:val="28"/>
        </w:rPr>
      </w:pPr>
      <w:r w:rsidRPr="00E11EFD">
        <w:rPr>
          <w:szCs w:val="28"/>
        </w:rPr>
        <w:t>-</w:t>
      </w:r>
      <w:r>
        <w:rPr>
          <w:szCs w:val="28"/>
        </w:rPr>
        <w:t> </w:t>
      </w:r>
      <w:r w:rsidRPr="00E11EFD">
        <w:rPr>
          <w:szCs w:val="28"/>
        </w:rPr>
        <w:t xml:space="preserve">о технико-экономических показателях регулируемых организаций (план) в формате электронного документа – </w:t>
      </w:r>
      <w:r>
        <w:rPr>
          <w:szCs w:val="28"/>
        </w:rPr>
        <w:t xml:space="preserve">шаблона </w:t>
      </w:r>
      <w:r w:rsidRPr="00ED74E2">
        <w:rPr>
          <w:szCs w:val="28"/>
        </w:rPr>
        <w:t>BALANCE.CALC.TARIFF.OTKO.2024YEAR</w:t>
      </w:r>
      <w:r w:rsidRPr="00E11EFD">
        <w:rPr>
          <w:szCs w:val="28"/>
        </w:rPr>
        <w:t>;</w:t>
      </w:r>
    </w:p>
    <w:p w:rsidR="00A91269" w:rsidRPr="00E11EFD" w:rsidRDefault="00A91269" w:rsidP="00A91269">
      <w:pPr>
        <w:autoSpaceDE w:val="0"/>
        <w:autoSpaceDN w:val="0"/>
        <w:adjustRightInd w:val="0"/>
        <w:spacing w:after="0" w:line="240" w:lineRule="auto"/>
        <w:ind w:firstLine="709"/>
        <w:jc w:val="both"/>
        <w:rPr>
          <w:szCs w:val="28"/>
        </w:rPr>
      </w:pPr>
      <w:r w:rsidRPr="00E11EFD">
        <w:rPr>
          <w:szCs w:val="28"/>
        </w:rPr>
        <w:t>-</w:t>
      </w:r>
      <w:r>
        <w:rPr>
          <w:szCs w:val="28"/>
        </w:rPr>
        <w:t> </w:t>
      </w:r>
      <w:r w:rsidRPr="00E11EFD">
        <w:rPr>
          <w:szCs w:val="28"/>
        </w:rPr>
        <w:t xml:space="preserve">о перечне региональных операторов по Новосибирской области в формате электронного документа – шаблона </w:t>
      </w:r>
      <w:r w:rsidRPr="00ED74E2">
        <w:rPr>
          <w:szCs w:val="28"/>
        </w:rPr>
        <w:t>INFO.REG.OPERATOR.OTKO.2024</w:t>
      </w:r>
      <w:r>
        <w:rPr>
          <w:szCs w:val="28"/>
        </w:rPr>
        <w:t>.</w:t>
      </w:r>
    </w:p>
    <w:p w:rsidR="00A91269" w:rsidRDefault="00A91269" w:rsidP="00A91269">
      <w:pPr>
        <w:autoSpaceDE w:val="0"/>
        <w:autoSpaceDN w:val="0"/>
        <w:adjustRightInd w:val="0"/>
        <w:spacing w:after="0" w:line="240" w:lineRule="auto"/>
        <w:ind w:firstLine="709"/>
        <w:jc w:val="both"/>
        <w:rPr>
          <w:szCs w:val="28"/>
        </w:rPr>
      </w:pPr>
      <w:r w:rsidRPr="0008179D">
        <w:rPr>
          <w:szCs w:val="28"/>
        </w:rPr>
        <w:t>Р</w:t>
      </w:r>
      <w:r w:rsidRPr="00E11EFD">
        <w:rPr>
          <w:szCs w:val="28"/>
        </w:rPr>
        <w:t>аскрытие информации в области обращения с ТКО осуществля</w:t>
      </w:r>
      <w:r>
        <w:rPr>
          <w:szCs w:val="28"/>
        </w:rPr>
        <w:t xml:space="preserve">лось операторами </w:t>
      </w:r>
      <w:r w:rsidRPr="00E11EFD">
        <w:rPr>
          <w:szCs w:val="28"/>
        </w:rPr>
        <w:t xml:space="preserve">на основании </w:t>
      </w:r>
      <w:r>
        <w:rPr>
          <w:szCs w:val="28"/>
        </w:rPr>
        <w:t>положений П</w:t>
      </w:r>
      <w:r w:rsidRPr="00E11EFD">
        <w:rPr>
          <w:szCs w:val="28"/>
        </w:rPr>
        <w:t>остановления Правительства Р</w:t>
      </w:r>
      <w:r>
        <w:rPr>
          <w:szCs w:val="28"/>
        </w:rPr>
        <w:t xml:space="preserve">оссийской </w:t>
      </w:r>
      <w:r w:rsidRPr="00E11EFD">
        <w:rPr>
          <w:szCs w:val="28"/>
        </w:rPr>
        <w:t>Ф</w:t>
      </w:r>
      <w:r>
        <w:rPr>
          <w:szCs w:val="28"/>
        </w:rPr>
        <w:t>едерации от 26.</w:t>
      </w:r>
      <w:r w:rsidRPr="00E11EFD">
        <w:rPr>
          <w:szCs w:val="28"/>
        </w:rPr>
        <w:t>0</w:t>
      </w:r>
      <w:r>
        <w:rPr>
          <w:szCs w:val="28"/>
        </w:rPr>
        <w:t>1</w:t>
      </w:r>
      <w:r w:rsidRPr="00E11EFD">
        <w:rPr>
          <w:szCs w:val="28"/>
        </w:rPr>
        <w:t>.20</w:t>
      </w:r>
      <w:r>
        <w:rPr>
          <w:szCs w:val="28"/>
        </w:rPr>
        <w:t>23</w:t>
      </w:r>
      <w:r w:rsidRPr="00E11EFD">
        <w:rPr>
          <w:szCs w:val="28"/>
        </w:rPr>
        <w:t xml:space="preserve"> №</w:t>
      </w:r>
      <w:r>
        <w:rPr>
          <w:szCs w:val="28"/>
        </w:rPr>
        <w:t> 109</w:t>
      </w:r>
      <w:r w:rsidRPr="00E11EFD">
        <w:rPr>
          <w:szCs w:val="28"/>
        </w:rPr>
        <w:t xml:space="preserve"> </w:t>
      </w:r>
      <w:r>
        <w:rPr>
          <w:szCs w:val="28"/>
        </w:rPr>
        <w:t>«</w:t>
      </w:r>
      <w:r w:rsidRPr="00E11EFD">
        <w:rPr>
          <w:szCs w:val="28"/>
        </w:rPr>
        <w:t xml:space="preserve">О </w:t>
      </w:r>
      <w:r>
        <w:rPr>
          <w:szCs w:val="28"/>
        </w:rPr>
        <w:t>стандартах</w:t>
      </w:r>
      <w:r w:rsidRPr="00E11EFD">
        <w:rPr>
          <w:szCs w:val="28"/>
        </w:rPr>
        <w:t xml:space="preserve"> раскрытия информации в области обращения с твердыми коммунальными отходами</w:t>
      </w:r>
      <w:r>
        <w:rPr>
          <w:szCs w:val="28"/>
        </w:rPr>
        <w:t>».</w:t>
      </w:r>
    </w:p>
    <w:p w:rsidR="00A91269" w:rsidRDefault="00A91269" w:rsidP="00A91269">
      <w:pPr>
        <w:autoSpaceDE w:val="0"/>
        <w:autoSpaceDN w:val="0"/>
        <w:adjustRightInd w:val="0"/>
        <w:spacing w:after="0" w:line="240" w:lineRule="auto"/>
        <w:ind w:firstLine="709"/>
        <w:jc w:val="both"/>
        <w:rPr>
          <w:szCs w:val="28"/>
        </w:rPr>
      </w:pPr>
      <w:r w:rsidRPr="00331CDC">
        <w:rPr>
          <w:szCs w:val="28"/>
        </w:rPr>
        <w:t xml:space="preserve">Раскрываемая информация в области обращения с ТКО отражается на портале публикаций сведений, подлежащих свободному доступу на сайте департамента </w:t>
      </w:r>
      <w:r>
        <w:rPr>
          <w:szCs w:val="28"/>
        </w:rPr>
        <w:t>(</w:t>
      </w:r>
      <w:hyperlink r:id="rId148" w:history="1">
        <w:r w:rsidRPr="00724AC6">
          <w:rPr>
            <w:rStyle w:val="a3"/>
            <w:szCs w:val="28"/>
          </w:rPr>
          <w:t>https://tarif.nso.ru/page/430</w:t>
        </w:r>
      </w:hyperlink>
      <w:r>
        <w:rPr>
          <w:szCs w:val="28"/>
        </w:rPr>
        <w:t>)</w:t>
      </w:r>
      <w:r w:rsidRPr="00331CDC">
        <w:rPr>
          <w:szCs w:val="28"/>
        </w:rPr>
        <w:t>.</w:t>
      </w:r>
    </w:p>
    <w:p w:rsidR="00A91269" w:rsidRDefault="00A91269" w:rsidP="00A91269">
      <w:pPr>
        <w:autoSpaceDE w:val="0"/>
        <w:autoSpaceDN w:val="0"/>
        <w:adjustRightInd w:val="0"/>
        <w:spacing w:after="0" w:line="240" w:lineRule="auto"/>
        <w:ind w:firstLine="709"/>
        <w:jc w:val="both"/>
        <w:rPr>
          <w:szCs w:val="28"/>
          <w:highlight w:val="yellow"/>
        </w:rPr>
      </w:pPr>
      <w:r w:rsidRPr="002B7E18">
        <w:rPr>
          <w:szCs w:val="28"/>
        </w:rPr>
        <w:t>В соответствии со статьей 52 Федерального закона от 31.07.2020 № 248-ФЗ «О государственном контроле (надзоре) и муниципальном контроле в Российской Федерации»</w:t>
      </w:r>
      <w:r>
        <w:rPr>
          <w:szCs w:val="28"/>
        </w:rPr>
        <w:t xml:space="preserve"> (ред. от 08.08.2024)</w:t>
      </w:r>
      <w:r w:rsidRPr="002B7E18">
        <w:rPr>
          <w:szCs w:val="28"/>
        </w:rPr>
        <w:t>, пунктами 2, 29-34 Положения о региональном госуд</w:t>
      </w:r>
      <w:r>
        <w:rPr>
          <w:szCs w:val="28"/>
        </w:rPr>
        <w:t>арственном контроле (надзоре) в </w:t>
      </w:r>
      <w:r w:rsidRPr="002B7E18">
        <w:rPr>
          <w:szCs w:val="28"/>
        </w:rPr>
        <w:t>области государственного регулирования цен (тарифов), утвержденного постановлением Правительства Новоси</w:t>
      </w:r>
      <w:r>
        <w:rPr>
          <w:szCs w:val="28"/>
        </w:rPr>
        <w:t>бирской области от 28.09.2021 № </w:t>
      </w:r>
      <w:r w:rsidRPr="002B7E18">
        <w:rPr>
          <w:szCs w:val="28"/>
        </w:rPr>
        <w:t xml:space="preserve">384-п, департамент проводит обязательные профилактические визиты в рамках регионального государственного контроля (надзора) в области регулирования тарифов в сфере обращения с </w:t>
      </w:r>
      <w:r>
        <w:rPr>
          <w:szCs w:val="28"/>
        </w:rPr>
        <w:t xml:space="preserve">ТКО. </w:t>
      </w:r>
    </w:p>
    <w:p w:rsidR="00A91269" w:rsidRDefault="00A91269" w:rsidP="00A91269">
      <w:pPr>
        <w:autoSpaceDE w:val="0"/>
        <w:autoSpaceDN w:val="0"/>
        <w:adjustRightInd w:val="0"/>
        <w:spacing w:after="0" w:line="240" w:lineRule="auto"/>
        <w:ind w:firstLine="709"/>
        <w:jc w:val="both"/>
        <w:rPr>
          <w:szCs w:val="28"/>
          <w:highlight w:val="yellow"/>
        </w:rPr>
      </w:pPr>
      <w:r>
        <w:rPr>
          <w:szCs w:val="28"/>
        </w:rPr>
        <w:t>Так, в 2024 году был проведен</w:t>
      </w:r>
      <w:r w:rsidRPr="00F849C4">
        <w:rPr>
          <w:szCs w:val="28"/>
        </w:rPr>
        <w:t xml:space="preserve"> 1 обязательный профилактический</w:t>
      </w:r>
      <w:r>
        <w:rPr>
          <w:szCs w:val="28"/>
        </w:rPr>
        <w:t xml:space="preserve"> визит в </w:t>
      </w:r>
      <w:r w:rsidRPr="00F849C4">
        <w:rPr>
          <w:szCs w:val="28"/>
        </w:rPr>
        <w:t>отношении МКУ «РУАД», осуществляюще</w:t>
      </w:r>
      <w:r>
        <w:rPr>
          <w:szCs w:val="28"/>
        </w:rPr>
        <w:t>го</w:t>
      </w:r>
      <w:r w:rsidRPr="00F849C4">
        <w:rPr>
          <w:szCs w:val="28"/>
        </w:rPr>
        <w:t xml:space="preserve"> регулируемую деятельность </w:t>
      </w:r>
      <w:r>
        <w:rPr>
          <w:szCs w:val="28"/>
        </w:rPr>
        <w:t>в </w:t>
      </w:r>
      <w:r w:rsidRPr="00F849C4">
        <w:rPr>
          <w:szCs w:val="28"/>
        </w:rPr>
        <w:t>сфере обращения с ТКО на территории г. Карасука Карасукского района Новосибирской области. Проведение обязательного профилактического визита обусловлено началом осуществления МКУ «РУАД» в 2023 году регулируемого вида деятельности</w:t>
      </w:r>
      <w:r>
        <w:rPr>
          <w:szCs w:val="28"/>
        </w:rPr>
        <w:t xml:space="preserve">. </w:t>
      </w:r>
    </w:p>
    <w:p w:rsidR="00A91269" w:rsidRDefault="00A91269" w:rsidP="00A91269">
      <w:pPr>
        <w:autoSpaceDE w:val="0"/>
        <w:autoSpaceDN w:val="0"/>
        <w:adjustRightInd w:val="0"/>
        <w:spacing w:after="0" w:line="240" w:lineRule="auto"/>
        <w:ind w:firstLine="709"/>
        <w:jc w:val="both"/>
        <w:rPr>
          <w:szCs w:val="28"/>
        </w:rPr>
      </w:pPr>
      <w:r w:rsidRPr="00F42B5E">
        <w:rPr>
          <w:szCs w:val="28"/>
        </w:rPr>
        <w:t>По результатам прове</w:t>
      </w:r>
      <w:r>
        <w:rPr>
          <w:szCs w:val="28"/>
        </w:rPr>
        <w:t>дения профилактического визита сбор сведений об </w:t>
      </w:r>
      <w:r w:rsidRPr="00F42B5E">
        <w:rPr>
          <w:szCs w:val="28"/>
        </w:rPr>
        <w:t>объектах контроля в целях их отнесения к категориям риска не осуществлен</w:t>
      </w:r>
      <w:r>
        <w:rPr>
          <w:szCs w:val="28"/>
        </w:rPr>
        <w:t xml:space="preserve">. </w:t>
      </w:r>
    </w:p>
    <w:p w:rsidR="00A91269" w:rsidRDefault="00A91269" w:rsidP="00A91269">
      <w:pPr>
        <w:spacing w:after="0" w:line="240" w:lineRule="auto"/>
        <w:rPr>
          <w:i/>
          <w:sz w:val="24"/>
          <w:szCs w:val="28"/>
        </w:rPr>
      </w:pPr>
    </w:p>
    <w:p w:rsidR="00914CFD" w:rsidRDefault="00914CFD" w:rsidP="00A91269">
      <w:pPr>
        <w:autoSpaceDE w:val="0"/>
        <w:autoSpaceDN w:val="0"/>
        <w:spacing w:after="0" w:line="240" w:lineRule="auto"/>
        <w:ind w:firstLine="720"/>
        <w:rPr>
          <w:b/>
          <w:noProof/>
          <w:sz w:val="32"/>
          <w:szCs w:val="32"/>
        </w:rPr>
      </w:pPr>
      <w:bookmarkStart w:id="115" w:name="_Toc162431951"/>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914CFD" w:rsidRDefault="00914CFD" w:rsidP="00A91269">
      <w:pPr>
        <w:autoSpaceDE w:val="0"/>
        <w:autoSpaceDN w:val="0"/>
        <w:spacing w:after="0" w:line="240" w:lineRule="auto"/>
        <w:ind w:firstLine="720"/>
        <w:rPr>
          <w:b/>
          <w:noProof/>
          <w:sz w:val="32"/>
          <w:szCs w:val="32"/>
        </w:rPr>
      </w:pPr>
    </w:p>
    <w:p w:rsidR="00A91269" w:rsidRPr="00A91269" w:rsidRDefault="00A91269" w:rsidP="00914CFD">
      <w:pPr>
        <w:pStyle w:val="20231"/>
      </w:pPr>
      <w:bookmarkStart w:id="116" w:name="_Toc193810579"/>
      <w:r w:rsidRPr="00A91269">
        <w:t>2.7. Коммунальный комплекс</w:t>
      </w:r>
      <w:bookmarkEnd w:id="115"/>
      <w:bookmarkEnd w:id="116"/>
    </w:p>
    <w:p w:rsidR="00A91269" w:rsidRDefault="00A91269" w:rsidP="00A91269">
      <w:pPr>
        <w:autoSpaceDE w:val="0"/>
        <w:autoSpaceDN w:val="0"/>
        <w:spacing w:after="0" w:line="240" w:lineRule="auto"/>
        <w:ind w:firstLine="720"/>
        <w:jc w:val="both"/>
        <w:rPr>
          <w:rFonts w:eastAsia="Times New Roman"/>
          <w:szCs w:val="28"/>
        </w:rPr>
      </w:pPr>
      <w:r w:rsidRPr="005B271B">
        <w:rPr>
          <w:rFonts w:eastAsia="Times New Roman"/>
          <w:szCs w:val="28"/>
        </w:rPr>
        <w:t xml:space="preserve">Постановлением Правительства РФ от 30.04.2014 № 400 утверждены </w:t>
      </w:r>
      <w:r>
        <w:rPr>
          <w:rFonts w:eastAsia="Times New Roman"/>
          <w:szCs w:val="28"/>
        </w:rPr>
        <w:t>О</w:t>
      </w:r>
      <w:r w:rsidRPr="005B271B">
        <w:rPr>
          <w:rFonts w:eastAsia="Times New Roman"/>
          <w:szCs w:val="28"/>
        </w:rPr>
        <w:t>сновы формирования индексов изменения размера платы граждан за коммунальные услуги в Российской Федерации (далее</w:t>
      </w:r>
      <w:r>
        <w:rPr>
          <w:rFonts w:eastAsia="Times New Roman"/>
          <w:szCs w:val="28"/>
        </w:rPr>
        <w:t> </w:t>
      </w:r>
      <w:r w:rsidRPr="005B271B">
        <w:rPr>
          <w:rFonts w:eastAsia="Times New Roman"/>
          <w:szCs w:val="28"/>
        </w:rPr>
        <w:t>–</w:t>
      </w:r>
      <w:r>
        <w:rPr>
          <w:rFonts w:eastAsia="Times New Roman"/>
          <w:szCs w:val="28"/>
        </w:rPr>
        <w:t> </w:t>
      </w:r>
      <w:r w:rsidRPr="005B271B">
        <w:rPr>
          <w:rFonts w:eastAsia="Times New Roman"/>
          <w:szCs w:val="28"/>
        </w:rPr>
        <w:t>Основы</w:t>
      </w:r>
      <w:r>
        <w:rPr>
          <w:rFonts w:eastAsia="Times New Roman"/>
          <w:szCs w:val="28"/>
        </w:rPr>
        <w:t xml:space="preserve"> формирования индексов</w:t>
      </w:r>
      <w:r w:rsidRPr="005B271B">
        <w:rPr>
          <w:rFonts w:eastAsia="Times New Roman"/>
          <w:szCs w:val="28"/>
        </w:rPr>
        <w:t>), в том числе определяющие принципы и порядок расчета, утверждения и применения предельных (максимальных) индексов изменения размера вносимой гражданами платы за коммунальные услуги в муниципальных образованиях и индексов изменения размера вносимой гражданами платы за коммунальные услуги в среднем по субъектам Р</w:t>
      </w:r>
      <w:r w:rsidR="00914CFD">
        <w:rPr>
          <w:rFonts w:eastAsia="Times New Roman"/>
          <w:szCs w:val="28"/>
        </w:rPr>
        <w:t>Ф</w:t>
      </w:r>
      <w:r w:rsidRPr="005B271B">
        <w:rPr>
          <w:rFonts w:eastAsia="Times New Roman"/>
          <w:szCs w:val="28"/>
        </w:rPr>
        <w:t xml:space="preserve"> (далее</w:t>
      </w:r>
      <w:r>
        <w:rPr>
          <w:rFonts w:eastAsia="Times New Roman"/>
          <w:szCs w:val="28"/>
        </w:rPr>
        <w:t> </w:t>
      </w:r>
      <w:r w:rsidRPr="005B271B">
        <w:rPr>
          <w:rFonts w:eastAsia="Times New Roman"/>
          <w:szCs w:val="28"/>
        </w:rPr>
        <w:t>–</w:t>
      </w:r>
      <w:r>
        <w:rPr>
          <w:rFonts w:eastAsia="Times New Roman"/>
          <w:szCs w:val="28"/>
        </w:rPr>
        <w:t> </w:t>
      </w:r>
      <w:r w:rsidRPr="005B271B">
        <w:rPr>
          <w:rFonts w:eastAsia="Times New Roman"/>
          <w:szCs w:val="28"/>
        </w:rPr>
        <w:t>индекс по субъектам</w:t>
      </w:r>
      <w:r w:rsidRPr="005B271B">
        <w:rPr>
          <w:rFonts w:eastAsia="Times New Roman"/>
        </w:rPr>
        <w:t xml:space="preserve"> РФ</w:t>
      </w:r>
      <w:r w:rsidRPr="005B271B">
        <w:rPr>
          <w:rFonts w:eastAsia="Times New Roman"/>
          <w:szCs w:val="28"/>
        </w:rPr>
        <w:t>).</w:t>
      </w:r>
    </w:p>
    <w:p w:rsidR="00A91269" w:rsidRPr="00D66FE9" w:rsidRDefault="00A91269" w:rsidP="00A91269">
      <w:pPr>
        <w:autoSpaceDE w:val="0"/>
        <w:autoSpaceDN w:val="0"/>
        <w:spacing w:after="0" w:line="240" w:lineRule="auto"/>
        <w:ind w:firstLine="720"/>
        <w:jc w:val="both"/>
        <w:rPr>
          <w:rFonts w:eastAsia="Times New Roman"/>
          <w:szCs w:val="28"/>
        </w:rPr>
      </w:pPr>
      <w:r w:rsidRPr="00D66FE9">
        <w:rPr>
          <w:rFonts w:eastAsia="Times New Roman"/>
          <w:szCs w:val="28"/>
        </w:rPr>
        <w:t>Индексы по субъектам РФ и размер отклонений по субъектам РФ утверждаются Правительством РФ.</w:t>
      </w:r>
    </w:p>
    <w:p w:rsidR="00A91269" w:rsidRPr="00D66FE9" w:rsidRDefault="00A91269" w:rsidP="00A91269">
      <w:pPr>
        <w:autoSpaceDE w:val="0"/>
        <w:autoSpaceDN w:val="0"/>
        <w:spacing w:after="0" w:line="240" w:lineRule="auto"/>
        <w:ind w:firstLine="720"/>
        <w:jc w:val="both"/>
        <w:rPr>
          <w:rFonts w:eastAsia="Times New Roman"/>
          <w:szCs w:val="28"/>
        </w:rPr>
      </w:pPr>
      <w:r>
        <w:rPr>
          <w:rFonts w:eastAsia="Times New Roman"/>
          <w:szCs w:val="28"/>
        </w:rPr>
        <w:t>В соответствии с пунктом 35</w:t>
      </w:r>
      <w:r w:rsidRPr="00D66FE9">
        <w:rPr>
          <w:rFonts w:eastAsia="Times New Roman"/>
          <w:szCs w:val="28"/>
        </w:rPr>
        <w:t xml:space="preserve"> Основ формирования индексов</w:t>
      </w:r>
      <w:r>
        <w:rPr>
          <w:rFonts w:eastAsia="Times New Roman"/>
          <w:szCs w:val="28"/>
        </w:rPr>
        <w:t xml:space="preserve"> п</w:t>
      </w:r>
      <w:r w:rsidRPr="00D66FE9">
        <w:rPr>
          <w:rFonts w:eastAsia="Times New Roman"/>
          <w:szCs w:val="28"/>
        </w:rPr>
        <w:t>редельные индексы устанавливаются на основании индексов по субъектам РФ с учетом размера отклонений по субъектам РФ на каждый год долгосрочного периода</w:t>
      </w:r>
      <w:r>
        <w:rPr>
          <w:rFonts w:eastAsia="Times New Roman"/>
          <w:szCs w:val="28"/>
        </w:rPr>
        <w:t>.</w:t>
      </w:r>
    </w:p>
    <w:p w:rsidR="00A91269" w:rsidRDefault="00A91269" w:rsidP="00A91269">
      <w:pPr>
        <w:autoSpaceDE w:val="0"/>
        <w:autoSpaceDN w:val="0"/>
        <w:spacing w:after="80" w:line="240" w:lineRule="auto"/>
        <w:ind w:firstLine="720"/>
        <w:jc w:val="both"/>
        <w:rPr>
          <w:rFonts w:eastAsia="Times New Roman"/>
          <w:szCs w:val="28"/>
        </w:rPr>
      </w:pPr>
      <w:r w:rsidRPr="00D66FE9">
        <w:rPr>
          <w:rFonts w:eastAsia="Times New Roman"/>
          <w:szCs w:val="28"/>
        </w:rPr>
        <w:t xml:space="preserve">Отделом регулирования обращения с ТКО и мониторинга </w:t>
      </w:r>
      <w:r>
        <w:rPr>
          <w:rFonts w:eastAsia="Times New Roman"/>
          <w:szCs w:val="28"/>
        </w:rPr>
        <w:t xml:space="preserve">департамента </w:t>
      </w:r>
      <w:r w:rsidRPr="00D66FE9">
        <w:rPr>
          <w:rFonts w:eastAsia="Times New Roman"/>
          <w:szCs w:val="28"/>
        </w:rPr>
        <w:t>осуществлен сбор информации об установленных Правительством РФ индексах изменения размера вносимой гражда</w:t>
      </w:r>
      <w:r>
        <w:rPr>
          <w:rFonts w:eastAsia="Times New Roman"/>
          <w:szCs w:val="28"/>
        </w:rPr>
        <w:t>нами платы за </w:t>
      </w:r>
      <w:r w:rsidRPr="00D66FE9">
        <w:rPr>
          <w:rFonts w:eastAsia="Times New Roman"/>
          <w:szCs w:val="28"/>
        </w:rPr>
        <w:t>коммунальные услуги по Сибирскому Федеральному округу за период 2014-202</w:t>
      </w:r>
      <w:r>
        <w:rPr>
          <w:rFonts w:eastAsia="Times New Roman"/>
          <w:szCs w:val="28"/>
        </w:rPr>
        <w:t>5</w:t>
      </w:r>
      <w:r w:rsidRPr="00D66FE9">
        <w:rPr>
          <w:rFonts w:eastAsia="Times New Roman"/>
          <w:szCs w:val="28"/>
        </w:rPr>
        <w:t xml:space="preserve"> гг., результаты представлены в таблице</w:t>
      </w:r>
      <w:r w:rsidR="00914CFD">
        <w:rPr>
          <w:rFonts w:eastAsia="Times New Roman"/>
          <w:szCs w:val="28"/>
        </w:rPr>
        <w:t xml:space="preserve"> ниже</w:t>
      </w:r>
      <w:r w:rsidRPr="00D66FE9">
        <w:rPr>
          <w:rFonts w:eastAsia="Times New Roman"/>
          <w:szCs w:val="28"/>
        </w:rPr>
        <w:t>.</w:t>
      </w:r>
    </w:p>
    <w:p w:rsidR="00A91269" w:rsidRPr="00914CFD" w:rsidRDefault="00A91269" w:rsidP="00A91269">
      <w:pPr>
        <w:spacing w:before="80" w:after="80" w:line="240" w:lineRule="auto"/>
        <w:ind w:firstLine="709"/>
        <w:jc w:val="both"/>
        <w:rPr>
          <w:b/>
          <w:i/>
          <w:sz w:val="24"/>
          <w:szCs w:val="28"/>
        </w:rPr>
      </w:pPr>
      <w:r w:rsidRPr="00914CFD">
        <w:rPr>
          <w:b/>
          <w:i/>
          <w:sz w:val="24"/>
          <w:szCs w:val="28"/>
        </w:rPr>
        <w:t>Таблица  – Индексы изменения размера вносимой гражданами платы за коммунальные услуги по Сибирскому Федеральному округу за период 2014-2025 гг.</w:t>
      </w:r>
    </w:p>
    <w:p w:rsidR="00A91269" w:rsidRPr="005B271B" w:rsidRDefault="00A91269" w:rsidP="00A91269">
      <w:pPr>
        <w:autoSpaceDE w:val="0"/>
        <w:autoSpaceDN w:val="0"/>
        <w:spacing w:after="0" w:line="240" w:lineRule="auto"/>
        <w:jc w:val="both"/>
        <w:rPr>
          <w:rFonts w:eastAsia="Times New Roman"/>
          <w:szCs w:val="28"/>
        </w:rPr>
      </w:pPr>
      <w:r w:rsidRPr="00962D1B">
        <w:rPr>
          <w:noProof/>
        </w:rPr>
        <w:drawing>
          <wp:inline distT="0" distB="0" distL="0" distR="0" wp14:anchorId="1FC3E19A" wp14:editId="38B29BA6">
            <wp:extent cx="5855677" cy="2855530"/>
            <wp:effectExtent l="0" t="0" r="0" b="2540"/>
            <wp:docPr id="285"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871213" cy="2863106"/>
                    </a:xfrm>
                    <a:prstGeom prst="rect">
                      <a:avLst/>
                    </a:prstGeom>
                    <a:noFill/>
                    <a:ln>
                      <a:noFill/>
                    </a:ln>
                  </pic:spPr>
                </pic:pic>
              </a:graphicData>
            </a:graphic>
          </wp:inline>
        </w:drawing>
      </w:r>
    </w:p>
    <w:p w:rsidR="00A91269" w:rsidRDefault="00A91269" w:rsidP="00A91269">
      <w:pPr>
        <w:autoSpaceDE w:val="0"/>
        <w:autoSpaceDN w:val="0"/>
        <w:adjustRightInd w:val="0"/>
        <w:spacing w:after="0" w:line="240" w:lineRule="auto"/>
        <w:ind w:firstLine="540"/>
        <w:jc w:val="both"/>
        <w:rPr>
          <w:szCs w:val="28"/>
        </w:rPr>
      </w:pPr>
    </w:p>
    <w:p w:rsidR="00A91269" w:rsidRDefault="00A91269" w:rsidP="00A91269">
      <w:pPr>
        <w:autoSpaceDE w:val="0"/>
        <w:autoSpaceDN w:val="0"/>
        <w:adjustRightInd w:val="0"/>
        <w:spacing w:after="0" w:line="240" w:lineRule="auto"/>
        <w:ind w:firstLine="540"/>
        <w:jc w:val="both"/>
        <w:rPr>
          <w:szCs w:val="28"/>
        </w:rPr>
      </w:pPr>
      <w:r>
        <w:rPr>
          <w:szCs w:val="28"/>
        </w:rPr>
        <w:t xml:space="preserve">На рисунке </w:t>
      </w:r>
      <w:r w:rsidR="00914CFD">
        <w:rPr>
          <w:szCs w:val="28"/>
        </w:rPr>
        <w:t>ниже</w:t>
      </w:r>
      <w:r>
        <w:rPr>
          <w:szCs w:val="28"/>
        </w:rPr>
        <w:t xml:space="preserve"> представлена динамика индекса </w:t>
      </w:r>
      <w:r w:rsidRPr="004E7D77">
        <w:rPr>
          <w:szCs w:val="28"/>
        </w:rPr>
        <w:t>изменения размера вносимой гражданами платы за коммунальные услуги в среднем по</w:t>
      </w:r>
      <w:r>
        <w:rPr>
          <w:szCs w:val="28"/>
        </w:rPr>
        <w:t xml:space="preserve"> Новосибирской области </w:t>
      </w:r>
      <w:r w:rsidRPr="004E7D77">
        <w:rPr>
          <w:szCs w:val="28"/>
        </w:rPr>
        <w:t>за период 2014-2025 гг.</w:t>
      </w:r>
      <w:r>
        <w:rPr>
          <w:szCs w:val="28"/>
        </w:rPr>
        <w:t xml:space="preserve"> </w:t>
      </w:r>
    </w:p>
    <w:p w:rsidR="00A91269" w:rsidRDefault="00A91269" w:rsidP="00A91269">
      <w:pPr>
        <w:autoSpaceDE w:val="0"/>
        <w:autoSpaceDN w:val="0"/>
        <w:adjustRightInd w:val="0"/>
        <w:spacing w:after="0" w:line="240" w:lineRule="auto"/>
        <w:ind w:firstLine="540"/>
        <w:jc w:val="both"/>
        <w:rPr>
          <w:szCs w:val="28"/>
        </w:rPr>
      </w:pPr>
    </w:p>
    <w:p w:rsidR="00A91269" w:rsidRDefault="00A91269" w:rsidP="00A91269">
      <w:pPr>
        <w:autoSpaceDE w:val="0"/>
        <w:autoSpaceDN w:val="0"/>
        <w:adjustRightInd w:val="0"/>
        <w:spacing w:after="0" w:line="240" w:lineRule="auto"/>
        <w:rPr>
          <w:szCs w:val="28"/>
        </w:rPr>
      </w:pPr>
      <w:r>
        <w:rPr>
          <w:noProof/>
          <w:szCs w:val="28"/>
        </w:rPr>
        <w:drawing>
          <wp:inline distT="0" distB="0" distL="0" distR="0" wp14:anchorId="370A0CD1" wp14:editId="179A7BC7">
            <wp:extent cx="5750169" cy="2478217"/>
            <wp:effectExtent l="0" t="0" r="3175" b="0"/>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50">
                      <a:extLst>
                        <a:ext uri="{28A0092B-C50C-407E-A947-70E740481C1C}">
                          <a14:useLocalDpi xmlns:a14="http://schemas.microsoft.com/office/drawing/2010/main" val="0"/>
                        </a:ext>
                      </a:extLst>
                    </a:blip>
                    <a:srcRect t="8850"/>
                    <a:stretch/>
                  </pic:blipFill>
                  <pic:spPr bwMode="auto">
                    <a:xfrm>
                      <a:off x="0" y="0"/>
                      <a:ext cx="5781152" cy="2491570"/>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Default="00A91269" w:rsidP="00A91269">
      <w:pPr>
        <w:autoSpaceDE w:val="0"/>
        <w:autoSpaceDN w:val="0"/>
        <w:adjustRightInd w:val="0"/>
        <w:spacing w:after="0" w:line="240" w:lineRule="auto"/>
        <w:rPr>
          <w:i/>
          <w:sz w:val="24"/>
          <w:szCs w:val="28"/>
        </w:rPr>
      </w:pPr>
      <w:r w:rsidRPr="00EA75DA">
        <w:rPr>
          <w:i/>
          <w:sz w:val="24"/>
          <w:szCs w:val="28"/>
        </w:rPr>
        <w:t>Рисунок  –</w:t>
      </w:r>
      <w:r w:rsidRPr="00916B47">
        <w:t xml:space="preserve"> </w:t>
      </w:r>
      <w:r>
        <w:rPr>
          <w:i/>
          <w:sz w:val="24"/>
          <w:szCs w:val="28"/>
        </w:rPr>
        <w:t>Д</w:t>
      </w:r>
      <w:r w:rsidRPr="000B6315">
        <w:rPr>
          <w:i/>
          <w:sz w:val="24"/>
          <w:szCs w:val="28"/>
        </w:rPr>
        <w:t>инамика индекса изменения размера вносимой гражданами платы за коммунальные услуги в среднем по Новосибирской области за период 2014-2025 гг.</w:t>
      </w:r>
      <w:r>
        <w:rPr>
          <w:i/>
          <w:sz w:val="24"/>
          <w:szCs w:val="28"/>
        </w:rPr>
        <w:t>, %</w:t>
      </w:r>
    </w:p>
    <w:p w:rsidR="00A91269" w:rsidRDefault="00A91269" w:rsidP="00A91269">
      <w:pPr>
        <w:autoSpaceDE w:val="0"/>
        <w:autoSpaceDN w:val="0"/>
        <w:adjustRightInd w:val="0"/>
        <w:spacing w:after="0" w:line="240" w:lineRule="auto"/>
        <w:rPr>
          <w:szCs w:val="28"/>
        </w:rPr>
      </w:pPr>
    </w:p>
    <w:p w:rsidR="00A91269" w:rsidRPr="00EC4364" w:rsidRDefault="00A91269" w:rsidP="00A91269">
      <w:pPr>
        <w:autoSpaceDE w:val="0"/>
        <w:autoSpaceDN w:val="0"/>
        <w:adjustRightInd w:val="0"/>
        <w:spacing w:after="0" w:line="240" w:lineRule="auto"/>
        <w:ind w:firstLine="540"/>
        <w:jc w:val="both"/>
        <w:rPr>
          <w:rFonts w:eastAsia="Times New Roman"/>
          <w:szCs w:val="28"/>
        </w:rPr>
      </w:pPr>
      <w:r>
        <w:rPr>
          <w:szCs w:val="28"/>
        </w:rPr>
        <w:t xml:space="preserve">Распоряжением Правительства Российской Федерации </w:t>
      </w:r>
      <w:bookmarkStart w:id="117" w:name="_Hlk192434973"/>
      <w:r>
        <w:rPr>
          <w:szCs w:val="28"/>
        </w:rPr>
        <w:t>от 15.11.2024</w:t>
      </w:r>
      <w:r w:rsidR="00914CFD">
        <w:rPr>
          <w:szCs w:val="28"/>
        </w:rPr>
        <w:t xml:space="preserve"> </w:t>
      </w:r>
      <w:r>
        <w:rPr>
          <w:szCs w:val="28"/>
        </w:rPr>
        <w:t>№ 3287-р</w:t>
      </w:r>
      <w:r w:rsidRPr="00A97C64">
        <w:rPr>
          <w:rFonts w:eastAsia="Times New Roman"/>
          <w:szCs w:val="28"/>
        </w:rPr>
        <w:t xml:space="preserve"> </w:t>
      </w:r>
      <w:bookmarkEnd w:id="117"/>
      <w:r w:rsidRPr="00A97C64">
        <w:rPr>
          <w:rFonts w:eastAsia="Times New Roman"/>
          <w:szCs w:val="28"/>
        </w:rPr>
        <w:t>утверждены индексы изменения размера вносимой гражданами платы за коммунальные услуги в среднем по субъектам РФ на 202</w:t>
      </w:r>
      <w:r>
        <w:rPr>
          <w:rFonts w:eastAsia="Times New Roman"/>
          <w:szCs w:val="28"/>
        </w:rPr>
        <w:t>5</w:t>
      </w:r>
      <w:r w:rsidRPr="00A97C64">
        <w:rPr>
          <w:rFonts w:eastAsia="Times New Roman"/>
          <w:szCs w:val="28"/>
        </w:rPr>
        <w:t xml:space="preserve"> год и предельно допустимые отклонения по отдельным муниципальным образованиям от величины указанных индексов на 20</w:t>
      </w:r>
      <w:r>
        <w:rPr>
          <w:rFonts w:eastAsia="Times New Roman"/>
          <w:szCs w:val="28"/>
        </w:rPr>
        <w:t>25</w:t>
      </w:r>
      <w:r w:rsidRPr="00A97C64">
        <w:rPr>
          <w:rFonts w:eastAsia="Times New Roman"/>
          <w:szCs w:val="28"/>
        </w:rPr>
        <w:t>-202</w:t>
      </w:r>
      <w:r>
        <w:rPr>
          <w:rFonts w:eastAsia="Times New Roman"/>
          <w:szCs w:val="28"/>
        </w:rPr>
        <w:t>8</w:t>
      </w:r>
      <w:r w:rsidRPr="00A97C64">
        <w:rPr>
          <w:rFonts w:eastAsia="Times New Roman"/>
          <w:szCs w:val="28"/>
        </w:rPr>
        <w:t xml:space="preserve"> годы, в том числе по Новосибирской области</w:t>
      </w:r>
      <w:r>
        <w:rPr>
          <w:rFonts w:eastAsia="Times New Roman"/>
          <w:szCs w:val="28"/>
        </w:rPr>
        <w:t xml:space="preserve"> (рисунок </w:t>
      </w:r>
      <w:r w:rsidR="00914CFD">
        <w:rPr>
          <w:rFonts w:eastAsia="Times New Roman"/>
          <w:szCs w:val="28"/>
        </w:rPr>
        <w:t>ниже</w:t>
      </w:r>
      <w:r>
        <w:rPr>
          <w:rFonts w:eastAsia="Times New Roman"/>
          <w:szCs w:val="28"/>
        </w:rPr>
        <w:t xml:space="preserve">). </w:t>
      </w:r>
    </w:p>
    <w:p w:rsidR="00A91269" w:rsidRDefault="00A91269" w:rsidP="00A91269">
      <w:pPr>
        <w:spacing w:after="0" w:line="240" w:lineRule="auto"/>
        <w:rPr>
          <w:i/>
          <w:sz w:val="24"/>
          <w:szCs w:val="28"/>
        </w:rPr>
      </w:pPr>
      <w:r>
        <w:rPr>
          <w:i/>
          <w:noProof/>
          <w:sz w:val="24"/>
          <w:szCs w:val="28"/>
        </w:rPr>
        <w:drawing>
          <wp:inline distT="0" distB="0" distL="0" distR="0" wp14:anchorId="1C8B5092" wp14:editId="279EAB43">
            <wp:extent cx="5668107" cy="3106615"/>
            <wp:effectExtent l="38100" t="0" r="8890" b="0"/>
            <wp:docPr id="287" name="Схема 28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1" r:lo="rId152" r:qs="rId153" r:cs="rId154"/>
              </a:graphicData>
            </a:graphic>
          </wp:inline>
        </w:drawing>
      </w:r>
    </w:p>
    <w:p w:rsidR="00A91269" w:rsidRDefault="00A91269" w:rsidP="00A91269">
      <w:pPr>
        <w:spacing w:after="0" w:line="240" w:lineRule="auto"/>
        <w:rPr>
          <w:i/>
          <w:sz w:val="24"/>
          <w:szCs w:val="28"/>
        </w:rPr>
      </w:pPr>
      <w:r w:rsidRPr="00EA75DA">
        <w:rPr>
          <w:i/>
          <w:sz w:val="24"/>
          <w:szCs w:val="28"/>
        </w:rPr>
        <w:t>Рисунок  –</w:t>
      </w:r>
      <w:r w:rsidRPr="00916B47">
        <w:t xml:space="preserve"> </w:t>
      </w:r>
      <w:r w:rsidRPr="00776EA5">
        <w:rPr>
          <w:i/>
          <w:sz w:val="24"/>
          <w:szCs w:val="28"/>
        </w:rPr>
        <w:t>Средний индекс изменения размера вносимой гражданами платы за коммунальные услуги по Новосибирской области</w:t>
      </w:r>
      <w:r>
        <w:rPr>
          <w:i/>
          <w:sz w:val="24"/>
          <w:szCs w:val="28"/>
        </w:rPr>
        <w:t xml:space="preserve"> на 2025 год и предельно </w:t>
      </w:r>
      <w:r w:rsidRPr="00776EA5">
        <w:rPr>
          <w:i/>
          <w:sz w:val="24"/>
          <w:szCs w:val="28"/>
        </w:rPr>
        <w:t>допустимое отклонение по отдельным муниципальным образованиям Новосибирской области</w:t>
      </w:r>
      <w:r>
        <w:rPr>
          <w:i/>
          <w:sz w:val="24"/>
          <w:szCs w:val="28"/>
        </w:rPr>
        <w:t xml:space="preserve"> </w:t>
      </w:r>
    </w:p>
    <w:p w:rsidR="00A91269" w:rsidRDefault="00A91269" w:rsidP="00A91269">
      <w:pPr>
        <w:spacing w:after="0" w:line="240" w:lineRule="auto"/>
        <w:rPr>
          <w:i/>
          <w:sz w:val="24"/>
          <w:szCs w:val="28"/>
        </w:rPr>
      </w:pPr>
      <w:r>
        <w:rPr>
          <w:i/>
          <w:sz w:val="24"/>
          <w:szCs w:val="28"/>
        </w:rPr>
        <w:t>на 2025-2028 гг.</w:t>
      </w:r>
    </w:p>
    <w:p w:rsidR="00A91269" w:rsidRDefault="00A91269" w:rsidP="00A91269">
      <w:pPr>
        <w:spacing w:after="0" w:line="240" w:lineRule="auto"/>
        <w:rPr>
          <w:i/>
          <w:sz w:val="24"/>
          <w:szCs w:val="28"/>
        </w:rPr>
      </w:pPr>
    </w:p>
    <w:p w:rsidR="00A91269" w:rsidRDefault="00A91269" w:rsidP="00A91269">
      <w:pPr>
        <w:autoSpaceDE w:val="0"/>
        <w:autoSpaceDN w:val="0"/>
        <w:adjustRightInd w:val="0"/>
        <w:spacing w:after="0" w:line="240" w:lineRule="auto"/>
        <w:ind w:firstLine="540"/>
        <w:jc w:val="both"/>
        <w:rPr>
          <w:szCs w:val="28"/>
        </w:rPr>
      </w:pPr>
      <w:r w:rsidRPr="006133B9">
        <w:rPr>
          <w:szCs w:val="28"/>
        </w:rPr>
        <w:t xml:space="preserve">Согласно </w:t>
      </w:r>
      <w:r>
        <w:rPr>
          <w:szCs w:val="28"/>
        </w:rPr>
        <w:t xml:space="preserve">положениям </w:t>
      </w:r>
      <w:r w:rsidRPr="006133B9">
        <w:rPr>
          <w:szCs w:val="28"/>
        </w:rPr>
        <w:t>пункт</w:t>
      </w:r>
      <w:r>
        <w:rPr>
          <w:szCs w:val="28"/>
        </w:rPr>
        <w:t>а</w:t>
      </w:r>
      <w:r w:rsidRPr="006133B9">
        <w:rPr>
          <w:szCs w:val="28"/>
        </w:rPr>
        <w:t xml:space="preserve"> 11</w:t>
      </w:r>
      <w:r>
        <w:rPr>
          <w:szCs w:val="28"/>
        </w:rPr>
        <w:t xml:space="preserve"> </w:t>
      </w:r>
      <w:r w:rsidRPr="006133B9">
        <w:rPr>
          <w:szCs w:val="28"/>
        </w:rPr>
        <w:t xml:space="preserve">Основ </w:t>
      </w:r>
      <w:r>
        <w:rPr>
          <w:rFonts w:eastAsia="Times New Roman"/>
          <w:szCs w:val="28"/>
        </w:rPr>
        <w:t>формирования индексов</w:t>
      </w:r>
      <w:r w:rsidRPr="006133B9">
        <w:rPr>
          <w:szCs w:val="28"/>
        </w:rPr>
        <w:t xml:space="preserve"> предельные индексы</w:t>
      </w:r>
      <w:r>
        <w:rPr>
          <w:szCs w:val="28"/>
        </w:rPr>
        <w:t xml:space="preserve"> </w:t>
      </w:r>
      <w:r w:rsidRPr="006133B9">
        <w:rPr>
          <w:szCs w:val="28"/>
        </w:rPr>
        <w:t xml:space="preserve">утверждаются высшими должностными лицами субъектов РФ </w:t>
      </w:r>
      <w:r w:rsidRPr="0057397E">
        <w:rPr>
          <w:szCs w:val="28"/>
        </w:rPr>
        <w:t xml:space="preserve">(председателями высшего исполнительного органа субъекта </w:t>
      </w:r>
      <w:r w:rsidRPr="0057397E">
        <w:rPr>
          <w:szCs w:val="28"/>
        </w:rPr>
        <w:lastRenderedPageBreak/>
        <w:t>РФ</w:t>
      </w:r>
      <w:r w:rsidR="00914CFD">
        <w:rPr>
          <w:szCs w:val="28"/>
        </w:rPr>
        <w:t>)</w:t>
      </w:r>
      <w:r w:rsidRPr="0057397E">
        <w:rPr>
          <w:szCs w:val="28"/>
        </w:rPr>
        <w:t xml:space="preserve"> </w:t>
      </w:r>
      <w:r w:rsidRPr="006133B9">
        <w:rPr>
          <w:szCs w:val="28"/>
        </w:rPr>
        <w:t>не позднее 15 декабря года, предшествующего первому году долгосрочного периода у</w:t>
      </w:r>
      <w:r>
        <w:rPr>
          <w:szCs w:val="28"/>
        </w:rPr>
        <w:t>становления предельных индексов.</w:t>
      </w:r>
    </w:p>
    <w:p w:rsidR="00A91269" w:rsidRDefault="00A91269" w:rsidP="00A91269">
      <w:pPr>
        <w:autoSpaceDE w:val="0"/>
        <w:autoSpaceDN w:val="0"/>
        <w:adjustRightInd w:val="0"/>
        <w:spacing w:after="0" w:line="240" w:lineRule="auto"/>
        <w:ind w:firstLine="540"/>
        <w:jc w:val="both"/>
        <w:rPr>
          <w:szCs w:val="28"/>
        </w:rPr>
      </w:pPr>
      <w:r w:rsidRPr="006133B9">
        <w:rPr>
          <w:szCs w:val="28"/>
        </w:rPr>
        <w:t xml:space="preserve">В </w:t>
      </w:r>
      <w:r>
        <w:rPr>
          <w:szCs w:val="28"/>
        </w:rPr>
        <w:t xml:space="preserve">соответствии с пунктом 43 Основ формирования индекса, в </w:t>
      </w:r>
      <w:r w:rsidRPr="006133B9">
        <w:rPr>
          <w:szCs w:val="28"/>
        </w:rPr>
        <w:t>целях организации электро-, тепло-, газо-, водоснабжения населения и водоотведения, обращения с твердыми коммунальными отходами, а также повышения надежности и качества оказываемых населению коммунальных услуг по решению представительного органа муниципального образования предельные индексы могут превышать индекс по субъекту РФ более чем на величину отклонения по субъекту РФ, за исключением случая, указанного в пункте 35(1) Основ.</w:t>
      </w:r>
    </w:p>
    <w:p w:rsidR="00A91269" w:rsidRPr="006133B9" w:rsidRDefault="00A91269" w:rsidP="00A91269">
      <w:pPr>
        <w:autoSpaceDE w:val="0"/>
        <w:autoSpaceDN w:val="0"/>
        <w:adjustRightInd w:val="0"/>
        <w:spacing w:after="0" w:line="240" w:lineRule="auto"/>
        <w:ind w:firstLine="540"/>
        <w:jc w:val="both"/>
        <w:rPr>
          <w:szCs w:val="28"/>
        </w:rPr>
      </w:pPr>
      <w:r w:rsidRPr="006133B9">
        <w:rPr>
          <w:szCs w:val="28"/>
        </w:rPr>
        <w:t xml:space="preserve">Решения о превышении предельных индексов </w:t>
      </w:r>
      <w:r>
        <w:rPr>
          <w:szCs w:val="28"/>
        </w:rPr>
        <w:t xml:space="preserve">на 2025 год </w:t>
      </w:r>
      <w:r w:rsidRPr="006133B9">
        <w:rPr>
          <w:szCs w:val="28"/>
        </w:rPr>
        <w:t>более чем на величину отклонения по муниципальным образованиям Новосибирской области от представительных органов муниципальных образований к</w:t>
      </w:r>
      <w:r>
        <w:rPr>
          <w:szCs w:val="28"/>
        </w:rPr>
        <w:t xml:space="preserve"> </w:t>
      </w:r>
      <w:r w:rsidRPr="006133B9">
        <w:rPr>
          <w:szCs w:val="28"/>
        </w:rPr>
        <w:t>Губернатору Новосибирской области не поступали.</w:t>
      </w:r>
    </w:p>
    <w:p w:rsidR="00A91269" w:rsidRPr="006133B9" w:rsidRDefault="00A91269" w:rsidP="00A91269">
      <w:pPr>
        <w:autoSpaceDE w:val="0"/>
        <w:autoSpaceDN w:val="0"/>
        <w:adjustRightInd w:val="0"/>
        <w:spacing w:after="0" w:line="240" w:lineRule="auto"/>
        <w:ind w:firstLine="540"/>
        <w:jc w:val="both"/>
        <w:rPr>
          <w:szCs w:val="28"/>
        </w:rPr>
      </w:pPr>
      <w:r w:rsidRPr="006133B9">
        <w:rPr>
          <w:szCs w:val="28"/>
        </w:rPr>
        <w:t>Допустимый рост платы за коммунальные услуги по отдельным муниципальным образованиям Новосибирской области во втором полугодии 202</w:t>
      </w:r>
      <w:r>
        <w:rPr>
          <w:szCs w:val="28"/>
        </w:rPr>
        <w:t>5 </w:t>
      </w:r>
      <w:r w:rsidRPr="006133B9">
        <w:rPr>
          <w:szCs w:val="28"/>
        </w:rPr>
        <w:t>года может составлять 1</w:t>
      </w:r>
      <w:r>
        <w:rPr>
          <w:szCs w:val="28"/>
        </w:rPr>
        <w:t>6</w:t>
      </w:r>
      <w:r w:rsidRPr="006133B9">
        <w:rPr>
          <w:szCs w:val="28"/>
        </w:rPr>
        <w:t>,7% (=</w:t>
      </w:r>
      <w:r>
        <w:rPr>
          <w:szCs w:val="28"/>
        </w:rPr>
        <w:t>11</w:t>
      </w:r>
      <w:r w:rsidRPr="006133B9">
        <w:rPr>
          <w:szCs w:val="28"/>
        </w:rPr>
        <w:t>,</w:t>
      </w:r>
      <w:r>
        <w:rPr>
          <w:szCs w:val="28"/>
        </w:rPr>
        <w:t>9</w:t>
      </w:r>
      <w:r w:rsidRPr="006133B9">
        <w:rPr>
          <w:szCs w:val="28"/>
        </w:rPr>
        <w:t>%+</w:t>
      </w:r>
      <w:r>
        <w:rPr>
          <w:szCs w:val="28"/>
        </w:rPr>
        <w:t>4</w:t>
      </w:r>
      <w:r w:rsidRPr="006133B9">
        <w:rPr>
          <w:szCs w:val="28"/>
        </w:rPr>
        <w:t>,</w:t>
      </w:r>
      <w:r>
        <w:rPr>
          <w:szCs w:val="28"/>
        </w:rPr>
        <w:t>8</w:t>
      </w:r>
      <w:r w:rsidRPr="006133B9">
        <w:rPr>
          <w:szCs w:val="28"/>
        </w:rPr>
        <w:t>%), при этом согласно пункту</w:t>
      </w:r>
      <w:r>
        <w:rPr>
          <w:szCs w:val="28"/>
        </w:rPr>
        <w:t> </w:t>
      </w:r>
      <w:r w:rsidRPr="006133B9">
        <w:rPr>
          <w:szCs w:val="28"/>
        </w:rPr>
        <w:t xml:space="preserve">59 Основ </w:t>
      </w:r>
      <w:r>
        <w:rPr>
          <w:szCs w:val="28"/>
        </w:rPr>
        <w:t xml:space="preserve">формирования индекса </w:t>
      </w:r>
      <w:r w:rsidRPr="006133B9">
        <w:rPr>
          <w:szCs w:val="28"/>
        </w:rPr>
        <w:t xml:space="preserve">изменение (прирост) размера платы граждан за коммунальные услуги в среднем по всем муниципальным образованиям Новосибирской области не может превышать индекс по субъекту РФ, то есть </w:t>
      </w:r>
      <w:r>
        <w:rPr>
          <w:szCs w:val="28"/>
        </w:rPr>
        <w:t>11</w:t>
      </w:r>
      <w:r w:rsidRPr="006133B9">
        <w:rPr>
          <w:szCs w:val="28"/>
        </w:rPr>
        <w:t>,</w:t>
      </w:r>
      <w:r>
        <w:rPr>
          <w:szCs w:val="28"/>
        </w:rPr>
        <w:t>9</w:t>
      </w:r>
      <w:r w:rsidRPr="006133B9">
        <w:rPr>
          <w:szCs w:val="28"/>
        </w:rPr>
        <w:t>%. Для целей данного расчета в случае, указанном в пункте 35(1) Основ, предельные индексы</w:t>
      </w:r>
      <w:r>
        <w:rPr>
          <w:szCs w:val="28"/>
        </w:rPr>
        <w:t xml:space="preserve"> принимаются равными индексу по </w:t>
      </w:r>
      <w:r w:rsidRPr="006133B9">
        <w:rPr>
          <w:szCs w:val="28"/>
        </w:rPr>
        <w:t xml:space="preserve">субъекту РФ. </w:t>
      </w:r>
    </w:p>
    <w:p w:rsidR="00A91269" w:rsidRDefault="00A91269" w:rsidP="00A91269">
      <w:pPr>
        <w:autoSpaceDE w:val="0"/>
        <w:autoSpaceDN w:val="0"/>
        <w:adjustRightInd w:val="0"/>
        <w:spacing w:after="0" w:line="240" w:lineRule="auto"/>
        <w:ind w:firstLine="540"/>
        <w:jc w:val="both"/>
        <w:rPr>
          <w:szCs w:val="28"/>
        </w:rPr>
      </w:pPr>
      <w:r w:rsidRPr="006133B9">
        <w:rPr>
          <w:szCs w:val="28"/>
        </w:rPr>
        <w:t xml:space="preserve">Постановлением Губернатора Новосибирской области от </w:t>
      </w:r>
      <w:r>
        <w:rPr>
          <w:szCs w:val="28"/>
        </w:rPr>
        <w:t>28</w:t>
      </w:r>
      <w:r w:rsidRPr="006133B9">
        <w:rPr>
          <w:szCs w:val="28"/>
        </w:rPr>
        <w:t>.12.202</w:t>
      </w:r>
      <w:r>
        <w:rPr>
          <w:szCs w:val="28"/>
        </w:rPr>
        <w:t>4</w:t>
      </w:r>
      <w:r w:rsidRPr="006133B9">
        <w:rPr>
          <w:szCs w:val="28"/>
        </w:rPr>
        <w:t xml:space="preserve"> №</w:t>
      </w:r>
      <w:r>
        <w:rPr>
          <w:szCs w:val="28"/>
        </w:rPr>
        <w:t> </w:t>
      </w:r>
      <w:r w:rsidRPr="006133B9">
        <w:rPr>
          <w:szCs w:val="28"/>
        </w:rPr>
        <w:t>2</w:t>
      </w:r>
      <w:r>
        <w:rPr>
          <w:szCs w:val="28"/>
        </w:rPr>
        <w:t>61</w:t>
      </w:r>
      <w:r w:rsidRPr="006133B9">
        <w:rPr>
          <w:szCs w:val="28"/>
        </w:rPr>
        <w:t xml:space="preserve"> утверждены предельные (максимальные) индексы изменения размера вносимой гражданами платы за коммунальные услуги </w:t>
      </w:r>
      <w:r>
        <w:rPr>
          <w:szCs w:val="28"/>
        </w:rPr>
        <w:t>в муниципальных образованиях Новосибирской области на 2025</w:t>
      </w:r>
      <w:r w:rsidRPr="006133B9">
        <w:rPr>
          <w:szCs w:val="28"/>
        </w:rPr>
        <w:t xml:space="preserve"> год</w:t>
      </w:r>
      <w:r>
        <w:rPr>
          <w:szCs w:val="28"/>
        </w:rPr>
        <w:t xml:space="preserve"> (рисунок</w:t>
      </w:r>
      <w:r w:rsidR="00591166">
        <w:rPr>
          <w:szCs w:val="28"/>
        </w:rPr>
        <w:t xml:space="preserve"> ниже</w:t>
      </w:r>
      <w:r>
        <w:rPr>
          <w:szCs w:val="28"/>
        </w:rPr>
        <w:t>).</w:t>
      </w:r>
    </w:p>
    <w:p w:rsidR="00A91269" w:rsidRPr="004555B5" w:rsidRDefault="00A91269" w:rsidP="00A91269">
      <w:pPr>
        <w:autoSpaceDE w:val="0"/>
        <w:autoSpaceDN w:val="0"/>
        <w:adjustRightInd w:val="0"/>
        <w:spacing w:after="0" w:line="240" w:lineRule="auto"/>
        <w:ind w:firstLine="540"/>
        <w:jc w:val="both"/>
        <w:rPr>
          <w:sz w:val="20"/>
          <w:szCs w:val="28"/>
        </w:rPr>
      </w:pPr>
    </w:p>
    <w:p w:rsidR="00A91269" w:rsidRPr="006133B9" w:rsidRDefault="00A91269" w:rsidP="00A91269">
      <w:pPr>
        <w:autoSpaceDE w:val="0"/>
        <w:autoSpaceDN w:val="0"/>
        <w:adjustRightInd w:val="0"/>
        <w:spacing w:after="0" w:line="240" w:lineRule="auto"/>
        <w:rPr>
          <w:szCs w:val="28"/>
        </w:rPr>
      </w:pPr>
      <w:r>
        <w:rPr>
          <w:noProof/>
          <w:szCs w:val="28"/>
        </w:rPr>
        <w:drawing>
          <wp:inline distT="0" distB="0" distL="0" distR="0" wp14:anchorId="0D1CE1FD" wp14:editId="281666AD">
            <wp:extent cx="5673969" cy="2825261"/>
            <wp:effectExtent l="0" t="38100" r="79375" b="51435"/>
            <wp:docPr id="288" name="Схема 28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6" r:lo="rId157" r:qs="rId158" r:cs="rId159"/>
              </a:graphicData>
            </a:graphic>
          </wp:inline>
        </w:drawing>
      </w:r>
    </w:p>
    <w:p w:rsidR="00A91269" w:rsidRDefault="00A91269" w:rsidP="00A91269">
      <w:pPr>
        <w:autoSpaceDE w:val="0"/>
        <w:autoSpaceDN w:val="0"/>
        <w:adjustRightInd w:val="0"/>
        <w:spacing w:after="0" w:line="240" w:lineRule="auto"/>
        <w:ind w:firstLine="540"/>
        <w:rPr>
          <w:i/>
          <w:sz w:val="24"/>
          <w:szCs w:val="28"/>
        </w:rPr>
      </w:pPr>
      <w:r w:rsidRPr="00EA75DA">
        <w:rPr>
          <w:i/>
          <w:sz w:val="24"/>
          <w:szCs w:val="28"/>
        </w:rPr>
        <w:t xml:space="preserve">Рисунок </w:t>
      </w:r>
      <w:r>
        <w:rPr>
          <w:i/>
          <w:sz w:val="24"/>
          <w:szCs w:val="28"/>
        </w:rPr>
        <w:t>15</w:t>
      </w:r>
      <w:r w:rsidRPr="00EA75DA">
        <w:rPr>
          <w:i/>
          <w:sz w:val="24"/>
          <w:szCs w:val="28"/>
        </w:rPr>
        <w:t xml:space="preserve"> –</w:t>
      </w:r>
      <w:r w:rsidRPr="00916B47">
        <w:t xml:space="preserve"> </w:t>
      </w:r>
      <w:r>
        <w:rPr>
          <w:i/>
          <w:sz w:val="24"/>
          <w:szCs w:val="28"/>
        </w:rPr>
        <w:t>П</w:t>
      </w:r>
      <w:r w:rsidRPr="00F33397">
        <w:rPr>
          <w:i/>
          <w:sz w:val="24"/>
          <w:szCs w:val="28"/>
        </w:rPr>
        <w:t xml:space="preserve">редельные (максимальные) индексы изменения размера вносимой гражданами платы за коммунальные услуги в муниципальных образованиях </w:t>
      </w:r>
    </w:p>
    <w:p w:rsidR="00A91269" w:rsidRPr="006133B9" w:rsidRDefault="00A91269" w:rsidP="00A91269">
      <w:pPr>
        <w:autoSpaceDE w:val="0"/>
        <w:autoSpaceDN w:val="0"/>
        <w:adjustRightInd w:val="0"/>
        <w:spacing w:after="0" w:line="240" w:lineRule="auto"/>
        <w:ind w:firstLine="540"/>
        <w:rPr>
          <w:szCs w:val="28"/>
        </w:rPr>
      </w:pPr>
      <w:r w:rsidRPr="00F33397">
        <w:rPr>
          <w:i/>
          <w:sz w:val="24"/>
          <w:szCs w:val="28"/>
        </w:rPr>
        <w:t>Новосибирской области на 2025 год</w:t>
      </w:r>
      <w:r>
        <w:rPr>
          <w:i/>
          <w:sz w:val="24"/>
          <w:szCs w:val="28"/>
        </w:rPr>
        <w:t xml:space="preserve"> </w:t>
      </w:r>
    </w:p>
    <w:p w:rsidR="00A91269" w:rsidRPr="00D57740" w:rsidRDefault="00A91269" w:rsidP="00A91269">
      <w:pPr>
        <w:autoSpaceDE w:val="0"/>
        <w:autoSpaceDN w:val="0"/>
        <w:adjustRightInd w:val="0"/>
        <w:spacing w:after="0" w:line="240" w:lineRule="auto"/>
        <w:ind w:firstLine="540"/>
        <w:jc w:val="both"/>
        <w:rPr>
          <w:szCs w:val="28"/>
        </w:rPr>
      </w:pPr>
      <w:r w:rsidRPr="00D57740">
        <w:rPr>
          <w:szCs w:val="28"/>
        </w:rPr>
        <w:lastRenderedPageBreak/>
        <w:t xml:space="preserve">Установление предельных (максимальных) индексов изменения размера вносимой гражданами платы за коммунальные услуги по муниципальным образованиям Новосибирской области в вышеуказанных размерах обусловлено: </w:t>
      </w:r>
    </w:p>
    <w:p w:rsidR="00A91269" w:rsidRPr="00D57740" w:rsidRDefault="00A91269" w:rsidP="00A91269">
      <w:pPr>
        <w:autoSpaceDE w:val="0"/>
        <w:autoSpaceDN w:val="0"/>
        <w:adjustRightInd w:val="0"/>
        <w:spacing w:after="0" w:line="240" w:lineRule="auto"/>
        <w:ind w:firstLine="540"/>
        <w:jc w:val="both"/>
        <w:rPr>
          <w:szCs w:val="28"/>
        </w:rPr>
      </w:pPr>
      <w:r>
        <w:rPr>
          <w:szCs w:val="28"/>
        </w:rPr>
        <w:t>- </w:t>
      </w:r>
      <w:r w:rsidRPr="00D57740">
        <w:rPr>
          <w:szCs w:val="28"/>
        </w:rPr>
        <w:t>установлением цен (тарифов) на электрическую энергию в рамках предельных уровней цен (тарифов), устан</w:t>
      </w:r>
      <w:r>
        <w:rPr>
          <w:szCs w:val="28"/>
        </w:rPr>
        <w:t>овленных приказом ФАС России от </w:t>
      </w:r>
      <w:r w:rsidRPr="00D57740">
        <w:rPr>
          <w:szCs w:val="28"/>
        </w:rPr>
        <w:t>11.10.2024 № 718/24, с ростом по отношению к уровню 1 полугодия 2025 года на 12,6</w:t>
      </w:r>
      <w:r>
        <w:rPr>
          <w:szCs w:val="28"/>
        </w:rPr>
        <w:t> </w:t>
      </w:r>
      <w:r w:rsidRPr="00D57740">
        <w:rPr>
          <w:szCs w:val="28"/>
        </w:rPr>
        <w:t>%;</w:t>
      </w:r>
    </w:p>
    <w:p w:rsidR="00A91269" w:rsidRPr="00D57740" w:rsidRDefault="00A91269" w:rsidP="00A91269">
      <w:pPr>
        <w:autoSpaceDE w:val="0"/>
        <w:autoSpaceDN w:val="0"/>
        <w:adjustRightInd w:val="0"/>
        <w:spacing w:after="0" w:line="240" w:lineRule="auto"/>
        <w:ind w:firstLine="540"/>
        <w:jc w:val="both"/>
        <w:rPr>
          <w:szCs w:val="28"/>
        </w:rPr>
      </w:pPr>
      <w:r>
        <w:rPr>
          <w:szCs w:val="28"/>
        </w:rPr>
        <w:t>- </w:t>
      </w:r>
      <w:r w:rsidRPr="00D57740">
        <w:rPr>
          <w:szCs w:val="28"/>
        </w:rPr>
        <w:t>установлением розничных предельных максимальных цен на уголь с ростом со второго полугодия 2025 года на 13,49% в связи с увеличением фактических расходов на закупку угля, на доставку угл</w:t>
      </w:r>
      <w:r>
        <w:rPr>
          <w:szCs w:val="28"/>
        </w:rPr>
        <w:t>я железнодорожным транспортом в </w:t>
      </w:r>
      <w:r w:rsidRPr="00D57740">
        <w:rPr>
          <w:szCs w:val="28"/>
        </w:rPr>
        <w:t>части провозной платы, вагонной составляющей</w:t>
      </w:r>
      <w:r>
        <w:rPr>
          <w:szCs w:val="28"/>
        </w:rPr>
        <w:t xml:space="preserve"> и агентского вознаграждения, а </w:t>
      </w:r>
      <w:r w:rsidRPr="00D57740">
        <w:rPr>
          <w:szCs w:val="28"/>
        </w:rPr>
        <w:t>также увеличением издержек обращения топливоснабжающих организаций Новосибирской области;</w:t>
      </w:r>
    </w:p>
    <w:p w:rsidR="00A91269" w:rsidRPr="00D57740" w:rsidRDefault="00A91269" w:rsidP="00A91269">
      <w:pPr>
        <w:autoSpaceDE w:val="0"/>
        <w:autoSpaceDN w:val="0"/>
        <w:adjustRightInd w:val="0"/>
        <w:spacing w:after="0" w:line="240" w:lineRule="auto"/>
        <w:ind w:firstLine="540"/>
        <w:jc w:val="both"/>
        <w:rPr>
          <w:szCs w:val="28"/>
        </w:rPr>
      </w:pPr>
      <w:r>
        <w:rPr>
          <w:szCs w:val="28"/>
        </w:rPr>
        <w:t>- </w:t>
      </w:r>
      <w:r w:rsidRPr="00D57740">
        <w:rPr>
          <w:szCs w:val="28"/>
        </w:rPr>
        <w:t xml:space="preserve">установлением цен на тепловую энергию </w:t>
      </w:r>
      <w:r>
        <w:rPr>
          <w:szCs w:val="28"/>
        </w:rPr>
        <w:t>(мощность) для взаиморасчетов с </w:t>
      </w:r>
      <w:r w:rsidRPr="00D57740">
        <w:rPr>
          <w:szCs w:val="28"/>
        </w:rPr>
        <w:t>потребителями, определенных в Соглашениях об исполнении схемы теплоснабжения, заключенных между администрациями муниципальных образований Новосибирской области (город Новосибирск, город Куйбышев Куйбышевского района Новосибирской области, город Обь Новосибирской области) и едиными теплоснабжающими организациями, в связи с отнесением Правительством РФ указанных муниципальных образований к ценовым зонам теплоснабжения. С учетом заключенных Соглашений об исполнении схемы теплоснабжения максимальный рост тарифов на тепловую энергию для расчетов с потребителями со второго полугодия 2025 года составит: город Новосибирск</w:t>
      </w:r>
      <w:r>
        <w:rPr>
          <w:szCs w:val="28"/>
        </w:rPr>
        <w:t> </w:t>
      </w:r>
      <w:r w:rsidRPr="00D57740">
        <w:rPr>
          <w:szCs w:val="28"/>
        </w:rPr>
        <w:t>–</w:t>
      </w:r>
      <w:r>
        <w:rPr>
          <w:szCs w:val="28"/>
        </w:rPr>
        <w:t> </w:t>
      </w:r>
      <w:r w:rsidRPr="00D57740">
        <w:rPr>
          <w:szCs w:val="28"/>
        </w:rPr>
        <w:t>12,6%, город Куйбышев Куйбышевского района Новосибирской области</w:t>
      </w:r>
      <w:r>
        <w:rPr>
          <w:szCs w:val="28"/>
        </w:rPr>
        <w:t> </w:t>
      </w:r>
      <w:r w:rsidRPr="00D57740">
        <w:rPr>
          <w:szCs w:val="28"/>
        </w:rPr>
        <w:t>–</w:t>
      </w:r>
      <w:r>
        <w:rPr>
          <w:szCs w:val="28"/>
        </w:rPr>
        <w:t> </w:t>
      </w:r>
      <w:r w:rsidRPr="00D57740">
        <w:rPr>
          <w:szCs w:val="28"/>
        </w:rPr>
        <w:t>15,9%, город Обь Новосибирской области</w:t>
      </w:r>
      <w:r>
        <w:rPr>
          <w:szCs w:val="28"/>
        </w:rPr>
        <w:t> </w:t>
      </w:r>
      <w:r w:rsidRPr="00D57740">
        <w:rPr>
          <w:szCs w:val="28"/>
        </w:rPr>
        <w:t>–</w:t>
      </w:r>
      <w:r>
        <w:rPr>
          <w:szCs w:val="28"/>
        </w:rPr>
        <w:t> </w:t>
      </w:r>
      <w:r w:rsidRPr="00D57740">
        <w:rPr>
          <w:szCs w:val="28"/>
        </w:rPr>
        <w:t>12,6%;</w:t>
      </w:r>
    </w:p>
    <w:p w:rsidR="00A91269" w:rsidRPr="00A87369" w:rsidRDefault="00A91269" w:rsidP="00A91269">
      <w:pPr>
        <w:autoSpaceDE w:val="0"/>
        <w:autoSpaceDN w:val="0"/>
        <w:adjustRightInd w:val="0"/>
        <w:spacing w:after="0" w:line="240" w:lineRule="auto"/>
        <w:ind w:firstLine="540"/>
        <w:jc w:val="both"/>
        <w:rPr>
          <w:szCs w:val="28"/>
          <w:highlight w:val="yellow"/>
        </w:rPr>
      </w:pPr>
      <w:r>
        <w:rPr>
          <w:szCs w:val="28"/>
        </w:rPr>
        <w:t>- </w:t>
      </w:r>
      <w:r w:rsidRPr="00D57740">
        <w:rPr>
          <w:szCs w:val="28"/>
        </w:rPr>
        <w:t>доведением коэффициента «Количество тепла, необ</w:t>
      </w:r>
      <w:r>
        <w:rPr>
          <w:szCs w:val="28"/>
        </w:rPr>
        <w:t>ходимого для приготовления 1 м</w:t>
      </w:r>
      <w:r w:rsidRPr="00C43405">
        <w:rPr>
          <w:szCs w:val="28"/>
          <w:vertAlign w:val="superscript"/>
        </w:rPr>
        <w:t>3</w:t>
      </w:r>
      <w:r w:rsidRPr="00D57740">
        <w:rPr>
          <w:szCs w:val="28"/>
        </w:rPr>
        <w:t xml:space="preserve"> горячей воды» до значения,</w:t>
      </w:r>
      <w:r>
        <w:rPr>
          <w:szCs w:val="28"/>
        </w:rPr>
        <w:t xml:space="preserve"> определенного в соответствии с </w:t>
      </w:r>
      <w:r w:rsidRPr="00D57740">
        <w:rPr>
          <w:szCs w:val="28"/>
        </w:rPr>
        <w:t>Методическими указаниями по расчету регулируемых тарифов в сфере водоснабжения и водоотведения, утвержденными приказом Федеральной службы по тарифам от 27.12.2013 № 1746-э.</w:t>
      </w:r>
      <w:r>
        <w:rPr>
          <w:szCs w:val="28"/>
        </w:rPr>
        <w:t xml:space="preserve"> </w:t>
      </w:r>
    </w:p>
    <w:p w:rsidR="00A91269" w:rsidRPr="006133B9" w:rsidRDefault="00A91269" w:rsidP="00A91269">
      <w:pPr>
        <w:autoSpaceDE w:val="0"/>
        <w:autoSpaceDN w:val="0"/>
        <w:adjustRightInd w:val="0"/>
        <w:spacing w:after="0" w:line="240" w:lineRule="auto"/>
        <w:ind w:firstLine="540"/>
        <w:jc w:val="both"/>
        <w:rPr>
          <w:szCs w:val="28"/>
        </w:rPr>
      </w:pPr>
      <w:r w:rsidRPr="00D57740">
        <w:rPr>
          <w:szCs w:val="28"/>
        </w:rPr>
        <w:t>Применение предельных индексов должно обеспечивать изменение размера вносимой гражданами платы за коммунальные услуги в каждом месяце текущего года долгосрочного периода по отношению к размеру вносимой гражданами платы за коммунальные услуги в декабре предшествующего календарного года не более чем на установленную величину предельного индекса.</w:t>
      </w:r>
      <w:r w:rsidRPr="006133B9">
        <w:rPr>
          <w:szCs w:val="28"/>
        </w:rPr>
        <w:t xml:space="preserve"> </w:t>
      </w:r>
    </w:p>
    <w:p w:rsidR="00A91269" w:rsidRPr="00CA7BEC" w:rsidRDefault="00A91269" w:rsidP="00A91269">
      <w:pPr>
        <w:autoSpaceDE w:val="0"/>
        <w:autoSpaceDN w:val="0"/>
        <w:adjustRightInd w:val="0"/>
        <w:spacing w:after="0" w:line="240" w:lineRule="auto"/>
        <w:ind w:firstLine="540"/>
        <w:jc w:val="both"/>
        <w:rPr>
          <w:rFonts w:eastAsia="Times New Roman"/>
          <w:szCs w:val="28"/>
          <w:highlight w:val="yellow"/>
        </w:rPr>
      </w:pPr>
      <w:r w:rsidRPr="006C3597">
        <w:rPr>
          <w:rFonts w:eastAsia="Times New Roman"/>
          <w:bCs/>
          <w:szCs w:val="28"/>
        </w:rPr>
        <w:t>Величины</w:t>
      </w:r>
      <w:r w:rsidRPr="006C3597">
        <w:rPr>
          <w:rFonts w:eastAsia="Times New Roman"/>
          <w:szCs w:val="28"/>
        </w:rPr>
        <w:t xml:space="preserve"> предельны</w:t>
      </w:r>
      <w:r>
        <w:rPr>
          <w:rFonts w:eastAsia="Times New Roman"/>
          <w:szCs w:val="28"/>
        </w:rPr>
        <w:t>х</w:t>
      </w:r>
      <w:r w:rsidRPr="006C3597">
        <w:rPr>
          <w:rFonts w:eastAsia="Times New Roman"/>
          <w:szCs w:val="28"/>
        </w:rPr>
        <w:t xml:space="preserve"> (максимальны</w:t>
      </w:r>
      <w:r>
        <w:rPr>
          <w:rFonts w:eastAsia="Times New Roman"/>
          <w:szCs w:val="28"/>
        </w:rPr>
        <w:t>х</w:t>
      </w:r>
      <w:r w:rsidRPr="006C3597">
        <w:rPr>
          <w:rFonts w:eastAsia="Times New Roman"/>
          <w:szCs w:val="28"/>
        </w:rPr>
        <w:t>) индекс</w:t>
      </w:r>
      <w:r>
        <w:rPr>
          <w:rFonts w:eastAsia="Times New Roman"/>
          <w:szCs w:val="28"/>
        </w:rPr>
        <w:t>ов</w:t>
      </w:r>
      <w:r w:rsidRPr="006C3597">
        <w:rPr>
          <w:rFonts w:eastAsia="Times New Roman"/>
          <w:szCs w:val="28"/>
        </w:rPr>
        <w:t xml:space="preserve"> изменения размера вносимой гражданами платы за коммунальные услуги в муниципальных образованиях Новосибирской области на 2025 год</w:t>
      </w:r>
      <w:r>
        <w:rPr>
          <w:rFonts w:eastAsia="Times New Roman"/>
          <w:szCs w:val="28"/>
        </w:rPr>
        <w:t>, установленные п</w:t>
      </w:r>
      <w:r w:rsidRPr="006C3597">
        <w:rPr>
          <w:rFonts w:eastAsia="Times New Roman"/>
          <w:szCs w:val="28"/>
        </w:rPr>
        <w:t>остановлением Губернатора Новосибирской области от 28.12.2024 №</w:t>
      </w:r>
      <w:r>
        <w:rPr>
          <w:rFonts w:eastAsia="Times New Roman"/>
          <w:szCs w:val="28"/>
        </w:rPr>
        <w:t> </w:t>
      </w:r>
      <w:r w:rsidRPr="006C3597">
        <w:rPr>
          <w:rFonts w:eastAsia="Times New Roman"/>
          <w:szCs w:val="28"/>
        </w:rPr>
        <w:t>261</w:t>
      </w:r>
      <w:r>
        <w:rPr>
          <w:rFonts w:eastAsia="Times New Roman"/>
          <w:szCs w:val="28"/>
        </w:rPr>
        <w:t>,</w:t>
      </w:r>
      <w:r w:rsidRPr="006C3597">
        <w:rPr>
          <w:rFonts w:eastAsia="Times New Roman"/>
          <w:szCs w:val="28"/>
          <w:highlight w:val="yellow"/>
        </w:rPr>
        <w:t xml:space="preserve"> </w:t>
      </w:r>
      <w:r w:rsidRPr="006C3597">
        <w:rPr>
          <w:rFonts w:eastAsia="Times New Roman"/>
          <w:szCs w:val="28"/>
        </w:rPr>
        <w:t>отражены в формате электронного документа PREDEL.KU.202</w:t>
      </w:r>
      <w:r>
        <w:rPr>
          <w:rFonts w:eastAsia="Times New Roman"/>
          <w:szCs w:val="28"/>
        </w:rPr>
        <w:t>5</w:t>
      </w:r>
      <w:r w:rsidRPr="006C3597">
        <w:rPr>
          <w:rFonts w:eastAsia="Times New Roman"/>
          <w:szCs w:val="28"/>
        </w:rPr>
        <w:t>, переданного департаментом по системе ФГИС ЕИАС ФАС России.</w:t>
      </w:r>
    </w:p>
    <w:p w:rsidR="00A91269" w:rsidRPr="006C3597" w:rsidRDefault="00A91269" w:rsidP="00A91269">
      <w:pPr>
        <w:autoSpaceDE w:val="0"/>
        <w:autoSpaceDN w:val="0"/>
        <w:adjustRightInd w:val="0"/>
        <w:spacing w:after="0" w:line="240" w:lineRule="auto"/>
        <w:ind w:firstLine="540"/>
        <w:jc w:val="both"/>
        <w:rPr>
          <w:rFonts w:eastAsia="Times New Roman"/>
          <w:szCs w:val="28"/>
        </w:rPr>
      </w:pPr>
      <w:r w:rsidRPr="006C3597">
        <w:rPr>
          <w:rFonts w:eastAsia="Times New Roman"/>
          <w:szCs w:val="28"/>
        </w:rPr>
        <w:lastRenderedPageBreak/>
        <w:t>Рост размера платы граждан по каждому виду коммунальных услуг может составлять величину, отличную (большую или меньшую) от утвержденных предельных индексов, однако рост совокупного платежа каждого гражданина по сумме коммунальных услуг не может превышать утвержденных предельных индексов на очередной год.</w:t>
      </w:r>
    </w:p>
    <w:p w:rsidR="00A91269" w:rsidRPr="006C3597" w:rsidRDefault="00A91269" w:rsidP="00A91269">
      <w:pPr>
        <w:autoSpaceDE w:val="0"/>
        <w:autoSpaceDN w:val="0"/>
        <w:adjustRightInd w:val="0"/>
        <w:spacing w:after="0" w:line="240" w:lineRule="auto"/>
        <w:ind w:firstLine="540"/>
        <w:jc w:val="both"/>
        <w:rPr>
          <w:color w:val="000000"/>
          <w:szCs w:val="28"/>
        </w:rPr>
      </w:pPr>
      <w:r w:rsidRPr="006C3597">
        <w:rPr>
          <w:color w:val="000000"/>
          <w:szCs w:val="28"/>
        </w:rPr>
        <w:t>Адресные социальные выплаты в связи с необходимостью ограничения роста совокупного платежа граждан за коммунальные услуги в 2024 году на территории Новосибирской области не выплачивались, в связи с отсутствием обращений от населения, подтверждающих превышение фактического роста платы граждан за коммунальные услуги в каждом месяце 2024 года над установленным.</w:t>
      </w:r>
    </w:p>
    <w:p w:rsidR="00A91269" w:rsidRDefault="00A91269" w:rsidP="00A91269">
      <w:pPr>
        <w:autoSpaceDE w:val="0"/>
        <w:autoSpaceDN w:val="0"/>
        <w:adjustRightInd w:val="0"/>
        <w:spacing w:after="0" w:line="240" w:lineRule="auto"/>
        <w:ind w:firstLine="540"/>
        <w:jc w:val="both"/>
        <w:rPr>
          <w:szCs w:val="28"/>
        </w:rPr>
      </w:pPr>
      <w:r w:rsidRPr="000830F8">
        <w:rPr>
          <w:szCs w:val="28"/>
        </w:rPr>
        <w:t xml:space="preserve">Во исполнение письма ФАС России от 29.02.2024 № ВК/16358/24, департамент ежемесячно (в срок не позднее 15 числа месяца, следующего за отчетным) представлял информацию в ФАС России по фактическому изменению размера совокупной платы граждан за коммунальные услуги по Новосибирской области в рамках шаблона </w:t>
      </w:r>
      <w:r w:rsidRPr="000830F8">
        <w:rPr>
          <w:szCs w:val="28"/>
          <w:lang w:val="en-US"/>
        </w:rPr>
        <w:t>OREP</w:t>
      </w:r>
      <w:r w:rsidRPr="000830F8">
        <w:rPr>
          <w:szCs w:val="28"/>
        </w:rPr>
        <w:t>.</w:t>
      </w:r>
      <w:r w:rsidRPr="000830F8">
        <w:rPr>
          <w:szCs w:val="28"/>
          <w:lang w:val="en-US"/>
        </w:rPr>
        <w:t>KU</w:t>
      </w:r>
      <w:r w:rsidRPr="000830F8">
        <w:rPr>
          <w:szCs w:val="28"/>
        </w:rPr>
        <w:t>.2024.</w:t>
      </w:r>
      <w:r w:rsidRPr="000830F8">
        <w:rPr>
          <w:szCs w:val="28"/>
          <w:lang w:val="en-US"/>
        </w:rPr>
        <w:t>MONTHLY</w:t>
      </w:r>
      <w:r w:rsidRPr="000830F8">
        <w:rPr>
          <w:szCs w:val="28"/>
        </w:rPr>
        <w:t>.</w:t>
      </w:r>
      <w:r w:rsidRPr="000830F8">
        <w:rPr>
          <w:szCs w:val="28"/>
          <w:lang w:val="en-US"/>
        </w:rPr>
        <w:t>XX</w:t>
      </w:r>
      <w:r w:rsidRPr="000830F8">
        <w:rPr>
          <w:szCs w:val="28"/>
        </w:rPr>
        <w:t>.</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Сведения о фактическом росте платы граждан за коммунальные услуги по Новосибирской области в 2024 году отражаются департаментом в форме федерального статистического наблюдения №</w:t>
      </w:r>
      <w:r>
        <w:rPr>
          <w:szCs w:val="28"/>
        </w:rPr>
        <w:t> </w:t>
      </w:r>
      <w:r w:rsidRPr="000830F8">
        <w:rPr>
          <w:szCs w:val="28"/>
        </w:rPr>
        <w:t>1-ПГ (коммунальные услуги), утвержденной приказом Росстата от 14.06.2019 №</w:t>
      </w:r>
      <w:r>
        <w:rPr>
          <w:szCs w:val="28"/>
        </w:rPr>
        <w:t> </w:t>
      </w:r>
      <w:r w:rsidRPr="000830F8">
        <w:rPr>
          <w:szCs w:val="28"/>
        </w:rPr>
        <w:t>338</w:t>
      </w:r>
      <w:r>
        <w:rPr>
          <w:szCs w:val="28"/>
        </w:rPr>
        <w:t>,</w:t>
      </w:r>
      <w:r w:rsidRPr="000830F8">
        <w:rPr>
          <w:szCs w:val="28"/>
        </w:rPr>
        <w:t xml:space="preserve"> и предоставлены Федеральной антимонопольной службе в формате электронного документа FORMA.1.KU.STAT.2024 посредством ФГИС ЕИАС ФАС России.</w:t>
      </w:r>
    </w:p>
    <w:p w:rsidR="00A91269" w:rsidRDefault="00A91269" w:rsidP="00A91269">
      <w:pPr>
        <w:autoSpaceDE w:val="0"/>
        <w:autoSpaceDN w:val="0"/>
        <w:adjustRightInd w:val="0"/>
        <w:spacing w:after="0" w:line="240" w:lineRule="auto"/>
        <w:ind w:firstLine="540"/>
        <w:jc w:val="both"/>
        <w:rPr>
          <w:szCs w:val="28"/>
        </w:rPr>
      </w:pPr>
      <w:r w:rsidRPr="004E4D38">
        <w:rPr>
          <w:szCs w:val="28"/>
        </w:rPr>
        <w:t>В соответствии с принятыми тарифными решениями на 2024 год, а также с учетом абзаца второго пункта 59 Основ</w:t>
      </w:r>
      <w:r>
        <w:rPr>
          <w:szCs w:val="28"/>
        </w:rPr>
        <w:t xml:space="preserve"> формирования индексов</w:t>
      </w:r>
      <w:r w:rsidRPr="004E4D38">
        <w:rPr>
          <w:szCs w:val="28"/>
        </w:rPr>
        <w:t xml:space="preserve"> величина индекса изменения размера платы граждан за коммунальные услуги в среднем по Новосибирской области в первом полугодии 2024 года состави</w:t>
      </w:r>
      <w:r>
        <w:rPr>
          <w:szCs w:val="28"/>
        </w:rPr>
        <w:t>ла </w:t>
      </w:r>
      <w:r w:rsidRPr="004E4D38">
        <w:rPr>
          <w:szCs w:val="28"/>
        </w:rPr>
        <w:t>–</w:t>
      </w:r>
      <w:r>
        <w:rPr>
          <w:szCs w:val="28"/>
        </w:rPr>
        <w:t> </w:t>
      </w:r>
      <w:r w:rsidRPr="004E4D38">
        <w:rPr>
          <w:szCs w:val="28"/>
        </w:rPr>
        <w:t>0%, во втором полугодии 2024 года</w:t>
      </w:r>
      <w:r>
        <w:rPr>
          <w:szCs w:val="28"/>
        </w:rPr>
        <w:t> </w:t>
      </w:r>
      <w:r w:rsidRPr="004E4D38">
        <w:rPr>
          <w:szCs w:val="28"/>
        </w:rPr>
        <w:t>–</w:t>
      </w:r>
      <w:r>
        <w:rPr>
          <w:szCs w:val="28"/>
        </w:rPr>
        <w:t> </w:t>
      </w:r>
      <w:r w:rsidRPr="004E4D38">
        <w:rPr>
          <w:szCs w:val="28"/>
        </w:rPr>
        <w:t>9,3% (при росте тарифов на тепловую энергию для расчетов с потребителями, определенном Соглашениями об исполнении схем теплоснабжения), 8,</w:t>
      </w:r>
      <w:r>
        <w:rPr>
          <w:szCs w:val="28"/>
        </w:rPr>
        <w:t>60</w:t>
      </w:r>
      <w:r w:rsidRPr="004E4D38">
        <w:rPr>
          <w:szCs w:val="28"/>
        </w:rPr>
        <w:t>% (при утвержденных предельных уровнях цен</w:t>
      </w:r>
      <w:r>
        <w:rPr>
          <w:szCs w:val="28"/>
        </w:rPr>
        <w:t>ы на тепловую энергию (мощность</w:t>
      </w:r>
      <w:r w:rsidRPr="004E4D38">
        <w:rPr>
          <w:szCs w:val="28"/>
        </w:rPr>
        <w:t>).</w:t>
      </w:r>
    </w:p>
    <w:p w:rsidR="00A91269" w:rsidRPr="006133B9" w:rsidRDefault="00A91269" w:rsidP="00A91269">
      <w:pPr>
        <w:autoSpaceDE w:val="0"/>
        <w:autoSpaceDN w:val="0"/>
        <w:adjustRightInd w:val="0"/>
        <w:spacing w:after="0" w:line="240" w:lineRule="auto"/>
        <w:ind w:firstLine="540"/>
        <w:jc w:val="both"/>
        <w:rPr>
          <w:szCs w:val="28"/>
        </w:rPr>
      </w:pPr>
      <w:r w:rsidRPr="006133B9">
        <w:rPr>
          <w:szCs w:val="28"/>
        </w:rPr>
        <w:t>Тарифы на коммунальные ресурсы установлены департаментом на 202</w:t>
      </w:r>
      <w:r>
        <w:rPr>
          <w:szCs w:val="28"/>
        </w:rPr>
        <w:t>5</w:t>
      </w:r>
      <w:r w:rsidRPr="006133B9">
        <w:rPr>
          <w:szCs w:val="28"/>
        </w:rPr>
        <w:t xml:space="preserve"> год:</w:t>
      </w:r>
    </w:p>
    <w:p w:rsidR="00A91269" w:rsidRPr="006133B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с календарной разбивкой по полугодиям, исходя из непревышения величины указанных тарифов без учета налога на добавленную стоимость в первом полугодии 202</w:t>
      </w:r>
      <w:r>
        <w:rPr>
          <w:szCs w:val="28"/>
        </w:rPr>
        <w:t>5</w:t>
      </w:r>
      <w:r w:rsidRPr="006133B9">
        <w:rPr>
          <w:szCs w:val="28"/>
        </w:rPr>
        <w:t xml:space="preserve"> года над величиной соответствующих тарифов без учета налога на добавленную стоимость во втором полугодии 202</w:t>
      </w:r>
      <w:r>
        <w:rPr>
          <w:szCs w:val="28"/>
        </w:rPr>
        <w:t>4</w:t>
      </w:r>
      <w:r w:rsidRPr="006133B9">
        <w:rPr>
          <w:szCs w:val="28"/>
        </w:rPr>
        <w:t xml:space="preserve"> года по состоянию на 31 декабря 202</w:t>
      </w:r>
      <w:r>
        <w:rPr>
          <w:szCs w:val="28"/>
        </w:rPr>
        <w:t>4</w:t>
      </w:r>
      <w:r w:rsidRPr="006133B9">
        <w:rPr>
          <w:szCs w:val="28"/>
        </w:rPr>
        <w:t xml:space="preserve"> года;</w:t>
      </w:r>
    </w:p>
    <w:p w:rsidR="00A91269" w:rsidRPr="006133B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в пределах утвержденных ФАС России ограничений и с учетом ежегодных изменений макроэкономических показателей (прогнозные значения индексов изменения потребительских цен и цен промышленных товаропроизводителей), определенных Прогнозом</w:t>
      </w:r>
      <w:r w:rsidR="000E7F98">
        <w:rPr>
          <w:szCs w:val="28"/>
        </w:rPr>
        <w:t xml:space="preserve"> СЭР РФ</w:t>
      </w:r>
      <w:r w:rsidRPr="006133B9">
        <w:rPr>
          <w:szCs w:val="28"/>
        </w:rPr>
        <w:t>.</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 xml:space="preserve">Ожидаемый </w:t>
      </w:r>
      <w:r w:rsidRPr="000E7F98">
        <w:rPr>
          <w:szCs w:val="28"/>
          <w:u w:val="single"/>
        </w:rPr>
        <w:t>средний рост тарифов</w:t>
      </w:r>
      <w:r w:rsidRPr="000830F8">
        <w:rPr>
          <w:szCs w:val="28"/>
        </w:rPr>
        <w:t xml:space="preserve"> </w:t>
      </w:r>
      <w:r>
        <w:rPr>
          <w:szCs w:val="28"/>
        </w:rPr>
        <w:t xml:space="preserve">для населения </w:t>
      </w:r>
      <w:r w:rsidRPr="000830F8">
        <w:rPr>
          <w:szCs w:val="28"/>
        </w:rPr>
        <w:t>по видам коммунальных ресурсов в 2025 году на территории Но</w:t>
      </w:r>
      <w:r>
        <w:rPr>
          <w:szCs w:val="28"/>
        </w:rPr>
        <w:t>восибирской области составит: с </w:t>
      </w:r>
      <w:r w:rsidRPr="000830F8">
        <w:rPr>
          <w:szCs w:val="28"/>
        </w:rPr>
        <w:t>01.01.2025</w:t>
      </w:r>
      <w:r>
        <w:rPr>
          <w:szCs w:val="28"/>
        </w:rPr>
        <w:t> </w:t>
      </w:r>
      <w:r w:rsidRPr="000830F8">
        <w:rPr>
          <w:szCs w:val="28"/>
        </w:rPr>
        <w:t>–</w:t>
      </w:r>
      <w:r>
        <w:rPr>
          <w:szCs w:val="28"/>
        </w:rPr>
        <w:t> 0%,</w:t>
      </w:r>
      <w:r w:rsidRPr="000830F8">
        <w:rPr>
          <w:szCs w:val="28"/>
        </w:rPr>
        <w:t xml:space="preserve"> с 01.07.2025: </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lastRenderedPageBreak/>
        <w:t>-</w:t>
      </w:r>
      <w:r>
        <w:rPr>
          <w:szCs w:val="28"/>
        </w:rPr>
        <w:t> </w:t>
      </w:r>
      <w:r w:rsidRPr="000830F8">
        <w:rPr>
          <w:szCs w:val="28"/>
        </w:rPr>
        <w:t>отопление</w:t>
      </w:r>
      <w:r>
        <w:rPr>
          <w:szCs w:val="28"/>
        </w:rPr>
        <w:t> </w:t>
      </w:r>
      <w:r w:rsidRPr="000830F8">
        <w:rPr>
          <w:szCs w:val="28"/>
        </w:rPr>
        <w:t>–</w:t>
      </w:r>
      <w:r>
        <w:rPr>
          <w:szCs w:val="28"/>
        </w:rPr>
        <w:t> </w:t>
      </w:r>
      <w:r w:rsidRPr="000830F8">
        <w:rPr>
          <w:szCs w:val="28"/>
        </w:rPr>
        <w:t>10,60% (при росте тарифов на тепловую энергию для расчетов с потребителями, определенном Соглашениями об исполнении схем теплоснабжения);</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горячее водоснабжение</w:t>
      </w:r>
      <w:r>
        <w:rPr>
          <w:szCs w:val="28"/>
        </w:rPr>
        <w:t> </w:t>
      </w:r>
      <w:r w:rsidRPr="000830F8">
        <w:rPr>
          <w:szCs w:val="28"/>
        </w:rPr>
        <w:t>–</w:t>
      </w:r>
      <w:r>
        <w:rPr>
          <w:szCs w:val="28"/>
        </w:rPr>
        <w:t> </w:t>
      </w:r>
      <w:r w:rsidRPr="000830F8">
        <w:rPr>
          <w:szCs w:val="28"/>
        </w:rPr>
        <w:t>10,81%;</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холодное водоснабжение (питьевая вода)</w:t>
      </w:r>
      <w:r>
        <w:rPr>
          <w:szCs w:val="28"/>
        </w:rPr>
        <w:t> </w:t>
      </w:r>
      <w:r w:rsidRPr="000830F8">
        <w:rPr>
          <w:szCs w:val="28"/>
        </w:rPr>
        <w:t>–</w:t>
      </w:r>
      <w:r>
        <w:rPr>
          <w:szCs w:val="28"/>
        </w:rPr>
        <w:t> </w:t>
      </w:r>
      <w:r w:rsidRPr="000830F8">
        <w:rPr>
          <w:szCs w:val="28"/>
        </w:rPr>
        <w:t>12,00%;</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водоотведение</w:t>
      </w:r>
      <w:r>
        <w:rPr>
          <w:szCs w:val="28"/>
        </w:rPr>
        <w:t> </w:t>
      </w:r>
      <w:r w:rsidRPr="000830F8">
        <w:rPr>
          <w:szCs w:val="28"/>
        </w:rPr>
        <w:t>–</w:t>
      </w:r>
      <w:r>
        <w:rPr>
          <w:szCs w:val="28"/>
        </w:rPr>
        <w:t> </w:t>
      </w:r>
      <w:r w:rsidRPr="000830F8">
        <w:rPr>
          <w:szCs w:val="28"/>
        </w:rPr>
        <w:t>11,88%;</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электроснабжение</w:t>
      </w:r>
      <w:r>
        <w:rPr>
          <w:szCs w:val="28"/>
        </w:rPr>
        <w:t> </w:t>
      </w:r>
      <w:r w:rsidRPr="000830F8">
        <w:rPr>
          <w:szCs w:val="28"/>
        </w:rPr>
        <w:t>–</w:t>
      </w:r>
      <w:r>
        <w:rPr>
          <w:szCs w:val="28"/>
        </w:rPr>
        <w:t> </w:t>
      </w:r>
      <w:r w:rsidRPr="000830F8">
        <w:rPr>
          <w:szCs w:val="28"/>
        </w:rPr>
        <w:t>12,54%;</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газоснабжение</w:t>
      </w:r>
      <w:r>
        <w:rPr>
          <w:szCs w:val="28"/>
        </w:rPr>
        <w:t> </w:t>
      </w:r>
      <w:r w:rsidRPr="000830F8">
        <w:rPr>
          <w:szCs w:val="28"/>
        </w:rPr>
        <w:t>–</w:t>
      </w:r>
      <w:r>
        <w:rPr>
          <w:szCs w:val="28"/>
        </w:rPr>
        <w:t> </w:t>
      </w:r>
      <w:r w:rsidRPr="000830F8">
        <w:rPr>
          <w:szCs w:val="28"/>
        </w:rPr>
        <w:t>11,90%;</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 xml:space="preserve">обращение с </w:t>
      </w:r>
      <w:r>
        <w:rPr>
          <w:szCs w:val="28"/>
        </w:rPr>
        <w:t>ТКО </w:t>
      </w:r>
      <w:r w:rsidRPr="000830F8">
        <w:rPr>
          <w:szCs w:val="28"/>
        </w:rPr>
        <w:t>–</w:t>
      </w:r>
      <w:r>
        <w:rPr>
          <w:szCs w:val="28"/>
        </w:rPr>
        <w:t> </w:t>
      </w:r>
      <w:r w:rsidRPr="000830F8">
        <w:rPr>
          <w:szCs w:val="28"/>
        </w:rPr>
        <w:t>5,67%;</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w:t>
      </w:r>
      <w:r>
        <w:rPr>
          <w:szCs w:val="28"/>
        </w:rPr>
        <w:t> </w:t>
      </w:r>
      <w:r w:rsidRPr="000830F8">
        <w:rPr>
          <w:szCs w:val="28"/>
        </w:rPr>
        <w:t>отопление</w:t>
      </w:r>
      <w:r>
        <w:rPr>
          <w:szCs w:val="28"/>
        </w:rPr>
        <w:t> </w:t>
      </w:r>
      <w:r w:rsidRPr="000830F8">
        <w:rPr>
          <w:szCs w:val="28"/>
        </w:rPr>
        <w:t>–</w:t>
      </w:r>
      <w:r>
        <w:rPr>
          <w:szCs w:val="28"/>
        </w:rPr>
        <w:t> </w:t>
      </w:r>
      <w:r w:rsidRPr="000830F8">
        <w:rPr>
          <w:szCs w:val="28"/>
        </w:rPr>
        <w:t>поставки твердого топлива при наличии печного отопления: уголь</w:t>
      </w:r>
      <w:r>
        <w:rPr>
          <w:szCs w:val="28"/>
        </w:rPr>
        <w:t> </w:t>
      </w:r>
      <w:r w:rsidRPr="000830F8">
        <w:rPr>
          <w:szCs w:val="28"/>
        </w:rPr>
        <w:t>–</w:t>
      </w:r>
      <w:r>
        <w:rPr>
          <w:szCs w:val="28"/>
        </w:rPr>
        <w:t> </w:t>
      </w:r>
      <w:r w:rsidRPr="000830F8">
        <w:rPr>
          <w:szCs w:val="28"/>
        </w:rPr>
        <w:t>13,49 %, дрова</w:t>
      </w:r>
      <w:r>
        <w:rPr>
          <w:szCs w:val="28"/>
        </w:rPr>
        <w:t> </w:t>
      </w:r>
      <w:r w:rsidRPr="000830F8">
        <w:rPr>
          <w:szCs w:val="28"/>
        </w:rPr>
        <w:t>–</w:t>
      </w:r>
      <w:r>
        <w:rPr>
          <w:szCs w:val="28"/>
        </w:rPr>
        <w:t> </w:t>
      </w:r>
      <w:r w:rsidRPr="000830F8">
        <w:rPr>
          <w:szCs w:val="28"/>
        </w:rPr>
        <w:t>11,83%.</w:t>
      </w:r>
    </w:p>
    <w:p w:rsidR="00A91269" w:rsidRPr="000830F8" w:rsidRDefault="00A91269" w:rsidP="00A91269">
      <w:pPr>
        <w:autoSpaceDE w:val="0"/>
        <w:autoSpaceDN w:val="0"/>
        <w:adjustRightInd w:val="0"/>
        <w:spacing w:after="0" w:line="240" w:lineRule="auto"/>
        <w:ind w:firstLine="540"/>
        <w:jc w:val="both"/>
        <w:rPr>
          <w:szCs w:val="28"/>
        </w:rPr>
      </w:pPr>
      <w:r w:rsidRPr="000830F8">
        <w:rPr>
          <w:szCs w:val="28"/>
        </w:rPr>
        <w:t xml:space="preserve">В связи с отнесением муниципальных образований Новосибирской области (город Новосибирск, город Куйбышев Куйбышевского района Новосибирской области, город Обь Новосибирской области, рабочий поселок Линево Искитимского района Новосибирской области) к ценовым зонам теплоснабжения государственное регулирование тарифов в сфере теплоснабжения в указанных муниципальных образованиях Новосибирской области департаментом прекращено. </w:t>
      </w:r>
    </w:p>
    <w:p w:rsidR="00A91269" w:rsidRPr="006133B9" w:rsidRDefault="00A91269" w:rsidP="00A91269">
      <w:pPr>
        <w:autoSpaceDE w:val="0"/>
        <w:autoSpaceDN w:val="0"/>
        <w:adjustRightInd w:val="0"/>
        <w:spacing w:after="0" w:line="240" w:lineRule="auto"/>
        <w:ind w:firstLine="540"/>
        <w:jc w:val="both"/>
        <w:rPr>
          <w:szCs w:val="28"/>
        </w:rPr>
      </w:pPr>
      <w:r w:rsidRPr="000830F8">
        <w:rPr>
          <w:szCs w:val="28"/>
        </w:rPr>
        <w:t xml:space="preserve">В соответствии с принятыми тарифными решениями на 2025 год, а также с учетом </w:t>
      </w:r>
      <w:r>
        <w:rPr>
          <w:szCs w:val="28"/>
        </w:rPr>
        <w:t xml:space="preserve">положений </w:t>
      </w:r>
      <w:r w:rsidRPr="000830F8">
        <w:rPr>
          <w:szCs w:val="28"/>
        </w:rPr>
        <w:t xml:space="preserve">абзаца второго пункта 59 Основ </w:t>
      </w:r>
      <w:r>
        <w:rPr>
          <w:szCs w:val="28"/>
        </w:rPr>
        <w:t xml:space="preserve">формирования индексов </w:t>
      </w:r>
      <w:r w:rsidRPr="000830F8">
        <w:rPr>
          <w:szCs w:val="28"/>
        </w:rPr>
        <w:t>величина индекса изменения размера платы граждан за коммунальные услуги в среднем по Новосибирской области в первом полугодии 2025 года составит</w:t>
      </w:r>
      <w:r>
        <w:rPr>
          <w:szCs w:val="28"/>
        </w:rPr>
        <w:t> </w:t>
      </w:r>
      <w:r w:rsidRPr="000830F8">
        <w:rPr>
          <w:szCs w:val="28"/>
        </w:rPr>
        <w:t>–</w:t>
      </w:r>
      <w:r>
        <w:rPr>
          <w:szCs w:val="28"/>
        </w:rPr>
        <w:t> </w:t>
      </w:r>
      <w:r w:rsidRPr="000830F8">
        <w:rPr>
          <w:szCs w:val="28"/>
        </w:rPr>
        <w:t>0%, во втором полугодии 2025 года</w:t>
      </w:r>
      <w:r>
        <w:rPr>
          <w:szCs w:val="28"/>
        </w:rPr>
        <w:t> </w:t>
      </w:r>
      <w:r w:rsidRPr="000830F8">
        <w:rPr>
          <w:szCs w:val="28"/>
        </w:rPr>
        <w:t>–</w:t>
      </w:r>
      <w:r>
        <w:rPr>
          <w:szCs w:val="28"/>
        </w:rPr>
        <w:t> </w:t>
      </w:r>
      <w:r w:rsidRPr="000830F8">
        <w:rPr>
          <w:szCs w:val="28"/>
        </w:rPr>
        <w:t>11,84%.</w:t>
      </w:r>
    </w:p>
    <w:p w:rsidR="00A91269" w:rsidRDefault="00A91269" w:rsidP="00A91269">
      <w:pPr>
        <w:autoSpaceDE w:val="0"/>
        <w:autoSpaceDN w:val="0"/>
        <w:adjustRightInd w:val="0"/>
        <w:spacing w:after="80" w:line="240" w:lineRule="auto"/>
        <w:ind w:firstLine="539"/>
        <w:jc w:val="both"/>
        <w:rPr>
          <w:szCs w:val="28"/>
        </w:rPr>
      </w:pPr>
      <w:r w:rsidRPr="006133B9">
        <w:rPr>
          <w:szCs w:val="28"/>
        </w:rPr>
        <w:t xml:space="preserve">Согласно распоряжению Правительства РФ </w:t>
      </w:r>
      <w:r w:rsidRPr="00E74556">
        <w:rPr>
          <w:szCs w:val="28"/>
        </w:rPr>
        <w:t>от</w:t>
      </w:r>
      <w:r>
        <w:rPr>
          <w:szCs w:val="28"/>
        </w:rPr>
        <w:t> </w:t>
      </w:r>
      <w:r w:rsidRPr="00E74556">
        <w:rPr>
          <w:szCs w:val="28"/>
        </w:rPr>
        <w:t>15.11.2024 №</w:t>
      </w:r>
      <w:r>
        <w:rPr>
          <w:szCs w:val="28"/>
        </w:rPr>
        <w:t> </w:t>
      </w:r>
      <w:r w:rsidRPr="00E74556">
        <w:rPr>
          <w:szCs w:val="28"/>
        </w:rPr>
        <w:t xml:space="preserve">3287-р </w:t>
      </w:r>
      <w:r w:rsidRPr="006133B9">
        <w:rPr>
          <w:szCs w:val="28"/>
        </w:rPr>
        <w:t>максимально возможное изменение размера вносимой гражданами платы за коммунальные услуги (с учетом отклонения) по отдельным муниципальным образованиям субъектов РФ на второе полугодие 202</w:t>
      </w:r>
      <w:r>
        <w:rPr>
          <w:szCs w:val="28"/>
        </w:rPr>
        <w:t>5</w:t>
      </w:r>
      <w:r w:rsidRPr="006133B9">
        <w:rPr>
          <w:szCs w:val="28"/>
        </w:rPr>
        <w:t xml:space="preserve"> года составит от </w:t>
      </w:r>
      <w:r>
        <w:rPr>
          <w:szCs w:val="28"/>
        </w:rPr>
        <w:t>8,6</w:t>
      </w:r>
      <w:r w:rsidRPr="006133B9">
        <w:rPr>
          <w:szCs w:val="28"/>
        </w:rPr>
        <w:t>% до 21,</w:t>
      </w:r>
      <w:r>
        <w:rPr>
          <w:szCs w:val="28"/>
        </w:rPr>
        <w:t>1</w:t>
      </w:r>
      <w:r w:rsidRPr="006133B9">
        <w:rPr>
          <w:szCs w:val="28"/>
        </w:rPr>
        <w:t xml:space="preserve">%. </w:t>
      </w:r>
      <w:r>
        <w:rPr>
          <w:szCs w:val="28"/>
        </w:rPr>
        <w:t xml:space="preserve">В таблице </w:t>
      </w:r>
      <w:r w:rsidR="000E7F98">
        <w:rPr>
          <w:szCs w:val="28"/>
        </w:rPr>
        <w:t>ниже</w:t>
      </w:r>
      <w:r>
        <w:rPr>
          <w:szCs w:val="28"/>
        </w:rPr>
        <w:t xml:space="preserve"> представлены в порядке убывания 10 субъектов РФ</w:t>
      </w:r>
      <w:r w:rsidR="000E7F98">
        <w:rPr>
          <w:szCs w:val="28"/>
        </w:rPr>
        <w:t xml:space="preserve"> </w:t>
      </w:r>
      <w:r>
        <w:rPr>
          <w:szCs w:val="28"/>
        </w:rPr>
        <w:t>с наибольшим с</w:t>
      </w:r>
      <w:r w:rsidRPr="0053252D">
        <w:rPr>
          <w:szCs w:val="28"/>
        </w:rPr>
        <w:t>редни</w:t>
      </w:r>
      <w:r>
        <w:rPr>
          <w:szCs w:val="28"/>
        </w:rPr>
        <w:t>м</w:t>
      </w:r>
      <w:r w:rsidRPr="0053252D">
        <w:rPr>
          <w:szCs w:val="28"/>
        </w:rPr>
        <w:t xml:space="preserve"> индекс</w:t>
      </w:r>
      <w:r>
        <w:rPr>
          <w:szCs w:val="28"/>
        </w:rPr>
        <w:t>ом</w:t>
      </w:r>
      <w:r w:rsidRPr="0053252D">
        <w:rPr>
          <w:szCs w:val="28"/>
        </w:rPr>
        <w:t xml:space="preserve"> изменения размера вносимой гражданами платы за коммунальные услуги</w:t>
      </w:r>
      <w:r>
        <w:rPr>
          <w:szCs w:val="28"/>
        </w:rPr>
        <w:t xml:space="preserve"> на 2 полугодие 2025 года. </w:t>
      </w:r>
    </w:p>
    <w:p w:rsidR="00A91269" w:rsidRDefault="00A91269" w:rsidP="00A91269">
      <w:pPr>
        <w:autoSpaceDE w:val="0"/>
        <w:autoSpaceDN w:val="0"/>
        <w:adjustRightInd w:val="0"/>
        <w:spacing w:after="40" w:line="240" w:lineRule="auto"/>
        <w:ind w:firstLine="539"/>
        <w:jc w:val="both"/>
        <w:rPr>
          <w:szCs w:val="28"/>
        </w:rPr>
      </w:pPr>
      <w:r w:rsidRPr="00EA75DA">
        <w:rPr>
          <w:i/>
          <w:sz w:val="24"/>
          <w:szCs w:val="28"/>
        </w:rPr>
        <w:t>Таблица  – </w:t>
      </w:r>
      <w:r>
        <w:rPr>
          <w:i/>
          <w:sz w:val="24"/>
          <w:szCs w:val="28"/>
        </w:rPr>
        <w:t>С</w:t>
      </w:r>
      <w:r w:rsidRPr="00537A4D">
        <w:rPr>
          <w:i/>
          <w:sz w:val="24"/>
          <w:szCs w:val="28"/>
        </w:rPr>
        <w:t>убъект</w:t>
      </w:r>
      <w:r>
        <w:rPr>
          <w:i/>
          <w:sz w:val="24"/>
          <w:szCs w:val="28"/>
        </w:rPr>
        <w:t>ы</w:t>
      </w:r>
      <w:r w:rsidRPr="00537A4D">
        <w:rPr>
          <w:i/>
          <w:sz w:val="24"/>
          <w:szCs w:val="28"/>
        </w:rPr>
        <w:t xml:space="preserve"> Российской Федерации с наибольшим средним индексом изменения размера вносимой гражданами платы за коммунальные услуги на 2 полугодие 2025 года</w:t>
      </w:r>
    </w:p>
    <w:tbl>
      <w:tblPr>
        <w:tblStyle w:val="af2"/>
        <w:tblW w:w="0" w:type="auto"/>
        <w:tblInd w:w="250" w:type="dxa"/>
        <w:tblLook w:val="04A0" w:firstRow="1" w:lastRow="0" w:firstColumn="1" w:lastColumn="0" w:noHBand="0" w:noVBand="1"/>
      </w:tblPr>
      <w:tblGrid>
        <w:gridCol w:w="540"/>
        <w:gridCol w:w="5232"/>
        <w:gridCol w:w="3158"/>
      </w:tblGrid>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 п/п</w:t>
            </w:r>
          </w:p>
        </w:tc>
        <w:tc>
          <w:tcPr>
            <w:tcW w:w="5232" w:type="dxa"/>
          </w:tcPr>
          <w:p w:rsidR="00A91269" w:rsidRPr="00000E1F" w:rsidRDefault="00A91269" w:rsidP="005A5E13">
            <w:pPr>
              <w:autoSpaceDE w:val="0"/>
              <w:autoSpaceDN w:val="0"/>
              <w:adjustRightInd w:val="0"/>
              <w:jc w:val="both"/>
              <w:rPr>
                <w:sz w:val="24"/>
              </w:rPr>
            </w:pPr>
            <w:r w:rsidRPr="00000E1F">
              <w:rPr>
                <w:sz w:val="24"/>
              </w:rPr>
              <w:t>Наименование субъекта РФ с наибольшим средним индексом изменения размера вносимой гражданами платы за коммунальные услуги</w:t>
            </w:r>
            <w:r>
              <w:rPr>
                <w:sz w:val="24"/>
              </w:rPr>
              <w:t xml:space="preserve"> на 2 </w:t>
            </w:r>
            <w:r w:rsidRPr="00000E1F">
              <w:rPr>
                <w:sz w:val="24"/>
              </w:rPr>
              <w:t>полугодие 2025 года</w:t>
            </w:r>
          </w:p>
        </w:tc>
        <w:tc>
          <w:tcPr>
            <w:tcW w:w="3158" w:type="dxa"/>
          </w:tcPr>
          <w:p w:rsidR="00A91269" w:rsidRPr="00000E1F" w:rsidRDefault="00A91269" w:rsidP="005A5E13">
            <w:pPr>
              <w:autoSpaceDE w:val="0"/>
              <w:autoSpaceDN w:val="0"/>
              <w:adjustRightInd w:val="0"/>
              <w:jc w:val="both"/>
              <w:rPr>
                <w:sz w:val="24"/>
              </w:rPr>
            </w:pPr>
            <w:r w:rsidRPr="00000E1F">
              <w:rPr>
                <w:sz w:val="24"/>
              </w:rPr>
              <w:t>Размер среднего индекса изменения размера вносимой гражданами пл</w:t>
            </w:r>
            <w:r>
              <w:rPr>
                <w:sz w:val="24"/>
              </w:rPr>
              <w:t>аты за коммунальные услуги на 2 </w:t>
            </w:r>
            <w:r w:rsidRPr="00000E1F">
              <w:rPr>
                <w:sz w:val="24"/>
              </w:rPr>
              <w:t xml:space="preserve">полугодие 2025 года </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1</w:t>
            </w:r>
          </w:p>
        </w:tc>
        <w:tc>
          <w:tcPr>
            <w:tcW w:w="5232" w:type="dxa"/>
          </w:tcPr>
          <w:p w:rsidR="00A91269" w:rsidRPr="00000E1F" w:rsidRDefault="00A91269" w:rsidP="005A5E13">
            <w:pPr>
              <w:autoSpaceDE w:val="0"/>
              <w:autoSpaceDN w:val="0"/>
              <w:adjustRightInd w:val="0"/>
              <w:jc w:val="both"/>
              <w:rPr>
                <w:sz w:val="24"/>
              </w:rPr>
            </w:pPr>
            <w:r w:rsidRPr="00000E1F">
              <w:rPr>
                <w:sz w:val="24"/>
              </w:rPr>
              <w:t xml:space="preserve">Пермский край </w:t>
            </w:r>
          </w:p>
        </w:tc>
        <w:tc>
          <w:tcPr>
            <w:tcW w:w="3158" w:type="dxa"/>
          </w:tcPr>
          <w:p w:rsidR="00A91269" w:rsidRPr="00000E1F" w:rsidRDefault="00A91269" w:rsidP="005A5E13">
            <w:pPr>
              <w:autoSpaceDE w:val="0"/>
              <w:autoSpaceDN w:val="0"/>
              <w:adjustRightInd w:val="0"/>
              <w:jc w:val="both"/>
              <w:rPr>
                <w:sz w:val="24"/>
              </w:rPr>
            </w:pPr>
            <w:r w:rsidRPr="00000E1F">
              <w:rPr>
                <w:sz w:val="24"/>
              </w:rPr>
              <w:t>21,1%</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2</w:t>
            </w:r>
          </w:p>
        </w:tc>
        <w:tc>
          <w:tcPr>
            <w:tcW w:w="5232" w:type="dxa"/>
          </w:tcPr>
          <w:p w:rsidR="00A91269" w:rsidRPr="00000E1F" w:rsidRDefault="00A91269" w:rsidP="005A5E13">
            <w:pPr>
              <w:autoSpaceDE w:val="0"/>
              <w:autoSpaceDN w:val="0"/>
              <w:adjustRightInd w:val="0"/>
              <w:jc w:val="both"/>
              <w:rPr>
                <w:sz w:val="24"/>
              </w:rPr>
            </w:pPr>
            <w:r w:rsidRPr="00000E1F">
              <w:rPr>
                <w:sz w:val="24"/>
              </w:rPr>
              <w:t xml:space="preserve">Архангельская область </w:t>
            </w:r>
          </w:p>
        </w:tc>
        <w:tc>
          <w:tcPr>
            <w:tcW w:w="3158" w:type="dxa"/>
          </w:tcPr>
          <w:p w:rsidR="00A91269" w:rsidRPr="00000E1F" w:rsidRDefault="00A91269" w:rsidP="005A5E13">
            <w:pPr>
              <w:autoSpaceDE w:val="0"/>
              <w:autoSpaceDN w:val="0"/>
              <w:adjustRightInd w:val="0"/>
              <w:jc w:val="both"/>
              <w:rPr>
                <w:sz w:val="24"/>
              </w:rPr>
            </w:pPr>
            <w:r w:rsidRPr="00000E1F">
              <w:rPr>
                <w:sz w:val="24"/>
              </w:rPr>
              <w:t>20</w:t>
            </w:r>
            <w:r>
              <w:rPr>
                <w:sz w:val="24"/>
              </w:rPr>
              <w:t>,0</w:t>
            </w:r>
            <w:r w:rsidRPr="00000E1F">
              <w:rPr>
                <w:sz w:val="24"/>
              </w:rPr>
              <w:t>%</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3</w:t>
            </w:r>
          </w:p>
        </w:tc>
        <w:tc>
          <w:tcPr>
            <w:tcW w:w="5232" w:type="dxa"/>
          </w:tcPr>
          <w:p w:rsidR="00A91269" w:rsidRPr="00000E1F" w:rsidRDefault="00A91269" w:rsidP="005A5E13">
            <w:pPr>
              <w:autoSpaceDE w:val="0"/>
              <w:autoSpaceDN w:val="0"/>
              <w:adjustRightInd w:val="0"/>
              <w:jc w:val="both"/>
              <w:rPr>
                <w:sz w:val="24"/>
              </w:rPr>
            </w:pPr>
            <w:r w:rsidRPr="00000E1F">
              <w:rPr>
                <w:sz w:val="24"/>
              </w:rPr>
              <w:t>Кемеровская область-Кузбасс</w:t>
            </w:r>
          </w:p>
        </w:tc>
        <w:tc>
          <w:tcPr>
            <w:tcW w:w="3158" w:type="dxa"/>
          </w:tcPr>
          <w:p w:rsidR="00A91269" w:rsidRPr="00000E1F" w:rsidRDefault="00A91269" w:rsidP="005A5E13">
            <w:pPr>
              <w:autoSpaceDE w:val="0"/>
              <w:autoSpaceDN w:val="0"/>
              <w:adjustRightInd w:val="0"/>
              <w:jc w:val="both"/>
              <w:rPr>
                <w:sz w:val="24"/>
              </w:rPr>
            </w:pPr>
            <w:r w:rsidRPr="00000E1F">
              <w:rPr>
                <w:sz w:val="24"/>
              </w:rPr>
              <w:t>19,8%</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4</w:t>
            </w:r>
          </w:p>
        </w:tc>
        <w:tc>
          <w:tcPr>
            <w:tcW w:w="5232" w:type="dxa"/>
          </w:tcPr>
          <w:p w:rsidR="00A91269" w:rsidRPr="00000E1F" w:rsidRDefault="00A91269" w:rsidP="005A5E13">
            <w:pPr>
              <w:autoSpaceDE w:val="0"/>
              <w:autoSpaceDN w:val="0"/>
              <w:adjustRightInd w:val="0"/>
              <w:jc w:val="both"/>
              <w:rPr>
                <w:sz w:val="24"/>
              </w:rPr>
            </w:pPr>
            <w:r>
              <w:rPr>
                <w:sz w:val="24"/>
              </w:rPr>
              <w:t>Республика Северная Осетия-Алания</w:t>
            </w:r>
          </w:p>
        </w:tc>
        <w:tc>
          <w:tcPr>
            <w:tcW w:w="3158" w:type="dxa"/>
          </w:tcPr>
          <w:p w:rsidR="00A91269" w:rsidRPr="00000E1F" w:rsidRDefault="00A91269" w:rsidP="005A5E13">
            <w:pPr>
              <w:autoSpaceDE w:val="0"/>
              <w:autoSpaceDN w:val="0"/>
              <w:adjustRightInd w:val="0"/>
              <w:jc w:val="both"/>
              <w:rPr>
                <w:sz w:val="24"/>
              </w:rPr>
            </w:pPr>
            <w:r w:rsidRPr="00000E1F">
              <w:rPr>
                <w:sz w:val="24"/>
              </w:rPr>
              <w:t>19,1%</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lastRenderedPageBreak/>
              <w:t>5</w:t>
            </w:r>
          </w:p>
        </w:tc>
        <w:tc>
          <w:tcPr>
            <w:tcW w:w="5232" w:type="dxa"/>
          </w:tcPr>
          <w:p w:rsidR="00A91269" w:rsidRPr="00000E1F" w:rsidRDefault="00A91269" w:rsidP="005A5E13">
            <w:pPr>
              <w:autoSpaceDE w:val="0"/>
              <w:autoSpaceDN w:val="0"/>
              <w:adjustRightInd w:val="0"/>
              <w:jc w:val="both"/>
              <w:rPr>
                <w:sz w:val="24"/>
              </w:rPr>
            </w:pPr>
            <w:r w:rsidRPr="00000E1F">
              <w:rPr>
                <w:sz w:val="24"/>
              </w:rPr>
              <w:t>Республика Мордовия</w:t>
            </w:r>
          </w:p>
        </w:tc>
        <w:tc>
          <w:tcPr>
            <w:tcW w:w="3158" w:type="dxa"/>
          </w:tcPr>
          <w:p w:rsidR="00A91269" w:rsidRPr="00000E1F" w:rsidRDefault="00A91269" w:rsidP="005A5E13">
            <w:pPr>
              <w:autoSpaceDE w:val="0"/>
              <w:autoSpaceDN w:val="0"/>
              <w:adjustRightInd w:val="0"/>
              <w:jc w:val="both"/>
              <w:rPr>
                <w:sz w:val="24"/>
              </w:rPr>
            </w:pPr>
            <w:r w:rsidRPr="00000E1F">
              <w:rPr>
                <w:sz w:val="24"/>
              </w:rPr>
              <w:t>18</w:t>
            </w:r>
            <w:r>
              <w:rPr>
                <w:sz w:val="24"/>
              </w:rPr>
              <w:t>,0</w:t>
            </w:r>
            <w:r w:rsidRPr="00000E1F">
              <w:rPr>
                <w:sz w:val="24"/>
              </w:rPr>
              <w:t>%</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6</w:t>
            </w:r>
          </w:p>
        </w:tc>
        <w:tc>
          <w:tcPr>
            <w:tcW w:w="5232" w:type="dxa"/>
          </w:tcPr>
          <w:p w:rsidR="00A91269" w:rsidRPr="00000E1F" w:rsidRDefault="00A91269" w:rsidP="005A5E13">
            <w:pPr>
              <w:autoSpaceDE w:val="0"/>
              <w:autoSpaceDN w:val="0"/>
              <w:adjustRightInd w:val="0"/>
              <w:jc w:val="both"/>
              <w:rPr>
                <w:sz w:val="24"/>
              </w:rPr>
            </w:pPr>
            <w:r w:rsidRPr="00000E1F">
              <w:rPr>
                <w:sz w:val="24"/>
              </w:rPr>
              <w:t>Челябинская область</w:t>
            </w:r>
          </w:p>
        </w:tc>
        <w:tc>
          <w:tcPr>
            <w:tcW w:w="3158" w:type="dxa"/>
          </w:tcPr>
          <w:p w:rsidR="00A91269" w:rsidRPr="00000E1F" w:rsidRDefault="00A91269" w:rsidP="005A5E13">
            <w:pPr>
              <w:autoSpaceDE w:val="0"/>
              <w:autoSpaceDN w:val="0"/>
              <w:adjustRightInd w:val="0"/>
              <w:jc w:val="both"/>
              <w:rPr>
                <w:sz w:val="24"/>
              </w:rPr>
            </w:pPr>
            <w:r w:rsidRPr="00000E1F">
              <w:rPr>
                <w:sz w:val="24"/>
              </w:rPr>
              <w:t>18</w:t>
            </w:r>
            <w:r>
              <w:rPr>
                <w:sz w:val="24"/>
              </w:rPr>
              <w:t>,0</w:t>
            </w:r>
            <w:r w:rsidRPr="00000E1F">
              <w:rPr>
                <w:sz w:val="24"/>
              </w:rPr>
              <w:t>%</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7</w:t>
            </w:r>
          </w:p>
        </w:tc>
        <w:tc>
          <w:tcPr>
            <w:tcW w:w="5232" w:type="dxa"/>
          </w:tcPr>
          <w:p w:rsidR="00A91269" w:rsidRPr="00000E1F" w:rsidRDefault="00A91269" w:rsidP="005A5E13">
            <w:pPr>
              <w:autoSpaceDE w:val="0"/>
              <w:autoSpaceDN w:val="0"/>
              <w:adjustRightInd w:val="0"/>
              <w:jc w:val="both"/>
              <w:rPr>
                <w:sz w:val="24"/>
              </w:rPr>
            </w:pPr>
            <w:r w:rsidRPr="00000E1F">
              <w:rPr>
                <w:sz w:val="24"/>
              </w:rPr>
              <w:t>Республика Ингушетия</w:t>
            </w:r>
          </w:p>
        </w:tc>
        <w:tc>
          <w:tcPr>
            <w:tcW w:w="3158" w:type="dxa"/>
          </w:tcPr>
          <w:p w:rsidR="00A91269" w:rsidRPr="00000E1F" w:rsidRDefault="00A91269" w:rsidP="005A5E13">
            <w:pPr>
              <w:autoSpaceDE w:val="0"/>
              <w:autoSpaceDN w:val="0"/>
              <w:adjustRightInd w:val="0"/>
              <w:jc w:val="both"/>
              <w:rPr>
                <w:sz w:val="24"/>
              </w:rPr>
            </w:pPr>
            <w:r w:rsidRPr="00000E1F">
              <w:rPr>
                <w:sz w:val="24"/>
              </w:rPr>
              <w:t>17,6%</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8</w:t>
            </w:r>
          </w:p>
        </w:tc>
        <w:tc>
          <w:tcPr>
            <w:tcW w:w="5232" w:type="dxa"/>
          </w:tcPr>
          <w:p w:rsidR="00A91269" w:rsidRPr="00000E1F" w:rsidRDefault="00A91269" w:rsidP="005A5E13">
            <w:pPr>
              <w:autoSpaceDE w:val="0"/>
              <w:autoSpaceDN w:val="0"/>
              <w:adjustRightInd w:val="0"/>
              <w:jc w:val="both"/>
              <w:rPr>
                <w:sz w:val="24"/>
              </w:rPr>
            </w:pPr>
            <w:r>
              <w:rPr>
                <w:sz w:val="24"/>
              </w:rPr>
              <w:t xml:space="preserve">Республика Татарстан </w:t>
            </w:r>
          </w:p>
        </w:tc>
        <w:tc>
          <w:tcPr>
            <w:tcW w:w="3158" w:type="dxa"/>
          </w:tcPr>
          <w:p w:rsidR="00A91269" w:rsidRPr="00000E1F" w:rsidRDefault="00A91269" w:rsidP="005A5E13">
            <w:pPr>
              <w:autoSpaceDE w:val="0"/>
              <w:autoSpaceDN w:val="0"/>
              <w:adjustRightInd w:val="0"/>
              <w:jc w:val="both"/>
              <w:rPr>
                <w:sz w:val="24"/>
              </w:rPr>
            </w:pPr>
            <w:r w:rsidRPr="00000E1F">
              <w:rPr>
                <w:sz w:val="24"/>
              </w:rPr>
              <w:t>17,5%</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9</w:t>
            </w:r>
          </w:p>
        </w:tc>
        <w:tc>
          <w:tcPr>
            <w:tcW w:w="5232" w:type="dxa"/>
          </w:tcPr>
          <w:p w:rsidR="00A91269" w:rsidRPr="00000E1F" w:rsidRDefault="00A91269" w:rsidP="005A5E13">
            <w:pPr>
              <w:autoSpaceDE w:val="0"/>
              <w:autoSpaceDN w:val="0"/>
              <w:adjustRightInd w:val="0"/>
              <w:jc w:val="both"/>
              <w:rPr>
                <w:sz w:val="24"/>
              </w:rPr>
            </w:pPr>
            <w:r w:rsidRPr="00000E1F">
              <w:rPr>
                <w:sz w:val="24"/>
              </w:rPr>
              <w:t>Республика Дагестан</w:t>
            </w:r>
          </w:p>
        </w:tc>
        <w:tc>
          <w:tcPr>
            <w:tcW w:w="3158" w:type="dxa"/>
          </w:tcPr>
          <w:p w:rsidR="00A91269" w:rsidRPr="00000E1F" w:rsidRDefault="00A91269" w:rsidP="005A5E13">
            <w:pPr>
              <w:autoSpaceDE w:val="0"/>
              <w:autoSpaceDN w:val="0"/>
              <w:adjustRightInd w:val="0"/>
              <w:jc w:val="both"/>
              <w:rPr>
                <w:sz w:val="24"/>
              </w:rPr>
            </w:pPr>
            <w:r w:rsidRPr="00000E1F">
              <w:rPr>
                <w:sz w:val="24"/>
              </w:rPr>
              <w:t>17,5%</w:t>
            </w:r>
          </w:p>
        </w:tc>
      </w:tr>
      <w:tr w:rsidR="00A91269" w:rsidRPr="00000E1F" w:rsidTr="00327CEA">
        <w:tc>
          <w:tcPr>
            <w:tcW w:w="540" w:type="dxa"/>
          </w:tcPr>
          <w:p w:rsidR="00A91269" w:rsidRPr="00000E1F" w:rsidRDefault="00A91269" w:rsidP="005A5E13">
            <w:pPr>
              <w:autoSpaceDE w:val="0"/>
              <w:autoSpaceDN w:val="0"/>
              <w:adjustRightInd w:val="0"/>
              <w:jc w:val="both"/>
              <w:rPr>
                <w:sz w:val="24"/>
              </w:rPr>
            </w:pPr>
            <w:r w:rsidRPr="00000E1F">
              <w:rPr>
                <w:sz w:val="24"/>
              </w:rPr>
              <w:t>10</w:t>
            </w:r>
          </w:p>
        </w:tc>
        <w:tc>
          <w:tcPr>
            <w:tcW w:w="5232" w:type="dxa"/>
          </w:tcPr>
          <w:p w:rsidR="00A91269" w:rsidRPr="00000E1F" w:rsidRDefault="00A91269" w:rsidP="005A5E13">
            <w:pPr>
              <w:autoSpaceDE w:val="0"/>
              <w:autoSpaceDN w:val="0"/>
              <w:adjustRightInd w:val="0"/>
              <w:jc w:val="both"/>
              <w:rPr>
                <w:sz w:val="24"/>
              </w:rPr>
            </w:pPr>
            <w:r w:rsidRPr="00000E1F">
              <w:rPr>
                <w:sz w:val="24"/>
              </w:rPr>
              <w:t>Алтайский край</w:t>
            </w:r>
          </w:p>
        </w:tc>
        <w:tc>
          <w:tcPr>
            <w:tcW w:w="3158" w:type="dxa"/>
          </w:tcPr>
          <w:p w:rsidR="00A91269" w:rsidRPr="00000E1F" w:rsidRDefault="00A91269" w:rsidP="005A5E13">
            <w:pPr>
              <w:autoSpaceDE w:val="0"/>
              <w:autoSpaceDN w:val="0"/>
              <w:adjustRightInd w:val="0"/>
              <w:jc w:val="both"/>
              <w:rPr>
                <w:sz w:val="24"/>
              </w:rPr>
            </w:pPr>
            <w:r w:rsidRPr="00000E1F">
              <w:rPr>
                <w:sz w:val="24"/>
              </w:rPr>
              <w:t>15,5%</w:t>
            </w:r>
          </w:p>
        </w:tc>
      </w:tr>
    </w:tbl>
    <w:p w:rsidR="00A91269" w:rsidRDefault="00A91269" w:rsidP="00A91269">
      <w:pPr>
        <w:autoSpaceDE w:val="0"/>
        <w:autoSpaceDN w:val="0"/>
        <w:adjustRightInd w:val="0"/>
        <w:spacing w:before="80" w:after="0" w:line="240" w:lineRule="auto"/>
        <w:ind w:firstLine="539"/>
        <w:jc w:val="both"/>
        <w:rPr>
          <w:szCs w:val="28"/>
        </w:rPr>
      </w:pPr>
      <w:r w:rsidRPr="006133B9">
        <w:rPr>
          <w:szCs w:val="28"/>
        </w:rPr>
        <w:t>По субъектам РФ, входящим в Сибирский федеральный округ, изменение размера вносимой гражданами платы за коммунальные услуги по отдельным муниципальным образованиям субъектов РФ на второе полугодие 202</w:t>
      </w:r>
      <w:r>
        <w:rPr>
          <w:szCs w:val="28"/>
        </w:rPr>
        <w:t>5</w:t>
      </w:r>
      <w:r w:rsidRPr="006133B9">
        <w:rPr>
          <w:szCs w:val="28"/>
        </w:rPr>
        <w:t xml:space="preserve"> года предусмотрено в следующих размерах</w:t>
      </w:r>
      <w:r>
        <w:rPr>
          <w:szCs w:val="28"/>
        </w:rPr>
        <w:t xml:space="preserve"> (рисунок 16)</w:t>
      </w:r>
      <w:r w:rsidRPr="006133B9">
        <w:rPr>
          <w:szCs w:val="28"/>
        </w:rPr>
        <w:t xml:space="preserve">: </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Кемеровская область</w:t>
      </w:r>
      <w:r>
        <w:rPr>
          <w:szCs w:val="28"/>
        </w:rPr>
        <w:t> </w:t>
      </w:r>
      <w:r w:rsidRPr="006133B9">
        <w:rPr>
          <w:szCs w:val="28"/>
        </w:rPr>
        <w:t>–</w:t>
      </w:r>
      <w:r>
        <w:rPr>
          <w:szCs w:val="28"/>
        </w:rPr>
        <w:t> </w:t>
      </w:r>
      <w:r w:rsidRPr="006133B9">
        <w:rPr>
          <w:szCs w:val="28"/>
        </w:rPr>
        <w:t>Кузбасс – 1</w:t>
      </w:r>
      <w:r>
        <w:rPr>
          <w:szCs w:val="28"/>
        </w:rPr>
        <w:t>9</w:t>
      </w:r>
      <w:r w:rsidRPr="006133B9">
        <w:rPr>
          <w:szCs w:val="28"/>
        </w:rPr>
        <w:t>,</w:t>
      </w:r>
      <w:r>
        <w:rPr>
          <w:szCs w:val="28"/>
        </w:rPr>
        <w:t>8</w:t>
      </w:r>
      <w:r w:rsidRPr="006133B9">
        <w:rPr>
          <w:szCs w:val="28"/>
        </w:rPr>
        <w:t>%</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Алтайский край – 1</w:t>
      </w:r>
      <w:r>
        <w:rPr>
          <w:szCs w:val="28"/>
        </w:rPr>
        <w:t>5</w:t>
      </w:r>
      <w:r w:rsidRPr="006133B9">
        <w:rPr>
          <w:szCs w:val="28"/>
        </w:rPr>
        <w:t>,</w:t>
      </w:r>
      <w:r>
        <w:rPr>
          <w:szCs w:val="28"/>
        </w:rPr>
        <w:t>5%;</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Красноярский край – 1</w:t>
      </w:r>
      <w:r>
        <w:rPr>
          <w:szCs w:val="28"/>
        </w:rPr>
        <w:t>5,0</w:t>
      </w:r>
      <w:r w:rsidRPr="006133B9">
        <w:rPr>
          <w:szCs w:val="28"/>
        </w:rPr>
        <w:t>%</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Омская область – 1</w:t>
      </w:r>
      <w:r>
        <w:rPr>
          <w:szCs w:val="28"/>
        </w:rPr>
        <w:t>4</w:t>
      </w:r>
      <w:r w:rsidRPr="006133B9">
        <w:rPr>
          <w:szCs w:val="28"/>
        </w:rPr>
        <w:t>,</w:t>
      </w:r>
      <w:r>
        <w:rPr>
          <w:szCs w:val="28"/>
        </w:rPr>
        <w:t>0</w:t>
      </w:r>
      <w:r w:rsidRPr="006133B9">
        <w:rPr>
          <w:szCs w:val="28"/>
        </w:rPr>
        <w:t>%</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Иркутская область – 1</w:t>
      </w:r>
      <w:r>
        <w:rPr>
          <w:szCs w:val="28"/>
        </w:rPr>
        <w:t>1</w:t>
      </w:r>
      <w:r w:rsidRPr="006133B9">
        <w:rPr>
          <w:szCs w:val="28"/>
        </w:rPr>
        <w:t>,</w:t>
      </w:r>
      <w:r>
        <w:rPr>
          <w:szCs w:val="28"/>
        </w:rPr>
        <w:t>9</w:t>
      </w:r>
      <w:r w:rsidRPr="006133B9">
        <w:rPr>
          <w:szCs w:val="28"/>
        </w:rPr>
        <w:t>%</w:t>
      </w:r>
      <w:r>
        <w:rPr>
          <w:szCs w:val="28"/>
        </w:rPr>
        <w:t>;</w:t>
      </w:r>
      <w:r w:rsidRPr="006133B9">
        <w:rPr>
          <w:szCs w:val="28"/>
        </w:rPr>
        <w:t xml:space="preserve"> </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Новосибирская область – 1</w:t>
      </w:r>
      <w:r>
        <w:rPr>
          <w:szCs w:val="28"/>
        </w:rPr>
        <w:t>1</w:t>
      </w:r>
      <w:r w:rsidRPr="006133B9">
        <w:rPr>
          <w:szCs w:val="28"/>
        </w:rPr>
        <w:t>,</w:t>
      </w:r>
      <w:r>
        <w:rPr>
          <w:szCs w:val="28"/>
        </w:rPr>
        <w:t>9</w:t>
      </w:r>
      <w:r w:rsidRPr="006133B9">
        <w:rPr>
          <w:szCs w:val="28"/>
        </w:rPr>
        <w:t>%</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Томская область – 1</w:t>
      </w:r>
      <w:r>
        <w:rPr>
          <w:szCs w:val="28"/>
        </w:rPr>
        <w:t>1</w:t>
      </w:r>
      <w:r w:rsidRPr="006133B9">
        <w:rPr>
          <w:szCs w:val="28"/>
        </w:rPr>
        <w:t>,</w:t>
      </w:r>
      <w:r>
        <w:rPr>
          <w:szCs w:val="28"/>
        </w:rPr>
        <w:t>6</w:t>
      </w:r>
      <w:r w:rsidRPr="006133B9">
        <w:rPr>
          <w:szCs w:val="28"/>
        </w:rPr>
        <w:t>%</w:t>
      </w:r>
      <w:r>
        <w:rPr>
          <w:szCs w:val="28"/>
        </w:rPr>
        <w:t>;</w:t>
      </w:r>
      <w:r w:rsidRPr="006133B9">
        <w:rPr>
          <w:szCs w:val="28"/>
        </w:rPr>
        <w:t xml:space="preserve"> </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Республика Тыва – 11,3%</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 xml:space="preserve">Республика Хакасия – </w:t>
      </w:r>
      <w:r>
        <w:rPr>
          <w:szCs w:val="28"/>
        </w:rPr>
        <w:t>11</w:t>
      </w:r>
      <w:r w:rsidRPr="006133B9">
        <w:rPr>
          <w:szCs w:val="28"/>
        </w:rPr>
        <w:t>%</w:t>
      </w:r>
      <w:r>
        <w:rPr>
          <w:szCs w:val="28"/>
        </w:rPr>
        <w:t>;</w:t>
      </w:r>
    </w:p>
    <w:p w:rsidR="00A91269" w:rsidRDefault="00A91269" w:rsidP="00A91269">
      <w:pPr>
        <w:autoSpaceDE w:val="0"/>
        <w:autoSpaceDN w:val="0"/>
        <w:adjustRightInd w:val="0"/>
        <w:spacing w:after="0" w:line="240" w:lineRule="auto"/>
        <w:ind w:firstLine="540"/>
        <w:jc w:val="both"/>
        <w:rPr>
          <w:szCs w:val="28"/>
        </w:rPr>
      </w:pPr>
      <w:r>
        <w:rPr>
          <w:szCs w:val="28"/>
        </w:rPr>
        <w:t>- </w:t>
      </w:r>
      <w:r w:rsidRPr="006133B9">
        <w:rPr>
          <w:szCs w:val="28"/>
        </w:rPr>
        <w:t xml:space="preserve">Республика Алтай – </w:t>
      </w:r>
      <w:r>
        <w:rPr>
          <w:szCs w:val="28"/>
        </w:rPr>
        <w:t>8</w:t>
      </w:r>
      <w:r w:rsidRPr="006133B9">
        <w:rPr>
          <w:szCs w:val="28"/>
        </w:rPr>
        <w:t>,8%</w:t>
      </w:r>
      <w:r>
        <w:rPr>
          <w:szCs w:val="28"/>
        </w:rPr>
        <w:t>.</w:t>
      </w:r>
    </w:p>
    <w:p w:rsidR="00A91269" w:rsidRPr="006133B9" w:rsidRDefault="00A91269" w:rsidP="00A91269">
      <w:pPr>
        <w:autoSpaceDE w:val="0"/>
        <w:autoSpaceDN w:val="0"/>
        <w:adjustRightInd w:val="0"/>
        <w:spacing w:after="0" w:line="240" w:lineRule="auto"/>
        <w:ind w:firstLine="540"/>
        <w:jc w:val="both"/>
        <w:rPr>
          <w:szCs w:val="28"/>
        </w:rPr>
      </w:pPr>
    </w:p>
    <w:p w:rsidR="00A91269" w:rsidRDefault="00A91269" w:rsidP="00A91269">
      <w:pPr>
        <w:spacing w:after="0" w:line="240" w:lineRule="auto"/>
        <w:rPr>
          <w:i/>
          <w:sz w:val="24"/>
          <w:szCs w:val="28"/>
        </w:rPr>
      </w:pPr>
      <w:r>
        <w:rPr>
          <w:i/>
          <w:noProof/>
          <w:sz w:val="24"/>
          <w:szCs w:val="28"/>
        </w:rPr>
        <w:drawing>
          <wp:inline distT="0" distB="0" distL="0" distR="0" wp14:anchorId="7E6DC46C" wp14:editId="541571AC">
            <wp:extent cx="3248025" cy="3924697"/>
            <wp:effectExtent l="0" t="0" r="0" b="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3267180" cy="3947842"/>
                    </a:xfrm>
                    <a:prstGeom prst="rect">
                      <a:avLst/>
                    </a:prstGeom>
                    <a:noFill/>
                  </pic:spPr>
                </pic:pic>
              </a:graphicData>
            </a:graphic>
          </wp:inline>
        </w:drawing>
      </w:r>
    </w:p>
    <w:p w:rsidR="00A91269" w:rsidRDefault="00A91269" w:rsidP="00A91269">
      <w:pPr>
        <w:spacing w:after="0" w:line="240" w:lineRule="auto"/>
        <w:rPr>
          <w:i/>
          <w:sz w:val="24"/>
          <w:szCs w:val="28"/>
        </w:rPr>
      </w:pPr>
      <w:r w:rsidRPr="00EA75DA">
        <w:rPr>
          <w:i/>
          <w:sz w:val="24"/>
          <w:szCs w:val="28"/>
        </w:rPr>
        <w:t>Рисунок –</w:t>
      </w:r>
      <w:r w:rsidRPr="00916B47">
        <w:t xml:space="preserve"> </w:t>
      </w:r>
      <w:r w:rsidRPr="0017200E">
        <w:rPr>
          <w:i/>
          <w:sz w:val="24"/>
          <w:szCs w:val="28"/>
        </w:rPr>
        <w:t>Средни</w:t>
      </w:r>
      <w:r>
        <w:rPr>
          <w:i/>
          <w:sz w:val="24"/>
          <w:szCs w:val="28"/>
        </w:rPr>
        <w:t>е</w:t>
      </w:r>
      <w:r w:rsidRPr="0017200E">
        <w:rPr>
          <w:i/>
          <w:sz w:val="24"/>
          <w:szCs w:val="28"/>
        </w:rPr>
        <w:t xml:space="preserve"> индекс</w:t>
      </w:r>
      <w:r>
        <w:rPr>
          <w:i/>
          <w:sz w:val="24"/>
          <w:szCs w:val="28"/>
        </w:rPr>
        <w:t>ы</w:t>
      </w:r>
      <w:r w:rsidRPr="0017200E">
        <w:rPr>
          <w:i/>
          <w:sz w:val="24"/>
          <w:szCs w:val="28"/>
        </w:rPr>
        <w:t xml:space="preserve"> изменения размера вносимой гражданами платы за коммунальные услуги по </w:t>
      </w:r>
      <w:r>
        <w:rPr>
          <w:i/>
          <w:sz w:val="24"/>
          <w:szCs w:val="28"/>
        </w:rPr>
        <w:t>субъектам Сибирского Федерального округа</w:t>
      </w:r>
      <w:r w:rsidRPr="0017200E">
        <w:rPr>
          <w:i/>
          <w:sz w:val="24"/>
          <w:szCs w:val="28"/>
        </w:rPr>
        <w:t xml:space="preserve"> </w:t>
      </w:r>
    </w:p>
    <w:p w:rsidR="00A91269" w:rsidRDefault="00A91269" w:rsidP="00A91269">
      <w:pPr>
        <w:spacing w:after="0" w:line="240" w:lineRule="auto"/>
        <w:rPr>
          <w:i/>
          <w:sz w:val="24"/>
          <w:szCs w:val="28"/>
        </w:rPr>
      </w:pPr>
      <w:r w:rsidRPr="0017200E">
        <w:rPr>
          <w:i/>
          <w:sz w:val="24"/>
          <w:szCs w:val="28"/>
        </w:rPr>
        <w:t xml:space="preserve">на </w:t>
      </w:r>
      <w:r>
        <w:rPr>
          <w:i/>
          <w:sz w:val="24"/>
          <w:szCs w:val="28"/>
        </w:rPr>
        <w:t xml:space="preserve">2 полугодие </w:t>
      </w:r>
      <w:r w:rsidRPr="0017200E">
        <w:rPr>
          <w:i/>
          <w:sz w:val="24"/>
          <w:szCs w:val="28"/>
        </w:rPr>
        <w:t>2025 год</w:t>
      </w:r>
      <w:r>
        <w:rPr>
          <w:i/>
          <w:sz w:val="24"/>
          <w:szCs w:val="28"/>
        </w:rPr>
        <w:t>а</w:t>
      </w:r>
    </w:p>
    <w:p w:rsidR="00A91269" w:rsidRPr="00892963" w:rsidRDefault="00A91269" w:rsidP="00A91269">
      <w:pPr>
        <w:autoSpaceDE w:val="0"/>
        <w:autoSpaceDN w:val="0"/>
        <w:adjustRightInd w:val="0"/>
        <w:spacing w:after="0" w:line="240" w:lineRule="auto"/>
        <w:ind w:firstLine="540"/>
        <w:jc w:val="both"/>
        <w:rPr>
          <w:szCs w:val="28"/>
        </w:rPr>
      </w:pPr>
    </w:p>
    <w:p w:rsidR="00A91269" w:rsidRDefault="00A91269" w:rsidP="00A91269">
      <w:pPr>
        <w:autoSpaceDE w:val="0"/>
        <w:autoSpaceDN w:val="0"/>
        <w:adjustRightInd w:val="0"/>
        <w:spacing w:after="0" w:line="240" w:lineRule="auto"/>
        <w:ind w:firstLine="540"/>
        <w:jc w:val="both"/>
        <w:rPr>
          <w:szCs w:val="28"/>
        </w:rPr>
      </w:pPr>
      <w:r w:rsidRPr="006133B9">
        <w:rPr>
          <w:szCs w:val="28"/>
        </w:rPr>
        <w:t xml:space="preserve">Предусмотренное распоряжением Правительства РФ </w:t>
      </w:r>
      <w:r w:rsidRPr="00E74556">
        <w:rPr>
          <w:szCs w:val="28"/>
        </w:rPr>
        <w:t>от</w:t>
      </w:r>
      <w:r>
        <w:rPr>
          <w:szCs w:val="28"/>
        </w:rPr>
        <w:t> </w:t>
      </w:r>
      <w:r w:rsidRPr="00E74556">
        <w:rPr>
          <w:szCs w:val="28"/>
        </w:rPr>
        <w:t>15.11.2024 №</w:t>
      </w:r>
      <w:r>
        <w:rPr>
          <w:szCs w:val="28"/>
        </w:rPr>
        <w:t> </w:t>
      </w:r>
      <w:r w:rsidRPr="00E74556">
        <w:rPr>
          <w:szCs w:val="28"/>
        </w:rPr>
        <w:t xml:space="preserve">3287-р </w:t>
      </w:r>
      <w:r w:rsidRPr="006133B9">
        <w:rPr>
          <w:szCs w:val="28"/>
        </w:rPr>
        <w:t>изменение размера вносимой гражданами платы за коммунальные услуги по отдельным муниципальным образованиям Новосибирской области на второе полугодие 202</w:t>
      </w:r>
      <w:r>
        <w:rPr>
          <w:szCs w:val="28"/>
        </w:rPr>
        <w:t>5</w:t>
      </w:r>
      <w:r w:rsidRPr="006133B9">
        <w:rPr>
          <w:szCs w:val="28"/>
        </w:rPr>
        <w:t xml:space="preserve"> года (1</w:t>
      </w:r>
      <w:r>
        <w:rPr>
          <w:szCs w:val="28"/>
        </w:rPr>
        <w:t>6</w:t>
      </w:r>
      <w:r w:rsidRPr="006133B9">
        <w:rPr>
          <w:szCs w:val="28"/>
        </w:rPr>
        <w:t>,7%) не является максимальным как среди субъектов РФ, так и субъектов</w:t>
      </w:r>
      <w:r w:rsidR="00327CEA">
        <w:rPr>
          <w:szCs w:val="28"/>
        </w:rPr>
        <w:t xml:space="preserve"> РФ</w:t>
      </w:r>
      <w:r w:rsidRPr="006133B9">
        <w:rPr>
          <w:szCs w:val="28"/>
        </w:rPr>
        <w:t>, входящих в состав Сибирского федерального округа.</w:t>
      </w:r>
    </w:p>
    <w:p w:rsidR="00A91269" w:rsidRPr="00E11EFD" w:rsidRDefault="00A91269" w:rsidP="00A91269">
      <w:pPr>
        <w:widowControl w:val="0"/>
        <w:autoSpaceDE w:val="0"/>
        <w:autoSpaceDN w:val="0"/>
        <w:adjustRightInd w:val="0"/>
        <w:spacing w:after="0" w:line="240" w:lineRule="auto"/>
        <w:ind w:firstLine="540"/>
        <w:jc w:val="both"/>
        <w:rPr>
          <w:szCs w:val="28"/>
        </w:rPr>
      </w:pPr>
      <w:r w:rsidRPr="00E11EFD">
        <w:rPr>
          <w:szCs w:val="28"/>
        </w:rPr>
        <w:t>В соответствии с пунктом 4 статьи 154 Жилищного Кодекса РФ</w:t>
      </w:r>
      <w:r w:rsidR="00327CEA">
        <w:rPr>
          <w:szCs w:val="28"/>
        </w:rPr>
        <w:t xml:space="preserve"> </w:t>
      </w:r>
      <w:r w:rsidRPr="00E11EFD">
        <w:rPr>
          <w:szCs w:val="28"/>
        </w:rPr>
        <w:t xml:space="preserve">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w:t>
      </w:r>
      <w:r>
        <w:rPr>
          <w:szCs w:val="28"/>
        </w:rPr>
        <w:t>ТКО</w:t>
      </w:r>
      <w:r w:rsidRPr="00E11EFD">
        <w:rPr>
          <w:szCs w:val="28"/>
        </w:rPr>
        <w:t>.</w:t>
      </w:r>
    </w:p>
    <w:p w:rsidR="00A91269" w:rsidRDefault="00A91269" w:rsidP="00A91269">
      <w:pPr>
        <w:widowControl w:val="0"/>
        <w:autoSpaceDE w:val="0"/>
        <w:autoSpaceDN w:val="0"/>
        <w:adjustRightInd w:val="0"/>
        <w:spacing w:after="0" w:line="240" w:lineRule="auto"/>
        <w:ind w:firstLine="540"/>
        <w:jc w:val="both"/>
        <w:rPr>
          <w:szCs w:val="28"/>
        </w:rPr>
      </w:pPr>
      <w:r w:rsidRPr="00E11EFD">
        <w:rPr>
          <w:szCs w:val="28"/>
        </w:rPr>
        <w:t>Ниже приведена структура платы граждан за коммунальные услуги</w:t>
      </w:r>
      <w:r>
        <w:rPr>
          <w:szCs w:val="28"/>
        </w:rPr>
        <w:t xml:space="preserve"> с учетом роста тарифов с 01.07.2025</w:t>
      </w:r>
      <w:r w:rsidRPr="00E11EFD">
        <w:rPr>
          <w:szCs w:val="28"/>
        </w:rPr>
        <w:t xml:space="preserve"> </w:t>
      </w:r>
      <w:r>
        <w:rPr>
          <w:szCs w:val="28"/>
        </w:rPr>
        <w:t>в среднем по Новосибирской области для семьи из 3 </w:t>
      </w:r>
      <w:r w:rsidRPr="00E11EFD">
        <w:rPr>
          <w:szCs w:val="28"/>
        </w:rPr>
        <w:t>человек, проживающей в ж</w:t>
      </w:r>
      <w:r>
        <w:rPr>
          <w:szCs w:val="28"/>
        </w:rPr>
        <w:t>илом помещении площадью 54 кв. м., учитывающая различный набор коммунальных услуг (рисунки 17,18,19).</w:t>
      </w:r>
    </w:p>
    <w:p w:rsidR="00A91269" w:rsidRPr="00B6404B" w:rsidRDefault="00A91269" w:rsidP="00A91269">
      <w:pPr>
        <w:widowControl w:val="0"/>
        <w:autoSpaceDE w:val="0"/>
        <w:autoSpaceDN w:val="0"/>
        <w:adjustRightInd w:val="0"/>
        <w:spacing w:after="0" w:line="240" w:lineRule="auto"/>
        <w:rPr>
          <w:szCs w:val="28"/>
        </w:rPr>
      </w:pPr>
    </w:p>
    <w:p w:rsidR="00A91269" w:rsidRDefault="00A91269" w:rsidP="00A91269">
      <w:pPr>
        <w:widowControl w:val="0"/>
        <w:autoSpaceDE w:val="0"/>
        <w:autoSpaceDN w:val="0"/>
        <w:adjustRightInd w:val="0"/>
        <w:spacing w:after="0" w:line="240" w:lineRule="auto"/>
        <w:rPr>
          <w:szCs w:val="28"/>
        </w:rPr>
      </w:pPr>
      <w:r>
        <w:rPr>
          <w:noProof/>
          <w:szCs w:val="28"/>
        </w:rPr>
        <w:drawing>
          <wp:inline distT="0" distB="0" distL="0" distR="0" wp14:anchorId="55B6B8DD" wp14:editId="5DDEC6E8">
            <wp:extent cx="5210908" cy="3317026"/>
            <wp:effectExtent l="0" t="0" r="8890" b="0"/>
            <wp:docPr id="290"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62">
                      <a:extLst>
                        <a:ext uri="{28A0092B-C50C-407E-A947-70E740481C1C}">
                          <a14:useLocalDpi xmlns:a14="http://schemas.microsoft.com/office/drawing/2010/main" val="0"/>
                        </a:ext>
                      </a:extLst>
                    </a:blip>
                    <a:srcRect t="12382"/>
                    <a:stretch/>
                  </pic:blipFill>
                  <pic:spPr bwMode="auto">
                    <a:xfrm>
                      <a:off x="0" y="0"/>
                      <a:ext cx="5236173" cy="3333108"/>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Default="00A91269" w:rsidP="00A91269">
      <w:pPr>
        <w:spacing w:after="0" w:line="240" w:lineRule="auto"/>
        <w:rPr>
          <w:i/>
          <w:sz w:val="24"/>
          <w:szCs w:val="28"/>
        </w:rPr>
      </w:pPr>
    </w:p>
    <w:p w:rsidR="00A91269" w:rsidRDefault="00A91269" w:rsidP="00A91269">
      <w:pPr>
        <w:spacing w:after="0" w:line="240" w:lineRule="auto"/>
        <w:rPr>
          <w:i/>
          <w:sz w:val="24"/>
          <w:szCs w:val="28"/>
        </w:rPr>
      </w:pPr>
      <w:r w:rsidRPr="00EA75DA">
        <w:rPr>
          <w:i/>
          <w:sz w:val="24"/>
          <w:szCs w:val="28"/>
        </w:rPr>
        <w:t xml:space="preserve">Рисунок </w:t>
      </w:r>
      <w:r>
        <w:rPr>
          <w:i/>
          <w:sz w:val="24"/>
          <w:szCs w:val="28"/>
        </w:rPr>
        <w:t>17</w:t>
      </w:r>
      <w:r w:rsidRPr="00EA75DA">
        <w:rPr>
          <w:i/>
          <w:sz w:val="24"/>
          <w:szCs w:val="28"/>
        </w:rPr>
        <w:t xml:space="preserve"> –</w:t>
      </w:r>
      <w:r w:rsidRPr="00916B47">
        <w:t xml:space="preserve"> </w:t>
      </w:r>
      <w:r w:rsidRPr="004D16AA">
        <w:rPr>
          <w:i/>
          <w:sz w:val="24"/>
          <w:szCs w:val="28"/>
        </w:rPr>
        <w:t xml:space="preserve">Средняя </w:t>
      </w:r>
      <w:r>
        <w:rPr>
          <w:i/>
          <w:sz w:val="24"/>
          <w:szCs w:val="28"/>
        </w:rPr>
        <w:t xml:space="preserve">структура платы граждан с 01.07.2025 </w:t>
      </w:r>
      <w:r w:rsidRPr="004D16AA">
        <w:rPr>
          <w:i/>
          <w:sz w:val="24"/>
          <w:szCs w:val="28"/>
        </w:rPr>
        <w:t xml:space="preserve">для семьи из 3 человек, </w:t>
      </w:r>
    </w:p>
    <w:p w:rsidR="00A91269" w:rsidRDefault="00A91269" w:rsidP="00A91269">
      <w:pPr>
        <w:spacing w:after="0" w:line="240" w:lineRule="auto"/>
        <w:rPr>
          <w:i/>
          <w:sz w:val="24"/>
          <w:szCs w:val="28"/>
        </w:rPr>
      </w:pPr>
      <w:r w:rsidRPr="004D16AA">
        <w:rPr>
          <w:i/>
          <w:sz w:val="24"/>
          <w:szCs w:val="28"/>
        </w:rPr>
        <w:t>проживающей в жилом помещении площадью 54 кв. м.</w:t>
      </w:r>
      <w:r w:rsidRPr="00894E05">
        <w:rPr>
          <w:i/>
          <w:sz w:val="24"/>
          <w:szCs w:val="28"/>
        </w:rPr>
        <w:t xml:space="preserve"> (</w:t>
      </w:r>
      <w:r>
        <w:rPr>
          <w:i/>
          <w:sz w:val="24"/>
          <w:szCs w:val="28"/>
        </w:rPr>
        <w:t>при полной степени благоустройства)</w:t>
      </w:r>
    </w:p>
    <w:p w:rsidR="00A91269" w:rsidRPr="00894E05" w:rsidRDefault="00A91269" w:rsidP="00A91269">
      <w:pPr>
        <w:spacing w:after="0" w:line="240" w:lineRule="auto"/>
        <w:rPr>
          <w:i/>
          <w:sz w:val="24"/>
          <w:szCs w:val="28"/>
        </w:rPr>
      </w:pPr>
    </w:p>
    <w:p w:rsidR="00A91269" w:rsidRDefault="00A91269" w:rsidP="00A91269">
      <w:pPr>
        <w:spacing w:after="0" w:line="240" w:lineRule="auto"/>
        <w:rPr>
          <w:i/>
          <w:sz w:val="24"/>
          <w:szCs w:val="28"/>
        </w:rPr>
      </w:pPr>
      <w:r>
        <w:rPr>
          <w:i/>
          <w:noProof/>
          <w:sz w:val="24"/>
          <w:szCs w:val="28"/>
        </w:rPr>
        <w:lastRenderedPageBreak/>
        <w:drawing>
          <wp:inline distT="0" distB="0" distL="0" distR="0" wp14:anchorId="46819D34" wp14:editId="7578B572">
            <wp:extent cx="5175738" cy="3121729"/>
            <wp:effectExtent l="0" t="0" r="6350" b="2540"/>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63">
                      <a:extLst>
                        <a:ext uri="{28A0092B-C50C-407E-A947-70E740481C1C}">
                          <a14:useLocalDpi xmlns:a14="http://schemas.microsoft.com/office/drawing/2010/main" val="0"/>
                        </a:ext>
                      </a:extLst>
                    </a:blip>
                    <a:srcRect t="14186" b="11565"/>
                    <a:stretch/>
                  </pic:blipFill>
                  <pic:spPr bwMode="auto">
                    <a:xfrm>
                      <a:off x="0" y="0"/>
                      <a:ext cx="5181632" cy="3125284"/>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Default="00A91269" w:rsidP="00A91269">
      <w:pPr>
        <w:spacing w:after="0" w:line="240" w:lineRule="auto"/>
        <w:rPr>
          <w:i/>
          <w:sz w:val="24"/>
          <w:szCs w:val="28"/>
        </w:rPr>
      </w:pPr>
      <w:r w:rsidRPr="00EA75DA">
        <w:rPr>
          <w:i/>
          <w:sz w:val="24"/>
          <w:szCs w:val="28"/>
        </w:rPr>
        <w:t xml:space="preserve">Рисунок </w:t>
      </w:r>
      <w:r>
        <w:rPr>
          <w:i/>
          <w:sz w:val="24"/>
          <w:szCs w:val="28"/>
        </w:rPr>
        <w:t>18</w:t>
      </w:r>
      <w:r w:rsidRPr="00EA75DA">
        <w:rPr>
          <w:i/>
          <w:sz w:val="24"/>
          <w:szCs w:val="28"/>
        </w:rPr>
        <w:t xml:space="preserve"> –</w:t>
      </w:r>
      <w:r w:rsidRPr="00916B47">
        <w:t xml:space="preserve"> </w:t>
      </w:r>
      <w:r w:rsidRPr="004D16AA">
        <w:rPr>
          <w:i/>
          <w:sz w:val="24"/>
          <w:szCs w:val="28"/>
        </w:rPr>
        <w:t xml:space="preserve">Средняя </w:t>
      </w:r>
      <w:r>
        <w:rPr>
          <w:i/>
          <w:sz w:val="24"/>
          <w:szCs w:val="28"/>
        </w:rPr>
        <w:t xml:space="preserve">структура платы граждан при наличии газового отопления с 01.07.2025 </w:t>
      </w:r>
      <w:r w:rsidRPr="004D16AA">
        <w:rPr>
          <w:i/>
          <w:sz w:val="24"/>
          <w:szCs w:val="28"/>
        </w:rPr>
        <w:t>для семьи из 3 человек, проживающей в жилом помещении площадью 54 кв. м.</w:t>
      </w:r>
    </w:p>
    <w:p w:rsidR="00A91269" w:rsidRPr="00B6404B" w:rsidRDefault="00A91269" w:rsidP="00A91269">
      <w:pPr>
        <w:spacing w:after="0" w:line="240" w:lineRule="auto"/>
        <w:rPr>
          <w:i/>
          <w:sz w:val="18"/>
          <w:szCs w:val="28"/>
        </w:rPr>
      </w:pPr>
    </w:p>
    <w:p w:rsidR="00A91269" w:rsidRPr="00B6404B" w:rsidRDefault="00A91269" w:rsidP="00A91269">
      <w:pPr>
        <w:spacing w:after="0" w:line="240" w:lineRule="auto"/>
        <w:rPr>
          <w:i/>
          <w:szCs w:val="28"/>
        </w:rPr>
      </w:pPr>
    </w:p>
    <w:p w:rsidR="00A91269" w:rsidRDefault="00A91269" w:rsidP="00A91269">
      <w:pPr>
        <w:spacing w:after="0" w:line="240" w:lineRule="auto"/>
        <w:rPr>
          <w:i/>
          <w:sz w:val="24"/>
          <w:szCs w:val="28"/>
        </w:rPr>
      </w:pPr>
      <w:r>
        <w:rPr>
          <w:i/>
          <w:noProof/>
          <w:sz w:val="24"/>
          <w:szCs w:val="28"/>
        </w:rPr>
        <w:drawing>
          <wp:inline distT="0" distB="0" distL="0" distR="0" wp14:anchorId="32D5C349" wp14:editId="4DB19E83">
            <wp:extent cx="5177927" cy="3206262"/>
            <wp:effectExtent l="0" t="0" r="3810" b="0"/>
            <wp:docPr id="292"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4">
                      <a:extLst>
                        <a:ext uri="{28A0092B-C50C-407E-A947-70E740481C1C}">
                          <a14:useLocalDpi xmlns:a14="http://schemas.microsoft.com/office/drawing/2010/main" val="0"/>
                        </a:ext>
                      </a:extLst>
                    </a:blip>
                    <a:srcRect t="11915" b="5167"/>
                    <a:stretch/>
                  </pic:blipFill>
                  <pic:spPr bwMode="auto">
                    <a:xfrm>
                      <a:off x="0" y="0"/>
                      <a:ext cx="5188878" cy="3213043"/>
                    </a:xfrm>
                    <a:prstGeom prst="rect">
                      <a:avLst/>
                    </a:prstGeom>
                    <a:noFill/>
                    <a:ln>
                      <a:noFill/>
                    </a:ln>
                    <a:extLst>
                      <a:ext uri="{53640926-AAD7-44D8-BBD7-CCE9431645EC}">
                        <a14:shadowObscured xmlns:a14="http://schemas.microsoft.com/office/drawing/2010/main"/>
                      </a:ext>
                    </a:extLst>
                  </pic:spPr>
                </pic:pic>
              </a:graphicData>
            </a:graphic>
          </wp:inline>
        </w:drawing>
      </w:r>
    </w:p>
    <w:p w:rsidR="00A91269" w:rsidRDefault="00A91269" w:rsidP="00A91269">
      <w:pPr>
        <w:spacing w:after="0" w:line="240" w:lineRule="auto"/>
        <w:rPr>
          <w:i/>
          <w:sz w:val="24"/>
          <w:szCs w:val="28"/>
        </w:rPr>
      </w:pPr>
      <w:r w:rsidRPr="00EA75DA">
        <w:rPr>
          <w:i/>
          <w:sz w:val="24"/>
          <w:szCs w:val="28"/>
        </w:rPr>
        <w:t xml:space="preserve">Рисунок </w:t>
      </w:r>
      <w:r>
        <w:rPr>
          <w:i/>
          <w:sz w:val="24"/>
          <w:szCs w:val="28"/>
        </w:rPr>
        <w:t>19</w:t>
      </w:r>
      <w:r w:rsidRPr="00EA75DA">
        <w:rPr>
          <w:i/>
          <w:sz w:val="24"/>
          <w:szCs w:val="28"/>
        </w:rPr>
        <w:t xml:space="preserve"> –</w:t>
      </w:r>
      <w:r w:rsidRPr="00916B47">
        <w:t xml:space="preserve"> </w:t>
      </w:r>
      <w:r w:rsidRPr="004D16AA">
        <w:rPr>
          <w:i/>
          <w:sz w:val="24"/>
          <w:szCs w:val="28"/>
        </w:rPr>
        <w:t xml:space="preserve">Средняя </w:t>
      </w:r>
      <w:r>
        <w:rPr>
          <w:i/>
          <w:sz w:val="24"/>
          <w:szCs w:val="28"/>
        </w:rPr>
        <w:t xml:space="preserve">структура платы граждан при наличии печного отопления с 01.07.2025 </w:t>
      </w:r>
      <w:r w:rsidRPr="004D16AA">
        <w:rPr>
          <w:i/>
          <w:sz w:val="24"/>
          <w:szCs w:val="28"/>
        </w:rPr>
        <w:t>для семьи из 3 человек, проживающей в жилом помещении площадью 54 кв. м.</w:t>
      </w:r>
    </w:p>
    <w:p w:rsidR="00A91269" w:rsidRDefault="00A91269" w:rsidP="00A91269">
      <w:pPr>
        <w:spacing w:after="0" w:line="240" w:lineRule="auto"/>
        <w:rPr>
          <w:i/>
          <w:sz w:val="24"/>
          <w:szCs w:val="28"/>
        </w:rPr>
      </w:pPr>
    </w:p>
    <w:p w:rsidR="00A91269" w:rsidRPr="00970397" w:rsidRDefault="00A91269" w:rsidP="00A91269">
      <w:pPr>
        <w:autoSpaceDE w:val="0"/>
        <w:autoSpaceDN w:val="0"/>
        <w:adjustRightInd w:val="0"/>
        <w:spacing w:after="0" w:line="240" w:lineRule="auto"/>
        <w:ind w:firstLine="540"/>
        <w:jc w:val="both"/>
        <w:rPr>
          <w:szCs w:val="28"/>
        </w:rPr>
      </w:pPr>
      <w:r w:rsidRPr="00894E05">
        <w:rPr>
          <w:szCs w:val="28"/>
        </w:rPr>
        <w:t>В структуре платы граждан за коммунальные услуги большую долю занимают расходы на отопление (тепловая энергия, газ, твердое топливо).</w:t>
      </w:r>
      <w:r>
        <w:rPr>
          <w:szCs w:val="28"/>
        </w:rPr>
        <w:t xml:space="preserve"> </w:t>
      </w:r>
    </w:p>
    <w:p w:rsidR="00A91269" w:rsidRDefault="00A91269" w:rsidP="00A91269">
      <w:pPr>
        <w:autoSpaceDE w:val="0"/>
        <w:autoSpaceDN w:val="0"/>
        <w:adjustRightInd w:val="0"/>
        <w:spacing w:after="0" w:line="240" w:lineRule="auto"/>
        <w:ind w:firstLine="540"/>
        <w:jc w:val="both"/>
        <w:rPr>
          <w:bCs/>
          <w:szCs w:val="28"/>
        </w:rPr>
      </w:pPr>
      <w:r w:rsidRPr="006A1702">
        <w:rPr>
          <w:bCs/>
          <w:szCs w:val="28"/>
        </w:rPr>
        <w:t>В 202</w:t>
      </w:r>
      <w:r>
        <w:rPr>
          <w:bCs/>
          <w:szCs w:val="28"/>
        </w:rPr>
        <w:t>4</w:t>
      </w:r>
      <w:r w:rsidRPr="00E11EFD">
        <w:rPr>
          <w:bCs/>
          <w:szCs w:val="28"/>
        </w:rPr>
        <w:t xml:space="preserve"> году в Новосибирской области продолжена работа по предоставлению гражданам социальной поддержки, связанной с оплатой жилого помещения и коммунальных услуг. Указанная социальная поддержка предоставляется отдельным категориям граждан в виде денежных выплат на оплату жилого помещения и коммунальных услуг, а также гражданам, имеющим низкий уровень дохода, в виде субсидий на оплату жилого </w:t>
      </w:r>
      <w:r w:rsidRPr="00E11EFD">
        <w:rPr>
          <w:bCs/>
          <w:szCs w:val="28"/>
        </w:rPr>
        <w:lastRenderedPageBreak/>
        <w:t>помещения и коммунальных услуг.</w:t>
      </w:r>
      <w:r>
        <w:rPr>
          <w:bCs/>
          <w:szCs w:val="28"/>
        </w:rPr>
        <w:t xml:space="preserve"> Количество домохозяйств, получающих субсидии в регионе на конец 2024 года, составило 13 420, о</w:t>
      </w:r>
      <w:r w:rsidRPr="00894E05">
        <w:rPr>
          <w:bCs/>
          <w:szCs w:val="28"/>
        </w:rPr>
        <w:t xml:space="preserve">бъем выделенных субсидий на ЖКУ </w:t>
      </w:r>
      <w:r>
        <w:rPr>
          <w:bCs/>
          <w:szCs w:val="28"/>
        </w:rPr>
        <w:t xml:space="preserve">– </w:t>
      </w:r>
      <w:r w:rsidRPr="00894E05">
        <w:rPr>
          <w:bCs/>
          <w:szCs w:val="28"/>
        </w:rPr>
        <w:t>255</w:t>
      </w:r>
      <w:r>
        <w:rPr>
          <w:bCs/>
          <w:szCs w:val="28"/>
        </w:rPr>
        <w:t> </w:t>
      </w:r>
      <w:r w:rsidRPr="00894E05">
        <w:rPr>
          <w:bCs/>
          <w:szCs w:val="28"/>
        </w:rPr>
        <w:t>067,99</w:t>
      </w:r>
      <w:r>
        <w:rPr>
          <w:bCs/>
          <w:szCs w:val="28"/>
        </w:rPr>
        <w:t xml:space="preserve"> тыс. рублей.</w:t>
      </w:r>
    </w:p>
    <w:p w:rsidR="00A91269" w:rsidRPr="00E11EFD" w:rsidRDefault="00A91269" w:rsidP="00A91269">
      <w:pPr>
        <w:autoSpaceDE w:val="0"/>
        <w:autoSpaceDN w:val="0"/>
        <w:adjustRightInd w:val="0"/>
        <w:spacing w:after="0" w:line="240" w:lineRule="auto"/>
        <w:ind w:firstLine="709"/>
        <w:jc w:val="both"/>
        <w:rPr>
          <w:color w:val="000000"/>
          <w:szCs w:val="28"/>
        </w:rPr>
      </w:pPr>
      <w:r w:rsidRPr="00E11EFD">
        <w:rPr>
          <w:color w:val="000000"/>
          <w:szCs w:val="28"/>
        </w:rPr>
        <w:t>В целях социальной защиты населения действует система предоставления льгот и субсидий на оплату жилищно-коммунальных услуг.</w:t>
      </w:r>
    </w:p>
    <w:p w:rsidR="00A91269" w:rsidRPr="00E11EFD" w:rsidRDefault="00A91269" w:rsidP="00A91269">
      <w:pPr>
        <w:autoSpaceDE w:val="0"/>
        <w:autoSpaceDN w:val="0"/>
        <w:adjustRightInd w:val="0"/>
        <w:spacing w:after="0" w:line="240" w:lineRule="auto"/>
        <w:ind w:firstLine="540"/>
        <w:jc w:val="both"/>
        <w:rPr>
          <w:color w:val="000000"/>
          <w:szCs w:val="28"/>
        </w:rPr>
      </w:pPr>
      <w:r w:rsidRPr="00E11EFD">
        <w:rPr>
          <w:rFonts w:eastAsia="Calibri"/>
          <w:color w:val="000000"/>
          <w:szCs w:val="28"/>
        </w:rPr>
        <w:t xml:space="preserve">Субсидии на оплату жилого помещения и коммунальных услуг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Расчет размера регионального стандарта стоимости жилищно-коммунальных услуг осуществляет </w:t>
      </w:r>
      <w:r w:rsidRPr="00E11EFD">
        <w:rPr>
          <w:color w:val="000000"/>
          <w:szCs w:val="28"/>
        </w:rPr>
        <w:t>департамент.</w:t>
      </w:r>
    </w:p>
    <w:p w:rsidR="00A91269" w:rsidRPr="00E11EFD" w:rsidRDefault="00A91269" w:rsidP="00A91269">
      <w:pPr>
        <w:autoSpaceDE w:val="0"/>
        <w:autoSpaceDN w:val="0"/>
        <w:adjustRightInd w:val="0"/>
        <w:spacing w:after="0" w:line="240" w:lineRule="auto"/>
        <w:ind w:firstLine="540"/>
        <w:jc w:val="both"/>
        <w:rPr>
          <w:szCs w:val="28"/>
        </w:rPr>
      </w:pPr>
      <w:r w:rsidRPr="00E11EFD">
        <w:rPr>
          <w:szCs w:val="28"/>
        </w:rPr>
        <w:t>В соответствии со статьей 159 Жилищного кодекса Российской Федерации</w:t>
      </w:r>
      <w:r>
        <w:rPr>
          <w:szCs w:val="28"/>
        </w:rPr>
        <w:t>,</w:t>
      </w:r>
      <w:r w:rsidRPr="00E11EFD">
        <w:rPr>
          <w:szCs w:val="28"/>
        </w:rPr>
        <w:t xml:space="preserve"> </w:t>
      </w:r>
      <w:r>
        <w:rPr>
          <w:szCs w:val="28"/>
        </w:rPr>
        <w:t>П</w:t>
      </w:r>
      <w:r w:rsidRPr="00E11EFD">
        <w:rPr>
          <w:szCs w:val="28"/>
        </w:rPr>
        <w:t>остановлением Правительства Российской Федерации от</w:t>
      </w:r>
      <w:r>
        <w:rPr>
          <w:szCs w:val="28"/>
        </w:rPr>
        <w:t> </w:t>
      </w:r>
      <w:r w:rsidRPr="00E11EFD">
        <w:rPr>
          <w:szCs w:val="28"/>
        </w:rPr>
        <w:t>14.12.2005 №</w:t>
      </w:r>
      <w:r>
        <w:rPr>
          <w:szCs w:val="28"/>
        </w:rPr>
        <w:t> 761 «О </w:t>
      </w:r>
      <w:r w:rsidRPr="00E11EFD">
        <w:rPr>
          <w:szCs w:val="28"/>
        </w:rPr>
        <w:t>предоставлении субсидий на оплату жилого помещения и коммунальных услуг», Законом Новосибирской области от</w:t>
      </w:r>
      <w:r>
        <w:rPr>
          <w:szCs w:val="28"/>
        </w:rPr>
        <w:t> </w:t>
      </w:r>
      <w:r w:rsidRPr="00E11EFD">
        <w:rPr>
          <w:szCs w:val="28"/>
        </w:rPr>
        <w:t>05.12.2006 №</w:t>
      </w:r>
      <w:r>
        <w:rPr>
          <w:szCs w:val="28"/>
        </w:rPr>
        <w:t> </w:t>
      </w:r>
      <w:r w:rsidRPr="00E11EFD">
        <w:rPr>
          <w:szCs w:val="28"/>
        </w:rPr>
        <w:t xml:space="preserve">60-ОЗ «О региональных стандартах оплаты жилого помещения и коммунальных услуг в Новосибирской области», </w:t>
      </w:r>
      <w:r w:rsidRPr="004E7246">
        <w:rPr>
          <w:szCs w:val="28"/>
        </w:rPr>
        <w:t xml:space="preserve">постановлением Губернатора Новосибирской области </w:t>
      </w:r>
      <w:r w:rsidRPr="00404906">
        <w:rPr>
          <w:szCs w:val="28"/>
        </w:rPr>
        <w:t>от 28.12.2024 №</w:t>
      </w:r>
      <w:r>
        <w:rPr>
          <w:szCs w:val="28"/>
        </w:rPr>
        <w:t> </w:t>
      </w:r>
      <w:r w:rsidRPr="00404906">
        <w:rPr>
          <w:szCs w:val="28"/>
        </w:rPr>
        <w:t>261</w:t>
      </w:r>
      <w:r w:rsidRPr="00404906">
        <w:t xml:space="preserve"> </w:t>
      </w:r>
      <w:r w:rsidRPr="004E7246">
        <w:rPr>
          <w:szCs w:val="28"/>
        </w:rPr>
        <w:t>«О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w:t>
      </w:r>
      <w:r>
        <w:rPr>
          <w:szCs w:val="28"/>
        </w:rPr>
        <w:t xml:space="preserve">5 </w:t>
      </w:r>
      <w:r w:rsidRPr="004E7246">
        <w:rPr>
          <w:szCs w:val="28"/>
        </w:rPr>
        <w:t>год»</w:t>
      </w:r>
      <w:r>
        <w:rPr>
          <w:szCs w:val="28"/>
        </w:rPr>
        <w:t>,</w:t>
      </w:r>
      <w:r w:rsidRPr="004E7246">
        <w:rPr>
          <w:szCs w:val="28"/>
        </w:rPr>
        <w:t xml:space="preserve"> </w:t>
      </w:r>
      <w:r>
        <w:rPr>
          <w:szCs w:val="28"/>
        </w:rPr>
        <w:t xml:space="preserve">департаментом подготовлен </w:t>
      </w:r>
      <w:r w:rsidRPr="00B75D2E">
        <w:rPr>
          <w:szCs w:val="28"/>
        </w:rPr>
        <w:t>проект постановления Губернатора Новосибирской области «Об</w:t>
      </w:r>
      <w:r w:rsidRPr="00B75D2E">
        <w:rPr>
          <w:color w:val="000000"/>
          <w:sz w:val="24"/>
        </w:rPr>
        <w:t xml:space="preserve"> </w:t>
      </w:r>
      <w:r w:rsidRPr="00B75D2E">
        <w:rPr>
          <w:szCs w:val="28"/>
        </w:rPr>
        <w:t xml:space="preserve">установлении региональных стандартов оплаты жилого помещения и коммунальных услуг в Новосибирской области на 2025 год», используемый для расчета субсидий. </w:t>
      </w:r>
      <w:r w:rsidRPr="00404906">
        <w:rPr>
          <w:szCs w:val="28"/>
        </w:rPr>
        <w:t>Проект предусматривает установление:</w:t>
      </w:r>
    </w:p>
    <w:p w:rsidR="00A91269" w:rsidRPr="00E11EFD" w:rsidRDefault="00A91269" w:rsidP="00A91269">
      <w:pPr>
        <w:autoSpaceDE w:val="0"/>
        <w:autoSpaceDN w:val="0"/>
        <w:adjustRightInd w:val="0"/>
        <w:spacing w:after="0" w:line="240" w:lineRule="auto"/>
        <w:ind w:firstLine="540"/>
        <w:jc w:val="both"/>
        <w:rPr>
          <w:szCs w:val="28"/>
        </w:rPr>
      </w:pPr>
      <w:r w:rsidRPr="00E11EFD">
        <w:rPr>
          <w:szCs w:val="28"/>
        </w:rPr>
        <w:t>-</w:t>
      </w:r>
      <w:r>
        <w:rPr>
          <w:szCs w:val="28"/>
        </w:rPr>
        <w:t> </w:t>
      </w:r>
      <w:r w:rsidRPr="00E11EFD">
        <w:rPr>
          <w:szCs w:val="28"/>
        </w:rPr>
        <w:t>региональны</w:t>
      </w:r>
      <w:r>
        <w:rPr>
          <w:szCs w:val="28"/>
        </w:rPr>
        <w:t>х</w:t>
      </w:r>
      <w:r w:rsidRPr="00E11EFD">
        <w:rPr>
          <w:szCs w:val="28"/>
        </w:rPr>
        <w:t xml:space="preserve"> стандарт</w:t>
      </w:r>
      <w:r>
        <w:rPr>
          <w:szCs w:val="28"/>
        </w:rPr>
        <w:t>ов</w:t>
      </w:r>
      <w:r w:rsidRPr="00E11EFD">
        <w:rPr>
          <w:szCs w:val="28"/>
        </w:rPr>
        <w:t xml:space="preserve"> нормативной площади жилого помещения, дифференцированны</w:t>
      </w:r>
      <w:r>
        <w:rPr>
          <w:szCs w:val="28"/>
        </w:rPr>
        <w:t>х</w:t>
      </w:r>
      <w:r w:rsidRPr="00E11EFD">
        <w:rPr>
          <w:szCs w:val="28"/>
        </w:rPr>
        <w:t xml:space="preserve"> по численности семьи (33 кв.</w:t>
      </w:r>
      <w:r>
        <w:rPr>
          <w:szCs w:val="28"/>
        </w:rPr>
        <w:t> </w:t>
      </w:r>
      <w:r w:rsidRPr="00E11EFD">
        <w:rPr>
          <w:szCs w:val="28"/>
        </w:rPr>
        <w:t>м</w:t>
      </w:r>
      <w:r>
        <w:rPr>
          <w:szCs w:val="28"/>
        </w:rPr>
        <w:t xml:space="preserve"> на одиноко проживающих граждан</w:t>
      </w:r>
      <w:r w:rsidRPr="00E11EFD">
        <w:rPr>
          <w:szCs w:val="28"/>
        </w:rPr>
        <w:t>, 42 кв.</w:t>
      </w:r>
      <w:r>
        <w:rPr>
          <w:szCs w:val="28"/>
        </w:rPr>
        <w:t> </w:t>
      </w:r>
      <w:r w:rsidRPr="00E11EFD">
        <w:rPr>
          <w:szCs w:val="28"/>
        </w:rPr>
        <w:t>м</w:t>
      </w:r>
      <w:r>
        <w:rPr>
          <w:szCs w:val="28"/>
        </w:rPr>
        <w:t xml:space="preserve"> на семью, </w:t>
      </w:r>
      <w:r w:rsidRPr="00E11EFD">
        <w:rPr>
          <w:szCs w:val="28"/>
        </w:rPr>
        <w:t>состоящ</w:t>
      </w:r>
      <w:r>
        <w:rPr>
          <w:szCs w:val="28"/>
        </w:rPr>
        <w:t>ую из двух человек</w:t>
      </w:r>
      <w:r w:rsidRPr="00E11EFD">
        <w:rPr>
          <w:szCs w:val="28"/>
        </w:rPr>
        <w:t>, 18 кв.</w:t>
      </w:r>
      <w:r>
        <w:rPr>
          <w:szCs w:val="28"/>
        </w:rPr>
        <w:t> </w:t>
      </w:r>
      <w:r w:rsidRPr="00E11EFD">
        <w:rPr>
          <w:szCs w:val="28"/>
        </w:rPr>
        <w:t>м</w:t>
      </w:r>
      <w:r>
        <w:rPr>
          <w:szCs w:val="28"/>
        </w:rPr>
        <w:t xml:space="preserve"> </w:t>
      </w:r>
      <w:r w:rsidRPr="00E11EFD">
        <w:rPr>
          <w:szCs w:val="28"/>
        </w:rPr>
        <w:t>для одного члена семьи, сос</w:t>
      </w:r>
      <w:r>
        <w:rPr>
          <w:szCs w:val="28"/>
        </w:rPr>
        <w:t>тоящей из трех и более человек</w:t>
      </w:r>
      <w:r w:rsidRPr="00E11EFD">
        <w:rPr>
          <w:szCs w:val="28"/>
        </w:rPr>
        <w:t>);</w:t>
      </w:r>
    </w:p>
    <w:p w:rsidR="00A91269" w:rsidRPr="00E11EFD" w:rsidRDefault="00A91269" w:rsidP="00A91269">
      <w:pPr>
        <w:autoSpaceDE w:val="0"/>
        <w:autoSpaceDN w:val="0"/>
        <w:adjustRightInd w:val="0"/>
        <w:spacing w:after="0" w:line="240" w:lineRule="auto"/>
        <w:ind w:firstLine="540"/>
        <w:jc w:val="both"/>
        <w:rPr>
          <w:szCs w:val="28"/>
        </w:rPr>
      </w:pPr>
      <w:r w:rsidRPr="00E11EFD">
        <w:rPr>
          <w:szCs w:val="28"/>
        </w:rPr>
        <w:t>-</w:t>
      </w:r>
      <w:r>
        <w:rPr>
          <w:szCs w:val="28"/>
        </w:rPr>
        <w:t> </w:t>
      </w:r>
      <w:r w:rsidRPr="00E11EFD">
        <w:rPr>
          <w:szCs w:val="28"/>
        </w:rPr>
        <w:t>региональны</w:t>
      </w:r>
      <w:r>
        <w:rPr>
          <w:szCs w:val="28"/>
        </w:rPr>
        <w:t>х</w:t>
      </w:r>
      <w:r w:rsidRPr="00E11EFD">
        <w:rPr>
          <w:szCs w:val="28"/>
        </w:rPr>
        <w:t xml:space="preserve"> стандарт</w:t>
      </w:r>
      <w:r>
        <w:rPr>
          <w:szCs w:val="28"/>
        </w:rPr>
        <w:t>ов</w:t>
      </w:r>
      <w:r w:rsidRPr="00E11EFD">
        <w:rPr>
          <w:szCs w:val="28"/>
        </w:rPr>
        <w:t xml:space="preserve"> максимально допустимой доли расходов граждан на оплату жилого помещения и коммунальных ус</w:t>
      </w:r>
      <w:r>
        <w:rPr>
          <w:szCs w:val="28"/>
        </w:rPr>
        <w:t xml:space="preserve">луг в совокупном доходе семьи </w:t>
      </w:r>
      <w:r w:rsidRPr="00E11EFD">
        <w:rPr>
          <w:szCs w:val="28"/>
        </w:rPr>
        <w:t xml:space="preserve">дифференцированно в зависимости от размера совокупного семейного дохода </w:t>
      </w:r>
      <w:r w:rsidRPr="000D75C0">
        <w:rPr>
          <w:szCs w:val="28"/>
        </w:rPr>
        <w:t>(16%; 22%);</w:t>
      </w:r>
    </w:p>
    <w:p w:rsidR="00A91269" w:rsidRPr="00E11EFD" w:rsidRDefault="00A91269" w:rsidP="00A91269">
      <w:pPr>
        <w:autoSpaceDE w:val="0"/>
        <w:autoSpaceDN w:val="0"/>
        <w:adjustRightInd w:val="0"/>
        <w:spacing w:after="0" w:line="240" w:lineRule="auto"/>
        <w:ind w:firstLine="540"/>
        <w:jc w:val="both"/>
        <w:rPr>
          <w:szCs w:val="28"/>
        </w:rPr>
      </w:pPr>
      <w:r w:rsidRPr="00E11EFD">
        <w:rPr>
          <w:szCs w:val="28"/>
        </w:rPr>
        <w:t>-</w:t>
      </w:r>
      <w:r>
        <w:rPr>
          <w:szCs w:val="28"/>
        </w:rPr>
        <w:t> </w:t>
      </w:r>
      <w:r w:rsidRPr="00E11EFD">
        <w:rPr>
          <w:szCs w:val="28"/>
        </w:rPr>
        <w:t>региональны</w:t>
      </w:r>
      <w:r>
        <w:rPr>
          <w:szCs w:val="28"/>
        </w:rPr>
        <w:t>х</w:t>
      </w:r>
      <w:r w:rsidRPr="00E11EFD">
        <w:rPr>
          <w:szCs w:val="28"/>
        </w:rPr>
        <w:t xml:space="preserve"> стандарт</w:t>
      </w:r>
      <w:r>
        <w:rPr>
          <w:szCs w:val="28"/>
        </w:rPr>
        <w:t>ов</w:t>
      </w:r>
      <w:r w:rsidRPr="00E11EFD">
        <w:rPr>
          <w:szCs w:val="28"/>
        </w:rPr>
        <w:t xml:space="preserve"> стоимости жилищно-коммунальных услуг</w:t>
      </w:r>
      <w:r>
        <w:rPr>
          <w:szCs w:val="28"/>
        </w:rPr>
        <w:t>,</w:t>
      </w:r>
      <w:r w:rsidRPr="00E11EFD">
        <w:rPr>
          <w:szCs w:val="28"/>
        </w:rPr>
        <w:t xml:space="preserve"> </w:t>
      </w:r>
      <w:r>
        <w:rPr>
          <w:szCs w:val="28"/>
        </w:rPr>
        <w:t>определенных</w:t>
      </w:r>
      <w:r w:rsidRPr="00E11EFD">
        <w:rPr>
          <w:szCs w:val="28"/>
        </w:rPr>
        <w:t xml:space="preserve"> исходя из цен, тарифов и нормативов, используемых для расчета платы за содержание и ремонт жилого помещения и коммунальных услуг для пользователей и нанимател</w:t>
      </w:r>
      <w:r>
        <w:rPr>
          <w:szCs w:val="28"/>
        </w:rPr>
        <w:t>ей</w:t>
      </w:r>
      <w:r w:rsidRPr="00E11EFD">
        <w:rPr>
          <w:szCs w:val="28"/>
        </w:rPr>
        <w:t xml:space="preserve"> жилых помещений, членов жилищных кооперативов, для собственников жилых помещений, которые в соответствии с требованиями части 2 статьи 169 Жилищного кодекса Российской Федерации обязаны вносить взносы на капитальный ремонт, для собственников жилых помещений, которые в соответствии с требованиями </w:t>
      </w:r>
      <w:r w:rsidRPr="00E11EFD">
        <w:rPr>
          <w:szCs w:val="28"/>
        </w:rPr>
        <w:lastRenderedPageBreak/>
        <w:t>части 2 статьи 169 Жилищного кодекса Российской Федерации</w:t>
      </w:r>
      <w:r>
        <w:rPr>
          <w:szCs w:val="28"/>
        </w:rPr>
        <w:t xml:space="preserve"> </w:t>
      </w:r>
      <w:r w:rsidRPr="00E11EFD">
        <w:rPr>
          <w:szCs w:val="28"/>
        </w:rPr>
        <w:t>не обязаны вносить взносы на капитальный ремонт, проживающих в жилых помещениях, расположенных в домах, уровень благоустройства и технические параметры которых соответствуют средним условиям в муниципальном образовании.</w:t>
      </w:r>
    </w:p>
    <w:p w:rsidR="00A91269" w:rsidRPr="00E11EFD" w:rsidRDefault="00A91269" w:rsidP="00A91269">
      <w:pPr>
        <w:autoSpaceDE w:val="0"/>
        <w:autoSpaceDN w:val="0"/>
        <w:adjustRightInd w:val="0"/>
        <w:spacing w:after="0" w:line="240" w:lineRule="auto"/>
        <w:ind w:firstLine="540"/>
        <w:jc w:val="both"/>
        <w:rPr>
          <w:iCs/>
          <w:color w:val="000000"/>
          <w:szCs w:val="28"/>
        </w:rPr>
      </w:pPr>
      <w:r w:rsidRPr="00E11EFD">
        <w:rPr>
          <w:iCs/>
          <w:color w:val="000000"/>
          <w:szCs w:val="28"/>
        </w:rPr>
        <w:t xml:space="preserve">Меры социальной поддержки населения осуществляются в виде компенсации из расчета фактической оплаты за жилищно-коммунальные услуги, но не выше региональных стандартов, утвержденных постановлением Губернатора Новосибирской </w:t>
      </w:r>
      <w:r w:rsidRPr="00B2156F">
        <w:rPr>
          <w:iCs/>
          <w:color w:val="000000"/>
          <w:szCs w:val="28"/>
        </w:rPr>
        <w:t>области.</w:t>
      </w:r>
    </w:p>
    <w:p w:rsidR="00A91269" w:rsidRDefault="00A91269"/>
    <w:p w:rsidR="00A91269" w:rsidRDefault="00A91269"/>
    <w:p w:rsidR="00585C99" w:rsidRDefault="00585C99"/>
    <w:p w:rsidR="00585C99" w:rsidRDefault="00585C99"/>
    <w:p w:rsidR="00585C99" w:rsidRDefault="00585C99"/>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327CEA" w:rsidRDefault="00327CEA"/>
    <w:p w:rsidR="00585C99" w:rsidRDefault="00585C99"/>
    <w:p w:rsidR="00585C99" w:rsidRDefault="00585C99" w:rsidP="00327CEA">
      <w:pPr>
        <w:pStyle w:val="20231"/>
      </w:pPr>
      <w:bookmarkStart w:id="118" w:name="_Toc162431952"/>
      <w:bookmarkStart w:id="119" w:name="_Toc193810580"/>
      <w:r>
        <w:lastRenderedPageBreak/>
        <w:t>2.8. Государственное регулирование транспортых услуг</w:t>
      </w:r>
      <w:bookmarkEnd w:id="118"/>
      <w:bookmarkEnd w:id="119"/>
    </w:p>
    <w:p w:rsidR="00585C99" w:rsidRDefault="00585C99" w:rsidP="00327CEA">
      <w:pPr>
        <w:pStyle w:val="4"/>
      </w:pPr>
      <w:bookmarkStart w:id="120" w:name="_Toc162431953"/>
      <w:bookmarkStart w:id="121" w:name="_Toc193810581"/>
      <w:r w:rsidRPr="008C1F19">
        <w:t>2.8.1. Тарифы на услуги по перевозке пассажиров железнодорожным транспортом в пригородном сообщении, оказываемые на территории Новосибирской области.</w:t>
      </w:r>
      <w:bookmarkEnd w:id="120"/>
      <w:bookmarkEnd w:id="121"/>
    </w:p>
    <w:p w:rsidR="00585C99" w:rsidRPr="007206CE" w:rsidRDefault="00585C99" w:rsidP="00585C99">
      <w:pPr>
        <w:autoSpaceDE w:val="0"/>
        <w:autoSpaceDN w:val="0"/>
        <w:adjustRightInd w:val="0"/>
        <w:spacing w:after="0" w:line="240" w:lineRule="auto"/>
        <w:ind w:firstLine="567"/>
        <w:jc w:val="both"/>
        <w:rPr>
          <w:szCs w:val="28"/>
        </w:rPr>
      </w:pPr>
      <w:r>
        <w:rPr>
          <w:szCs w:val="28"/>
        </w:rPr>
        <w:t xml:space="preserve">Приказами департамента </w:t>
      </w:r>
      <w:r w:rsidRPr="00884F49">
        <w:rPr>
          <w:szCs w:val="28"/>
        </w:rPr>
        <w:t xml:space="preserve">от </w:t>
      </w:r>
      <w:r>
        <w:rPr>
          <w:szCs w:val="28"/>
        </w:rPr>
        <w:t>17</w:t>
      </w:r>
      <w:r w:rsidRPr="00884F49">
        <w:rPr>
          <w:szCs w:val="28"/>
        </w:rPr>
        <w:t>.12.20</w:t>
      </w:r>
      <w:r>
        <w:rPr>
          <w:szCs w:val="28"/>
        </w:rPr>
        <w:t>24</w:t>
      </w:r>
      <w:r w:rsidRPr="00884F49">
        <w:rPr>
          <w:szCs w:val="28"/>
        </w:rPr>
        <w:t xml:space="preserve"> № </w:t>
      </w:r>
      <w:r>
        <w:rPr>
          <w:szCs w:val="28"/>
        </w:rPr>
        <w:t>471</w:t>
      </w:r>
      <w:r w:rsidRPr="00884F49">
        <w:rPr>
          <w:szCs w:val="28"/>
        </w:rPr>
        <w:t>-ТС</w:t>
      </w:r>
      <w:r>
        <w:rPr>
          <w:szCs w:val="28"/>
        </w:rPr>
        <w:t>/НПА и от 24.12.20</w:t>
      </w:r>
      <w:r w:rsidRPr="009E6820">
        <w:rPr>
          <w:szCs w:val="28"/>
        </w:rPr>
        <w:t>2</w:t>
      </w:r>
      <w:r>
        <w:rPr>
          <w:szCs w:val="28"/>
        </w:rPr>
        <w:t>4 № 67</w:t>
      </w:r>
      <w:r w:rsidRPr="00D30245">
        <w:rPr>
          <w:szCs w:val="28"/>
        </w:rPr>
        <w:t>2</w:t>
      </w:r>
      <w:r>
        <w:rPr>
          <w:szCs w:val="28"/>
        </w:rPr>
        <w:t>-ТС</w:t>
      </w:r>
      <w:r w:rsidRPr="000346CA">
        <w:rPr>
          <w:szCs w:val="28"/>
        </w:rPr>
        <w:t xml:space="preserve"> </w:t>
      </w:r>
      <w:r>
        <w:rPr>
          <w:szCs w:val="28"/>
        </w:rPr>
        <w:t>«</w:t>
      </w:r>
      <w:r w:rsidRPr="00901CCE">
        <w:rPr>
          <w:szCs w:val="28"/>
        </w:rPr>
        <w:t xml:space="preserve">Об установлении тарифов на услуги по перевозке пассажиров железнодорожным транспортом в пригородном сообщении, </w:t>
      </w:r>
      <w:r w:rsidRPr="001B65EB">
        <w:rPr>
          <w:szCs w:val="28"/>
        </w:rPr>
        <w:t xml:space="preserve">оказываемые </w:t>
      </w:r>
      <w:r>
        <w:rPr>
          <w:szCs w:val="28"/>
        </w:rPr>
        <w:t>А</w:t>
      </w:r>
      <w:r w:rsidRPr="001B65EB">
        <w:rPr>
          <w:szCs w:val="28"/>
        </w:rPr>
        <w:t>кционерным обществом «Экспресс-пригород» на территории Новосибирской области» установлены</w:t>
      </w:r>
      <w:r w:rsidRPr="007206CE">
        <w:rPr>
          <w:szCs w:val="28"/>
        </w:rPr>
        <w:t xml:space="preserve"> следующие тарифы:</w:t>
      </w:r>
    </w:p>
    <w:p w:rsidR="00585C99" w:rsidRPr="007206CE" w:rsidRDefault="00585C99" w:rsidP="00585C99">
      <w:pPr>
        <w:autoSpaceDE w:val="0"/>
        <w:autoSpaceDN w:val="0"/>
        <w:adjustRightInd w:val="0"/>
        <w:spacing w:after="0" w:line="240" w:lineRule="auto"/>
        <w:ind w:firstLine="567"/>
        <w:jc w:val="both"/>
        <w:rPr>
          <w:szCs w:val="28"/>
        </w:rPr>
      </w:pPr>
      <w:r>
        <w:rPr>
          <w:szCs w:val="28"/>
        </w:rPr>
        <w:t>1. Э</w:t>
      </w:r>
      <w:r w:rsidRPr="006665A6">
        <w:rPr>
          <w:szCs w:val="28"/>
        </w:rPr>
        <w:t xml:space="preserve">кономически обоснованный уровень </w:t>
      </w:r>
      <w:r>
        <w:rPr>
          <w:szCs w:val="28"/>
        </w:rPr>
        <w:t>тарифа</w:t>
      </w:r>
      <w:r w:rsidRPr="006665A6">
        <w:rPr>
          <w:szCs w:val="28"/>
        </w:rPr>
        <w:t xml:space="preserve"> в расчете на одного пассажира </w:t>
      </w:r>
      <w:r w:rsidRPr="006665A6">
        <w:rPr>
          <w:rFonts w:eastAsiaTheme="minorHAnsi"/>
          <w:bCs/>
          <w:szCs w:val="28"/>
          <w:lang w:eastAsia="en-US"/>
        </w:rPr>
        <w:t xml:space="preserve">за один километр в размере </w:t>
      </w:r>
      <w:r>
        <w:rPr>
          <w:rFonts w:eastAsiaTheme="minorHAnsi"/>
          <w:bCs/>
          <w:szCs w:val="28"/>
          <w:lang w:eastAsia="en-US"/>
        </w:rPr>
        <w:t>3,05</w:t>
      </w:r>
      <w:r w:rsidRPr="006665A6">
        <w:rPr>
          <w:rFonts w:eastAsiaTheme="minorHAnsi"/>
          <w:bCs/>
          <w:szCs w:val="28"/>
          <w:lang w:eastAsia="en-US"/>
        </w:rPr>
        <w:t xml:space="preserve"> </w:t>
      </w:r>
      <w:r w:rsidRPr="006665A6">
        <w:rPr>
          <w:rFonts w:eastAsiaTheme="minorHAnsi"/>
          <w:szCs w:val="28"/>
          <w:lang w:eastAsia="en-US"/>
        </w:rPr>
        <w:t>ру</w:t>
      </w:r>
      <w:r>
        <w:rPr>
          <w:rFonts w:eastAsiaTheme="minorHAnsi"/>
          <w:szCs w:val="28"/>
          <w:lang w:eastAsia="en-US"/>
        </w:rPr>
        <w:t>б</w:t>
      </w:r>
      <w:r w:rsidRPr="006665A6">
        <w:rPr>
          <w:rFonts w:eastAsiaTheme="minorHAnsi"/>
          <w:szCs w:val="28"/>
          <w:lang w:eastAsia="en-US"/>
        </w:rPr>
        <w:t>лей</w:t>
      </w:r>
      <w:r>
        <w:rPr>
          <w:rFonts w:eastAsiaTheme="minorHAnsi"/>
          <w:szCs w:val="28"/>
          <w:lang w:eastAsia="en-US"/>
        </w:rPr>
        <w:t xml:space="preserve"> </w:t>
      </w:r>
      <w:r w:rsidRPr="00BC4D2B">
        <w:rPr>
          <w:rFonts w:eastAsiaTheme="minorHAnsi"/>
          <w:szCs w:val="28"/>
          <w:lang w:eastAsia="en-US"/>
        </w:rPr>
        <w:t>(</w:t>
      </w:r>
      <w:r w:rsidRPr="00BC4D2B">
        <w:rPr>
          <w:szCs w:val="28"/>
        </w:rPr>
        <w:t xml:space="preserve">с увеличением на </w:t>
      </w:r>
      <w:r>
        <w:rPr>
          <w:szCs w:val="28"/>
        </w:rPr>
        <w:t>11</w:t>
      </w:r>
      <w:r w:rsidRPr="00BC4D2B">
        <w:rPr>
          <w:szCs w:val="28"/>
        </w:rPr>
        <w:t>% от тарифа 202</w:t>
      </w:r>
      <w:r>
        <w:rPr>
          <w:szCs w:val="28"/>
        </w:rPr>
        <w:t>4</w:t>
      </w:r>
      <w:r w:rsidRPr="00BC4D2B">
        <w:rPr>
          <w:szCs w:val="28"/>
        </w:rPr>
        <w:t xml:space="preserve"> </w:t>
      </w:r>
      <w:r>
        <w:rPr>
          <w:szCs w:val="28"/>
        </w:rPr>
        <w:t>года)</w:t>
      </w:r>
      <w:r w:rsidRPr="00BC4D2B">
        <w:rPr>
          <w:szCs w:val="28"/>
        </w:rPr>
        <w:t>, применяемый для определения в соответствии</w:t>
      </w:r>
      <w:r w:rsidRPr="006665A6">
        <w:rPr>
          <w:szCs w:val="28"/>
        </w:rPr>
        <w:t xml:space="preserve"> с Порядком, утвержденным постановлением Правительства Новосибирской области</w:t>
      </w:r>
      <w:r w:rsidRPr="006665A6">
        <w:rPr>
          <w:rFonts w:eastAsia="Calibri"/>
          <w:szCs w:val="28"/>
        </w:rPr>
        <w:t xml:space="preserve"> от 24.02.2014 № 83-п</w:t>
      </w:r>
      <w:r w:rsidRPr="006665A6">
        <w:rPr>
          <w:szCs w:val="28"/>
        </w:rPr>
        <w:t xml:space="preserve">, размера субсидий в целях возмещения затрат или недополученных доходов компании, возникающих в случае применения компанией при расчете с пассажирами </w:t>
      </w:r>
      <w:hyperlink r:id="rId165" w:history="1">
        <w:r w:rsidRPr="006665A6">
          <w:rPr>
            <w:szCs w:val="28"/>
          </w:rPr>
          <w:t>тарифов</w:t>
        </w:r>
      </w:hyperlink>
      <w:r w:rsidRPr="006665A6">
        <w:rPr>
          <w:szCs w:val="28"/>
        </w:rPr>
        <w:t>, на основании которых определяется плата за перевозку пассажиров в пригородном сообщении</w:t>
      </w:r>
      <w:r w:rsidRPr="006665A6">
        <w:rPr>
          <w:rFonts w:eastAsiaTheme="minorHAnsi"/>
          <w:szCs w:val="28"/>
          <w:lang w:eastAsia="en-US"/>
        </w:rPr>
        <w:t xml:space="preserve">. </w:t>
      </w:r>
      <w:r w:rsidRPr="006665A6">
        <w:rPr>
          <w:szCs w:val="28"/>
        </w:rPr>
        <w:t>В целях обеспечения бесперебойного субсидирования перевозчика</w:t>
      </w:r>
      <w:r w:rsidRPr="006665A6">
        <w:rPr>
          <w:rFonts w:eastAsia="Calibri"/>
          <w:szCs w:val="28"/>
        </w:rPr>
        <w:t xml:space="preserve"> в соответствии с Порядком, произведен пересчет э</w:t>
      </w:r>
      <w:r w:rsidRPr="006665A6">
        <w:rPr>
          <w:bCs/>
          <w:szCs w:val="28"/>
        </w:rPr>
        <w:t xml:space="preserve">кономически обоснованного уровня тарифа, рассчитанного на пассажирокилометр, в </w:t>
      </w:r>
      <w:r w:rsidRPr="006665A6">
        <w:rPr>
          <w:rFonts w:eastAsia="Calibri"/>
          <w:szCs w:val="28"/>
        </w:rPr>
        <w:t>разрезе пригородных зон и кварталов регулируемого периода</w:t>
      </w:r>
      <w:r>
        <w:rPr>
          <w:rFonts w:eastAsia="Calibri"/>
          <w:szCs w:val="28"/>
        </w:rPr>
        <w:t xml:space="preserve"> (184 тарифа по 46 зонам)</w:t>
      </w:r>
      <w:r w:rsidRPr="007206CE">
        <w:rPr>
          <w:szCs w:val="28"/>
        </w:rPr>
        <w:t>;</w:t>
      </w:r>
    </w:p>
    <w:p w:rsidR="00585C99" w:rsidRDefault="00585C99" w:rsidP="00585C99">
      <w:pPr>
        <w:autoSpaceDE w:val="0"/>
        <w:autoSpaceDN w:val="0"/>
        <w:adjustRightInd w:val="0"/>
        <w:spacing w:after="0" w:line="240" w:lineRule="auto"/>
        <w:ind w:firstLine="540"/>
        <w:jc w:val="both"/>
        <w:rPr>
          <w:szCs w:val="28"/>
        </w:rPr>
      </w:pPr>
      <w:r>
        <w:rPr>
          <w:szCs w:val="28"/>
        </w:rPr>
        <w:t xml:space="preserve">2. </w:t>
      </w:r>
      <w:r w:rsidRPr="001007D6">
        <w:rPr>
          <w:szCs w:val="28"/>
        </w:rPr>
        <w:t>Т</w:t>
      </w:r>
      <w:hyperlink r:id="rId166" w:history="1">
        <w:r w:rsidRPr="001007D6">
          <w:rPr>
            <w:rFonts w:eastAsiaTheme="minorHAnsi"/>
            <w:szCs w:val="28"/>
            <w:lang w:eastAsia="en-US"/>
          </w:rPr>
          <w:t>арифы</w:t>
        </w:r>
      </w:hyperlink>
      <w:r w:rsidRPr="001007D6">
        <w:rPr>
          <w:rFonts w:eastAsiaTheme="minorHAnsi"/>
          <w:szCs w:val="28"/>
          <w:lang w:eastAsia="en-US"/>
        </w:rPr>
        <w:t xml:space="preserve"> на услуги по перевозке пассажиров железнодорожным транспортом общего пользования в пригородном сообщении, оплачиваемые пассажирами при осуществлении поездок в пригородном сообщении на территории Новосибирской области (за исключением перевозок по маршрутам перевозок «о.п. </w:t>
      </w:r>
      <w:r>
        <w:rPr>
          <w:rFonts w:eastAsiaTheme="minorHAnsi"/>
          <w:szCs w:val="28"/>
          <w:lang w:eastAsia="en-US"/>
        </w:rPr>
        <w:t>Клюквенный</w:t>
      </w:r>
      <w:r w:rsidRPr="001007D6">
        <w:rPr>
          <w:rFonts w:eastAsiaTheme="minorHAnsi"/>
          <w:szCs w:val="28"/>
          <w:lang w:eastAsia="en-US"/>
        </w:rPr>
        <w:t xml:space="preserve"> – </w:t>
      </w:r>
      <w:r>
        <w:rPr>
          <w:rFonts w:eastAsiaTheme="minorHAnsi"/>
          <w:szCs w:val="28"/>
          <w:lang w:eastAsia="en-US"/>
        </w:rPr>
        <w:t>о.п. Пригородный простор</w:t>
      </w:r>
      <w:r w:rsidRPr="001007D6">
        <w:rPr>
          <w:rFonts w:eastAsiaTheme="minorHAnsi"/>
          <w:szCs w:val="28"/>
          <w:lang w:eastAsia="en-US"/>
        </w:rPr>
        <w:t>», «</w:t>
      </w:r>
      <w:r>
        <w:rPr>
          <w:rFonts w:eastAsiaTheme="minorHAnsi"/>
          <w:szCs w:val="28"/>
          <w:lang w:eastAsia="en-US"/>
        </w:rPr>
        <w:t>о.п. Пригородный простор</w:t>
      </w:r>
      <w:r w:rsidRPr="001007D6">
        <w:rPr>
          <w:rFonts w:eastAsiaTheme="minorHAnsi"/>
          <w:szCs w:val="28"/>
          <w:lang w:eastAsia="en-US"/>
        </w:rPr>
        <w:t xml:space="preserve">–о.п. </w:t>
      </w:r>
      <w:r>
        <w:rPr>
          <w:rFonts w:eastAsiaTheme="minorHAnsi"/>
          <w:szCs w:val="28"/>
          <w:lang w:eastAsia="en-US"/>
        </w:rPr>
        <w:t>Клюквенный</w:t>
      </w:r>
      <w:r w:rsidRPr="001007D6">
        <w:rPr>
          <w:rFonts w:eastAsiaTheme="minorHAnsi"/>
          <w:szCs w:val="28"/>
          <w:lang w:eastAsia="en-US"/>
        </w:rPr>
        <w:t>», «станция Новосибирск-Главный – о.п.</w:t>
      </w:r>
      <w:r>
        <w:rPr>
          <w:rFonts w:eastAsiaTheme="minorHAnsi"/>
          <w:szCs w:val="28"/>
          <w:lang w:eastAsia="en-US"/>
        </w:rPr>
        <w:t>Клюквенный</w:t>
      </w:r>
      <w:r w:rsidRPr="001007D6">
        <w:rPr>
          <w:rFonts w:eastAsiaTheme="minorHAnsi"/>
          <w:szCs w:val="28"/>
          <w:lang w:eastAsia="en-US"/>
        </w:rPr>
        <w:t>»</w:t>
      </w:r>
      <w:r>
        <w:rPr>
          <w:rFonts w:eastAsiaTheme="minorHAnsi"/>
          <w:szCs w:val="28"/>
          <w:lang w:eastAsia="en-US"/>
        </w:rPr>
        <w:t>,</w:t>
      </w:r>
      <w:r w:rsidRPr="000132C8">
        <w:rPr>
          <w:rFonts w:eastAsiaTheme="minorHAnsi"/>
          <w:szCs w:val="28"/>
          <w:lang w:eastAsia="en-US"/>
        </w:rPr>
        <w:t xml:space="preserve"> </w:t>
      </w:r>
      <w:r>
        <w:rPr>
          <w:rFonts w:eastAsiaTheme="minorHAnsi"/>
          <w:szCs w:val="28"/>
          <w:lang w:eastAsia="en-US"/>
        </w:rPr>
        <w:t>«</w:t>
      </w:r>
      <w:r w:rsidRPr="001007D6">
        <w:rPr>
          <w:rFonts w:eastAsiaTheme="minorHAnsi"/>
          <w:szCs w:val="28"/>
          <w:lang w:eastAsia="en-US"/>
        </w:rPr>
        <w:t xml:space="preserve">о.п. </w:t>
      </w:r>
      <w:r>
        <w:rPr>
          <w:rFonts w:eastAsiaTheme="minorHAnsi"/>
          <w:szCs w:val="28"/>
          <w:lang w:eastAsia="en-US"/>
        </w:rPr>
        <w:t xml:space="preserve">Клюквенный </w:t>
      </w:r>
      <w:r w:rsidRPr="001007D6">
        <w:rPr>
          <w:rFonts w:eastAsiaTheme="minorHAnsi"/>
          <w:szCs w:val="28"/>
          <w:lang w:eastAsia="en-US"/>
        </w:rPr>
        <w:t>–</w:t>
      </w:r>
      <w:r w:rsidRPr="000132C8">
        <w:rPr>
          <w:rFonts w:eastAsiaTheme="minorHAnsi"/>
          <w:szCs w:val="28"/>
          <w:lang w:eastAsia="en-US"/>
        </w:rPr>
        <w:t xml:space="preserve"> </w:t>
      </w:r>
      <w:r w:rsidRPr="001007D6">
        <w:rPr>
          <w:rFonts w:eastAsiaTheme="minorHAnsi"/>
          <w:szCs w:val="28"/>
          <w:lang w:eastAsia="en-US"/>
        </w:rPr>
        <w:t>станция Новосибирск-Главный</w:t>
      </w:r>
      <w:r>
        <w:rPr>
          <w:rFonts w:eastAsiaTheme="minorHAnsi"/>
          <w:szCs w:val="28"/>
          <w:lang w:eastAsia="en-US"/>
        </w:rPr>
        <w:t>»</w:t>
      </w:r>
      <w:r w:rsidRPr="001007D6">
        <w:rPr>
          <w:rFonts w:eastAsiaTheme="minorHAnsi"/>
          <w:szCs w:val="28"/>
          <w:lang w:eastAsia="en-US"/>
        </w:rPr>
        <w:t>)</w:t>
      </w:r>
      <w:r>
        <w:rPr>
          <w:rFonts w:eastAsiaTheme="minorHAnsi"/>
          <w:szCs w:val="28"/>
          <w:lang w:eastAsia="en-US"/>
        </w:rPr>
        <w:t xml:space="preserve"> (46 тарифов)</w:t>
      </w:r>
      <w:r w:rsidRPr="001007D6">
        <w:rPr>
          <w:rFonts w:eastAsiaTheme="minorHAnsi"/>
          <w:szCs w:val="28"/>
          <w:lang w:eastAsia="en-US"/>
        </w:rPr>
        <w:t>.</w:t>
      </w:r>
      <w:r>
        <w:rPr>
          <w:rFonts w:eastAsiaTheme="minorHAnsi"/>
          <w:szCs w:val="28"/>
          <w:lang w:eastAsia="en-US"/>
        </w:rPr>
        <w:t xml:space="preserve"> </w:t>
      </w:r>
      <w:r w:rsidRPr="00D2639F">
        <w:rPr>
          <w:szCs w:val="28"/>
        </w:rPr>
        <w:t xml:space="preserve">Средневзвешенный размер увеличения тарифов для расчета с населением составил 13,2%, </w:t>
      </w:r>
      <w:r w:rsidRPr="000D3523">
        <w:rPr>
          <w:szCs w:val="28"/>
        </w:rPr>
        <w:t>в первой и второй пригородной зоне стоимость проезда сопоставима</w:t>
      </w:r>
      <w:r>
        <w:rPr>
          <w:szCs w:val="28"/>
        </w:rPr>
        <w:t xml:space="preserve"> </w:t>
      </w:r>
      <w:r w:rsidRPr="000D3523">
        <w:rPr>
          <w:szCs w:val="28"/>
        </w:rPr>
        <w:t>тарифам на перевозки пассажиров метрополитеном</w:t>
      </w:r>
      <w:r>
        <w:rPr>
          <w:szCs w:val="28"/>
        </w:rPr>
        <w:t xml:space="preserve"> и </w:t>
      </w:r>
      <w:r w:rsidRPr="000D3523">
        <w:rPr>
          <w:szCs w:val="28"/>
        </w:rPr>
        <w:t>автомобильным транспортом</w:t>
      </w:r>
      <w:r>
        <w:rPr>
          <w:szCs w:val="28"/>
        </w:rPr>
        <w:t xml:space="preserve"> в городском сообщении</w:t>
      </w:r>
      <w:r w:rsidR="00327CEA">
        <w:rPr>
          <w:szCs w:val="28"/>
        </w:rPr>
        <w:t xml:space="preserve"> (40 руб.)</w:t>
      </w:r>
      <w:r>
        <w:rPr>
          <w:szCs w:val="28"/>
        </w:rPr>
        <w:t>.</w:t>
      </w:r>
    </w:p>
    <w:p w:rsidR="00585C99" w:rsidRDefault="00585C99" w:rsidP="00585C99">
      <w:pPr>
        <w:autoSpaceDE w:val="0"/>
        <w:autoSpaceDN w:val="0"/>
        <w:adjustRightInd w:val="0"/>
        <w:spacing w:after="0" w:line="240" w:lineRule="auto"/>
        <w:ind w:firstLine="540"/>
        <w:jc w:val="both"/>
        <w:rPr>
          <w:rFonts w:eastAsiaTheme="minorHAnsi"/>
          <w:szCs w:val="28"/>
          <w:lang w:eastAsia="en-US"/>
        </w:rPr>
      </w:pPr>
      <w:r>
        <w:rPr>
          <w:szCs w:val="28"/>
        </w:rPr>
        <w:t xml:space="preserve">3. </w:t>
      </w:r>
      <w:r w:rsidRPr="001007D6">
        <w:rPr>
          <w:szCs w:val="28"/>
        </w:rPr>
        <w:t>Тарифы на услуги</w:t>
      </w:r>
      <w:r w:rsidRPr="007206CE">
        <w:rPr>
          <w:szCs w:val="28"/>
        </w:rPr>
        <w:t xml:space="preserve"> по перевозке пассажиров железнодорожным транспортом общего пользования в пригородном сообщении, оплачиваемые пассажирами при осуществлении поездок </w:t>
      </w:r>
      <w:r w:rsidRPr="007206CE">
        <w:rPr>
          <w:rFonts w:eastAsiaTheme="minorHAnsi"/>
          <w:szCs w:val="28"/>
          <w:lang w:eastAsia="en-US"/>
        </w:rPr>
        <w:t>в пригородном сообщении на территории Новосибирской области</w:t>
      </w:r>
      <w:r w:rsidRPr="007206CE">
        <w:rPr>
          <w:szCs w:val="28"/>
        </w:rPr>
        <w:t xml:space="preserve"> по маршрутам перевозок </w:t>
      </w:r>
      <w:r w:rsidRPr="001007D6">
        <w:rPr>
          <w:rFonts w:eastAsiaTheme="minorHAnsi"/>
          <w:szCs w:val="28"/>
          <w:lang w:eastAsia="en-US"/>
        </w:rPr>
        <w:t xml:space="preserve">«о.п. </w:t>
      </w:r>
      <w:r>
        <w:rPr>
          <w:rFonts w:eastAsiaTheme="minorHAnsi"/>
          <w:szCs w:val="28"/>
          <w:lang w:eastAsia="en-US"/>
        </w:rPr>
        <w:t>Клюквенный</w:t>
      </w:r>
      <w:r w:rsidRPr="001007D6">
        <w:rPr>
          <w:rFonts w:eastAsiaTheme="minorHAnsi"/>
          <w:szCs w:val="28"/>
          <w:lang w:eastAsia="en-US"/>
        </w:rPr>
        <w:t xml:space="preserve"> – </w:t>
      </w:r>
      <w:r>
        <w:rPr>
          <w:rFonts w:eastAsiaTheme="minorHAnsi"/>
          <w:szCs w:val="28"/>
          <w:lang w:eastAsia="en-US"/>
        </w:rPr>
        <w:t>о.п. Пригородный простор</w:t>
      </w:r>
      <w:r w:rsidRPr="001007D6">
        <w:rPr>
          <w:rFonts w:eastAsiaTheme="minorHAnsi"/>
          <w:szCs w:val="28"/>
          <w:lang w:eastAsia="en-US"/>
        </w:rPr>
        <w:t>», «</w:t>
      </w:r>
      <w:r>
        <w:rPr>
          <w:rFonts w:eastAsiaTheme="minorHAnsi"/>
          <w:szCs w:val="28"/>
          <w:lang w:eastAsia="en-US"/>
        </w:rPr>
        <w:t>о.п. Пригородный простор</w:t>
      </w:r>
      <w:r w:rsidRPr="001007D6">
        <w:rPr>
          <w:rFonts w:eastAsiaTheme="minorHAnsi"/>
          <w:szCs w:val="28"/>
          <w:lang w:eastAsia="en-US"/>
        </w:rPr>
        <w:t xml:space="preserve">–о.п. </w:t>
      </w:r>
      <w:r>
        <w:rPr>
          <w:rFonts w:eastAsiaTheme="minorHAnsi"/>
          <w:szCs w:val="28"/>
          <w:lang w:eastAsia="en-US"/>
        </w:rPr>
        <w:t>Клюквенный</w:t>
      </w:r>
      <w:r w:rsidRPr="001007D6">
        <w:rPr>
          <w:rFonts w:eastAsiaTheme="minorHAnsi"/>
          <w:szCs w:val="28"/>
          <w:lang w:eastAsia="en-US"/>
        </w:rPr>
        <w:t>», «станция Новосибирск-Главный – о.п.</w:t>
      </w:r>
      <w:r>
        <w:rPr>
          <w:rFonts w:eastAsiaTheme="minorHAnsi"/>
          <w:szCs w:val="28"/>
          <w:lang w:eastAsia="en-US"/>
        </w:rPr>
        <w:t xml:space="preserve"> Клюквенный</w:t>
      </w:r>
      <w:r w:rsidRPr="001007D6">
        <w:rPr>
          <w:rFonts w:eastAsiaTheme="minorHAnsi"/>
          <w:szCs w:val="28"/>
          <w:lang w:eastAsia="en-US"/>
        </w:rPr>
        <w:t>»</w:t>
      </w:r>
      <w:r>
        <w:rPr>
          <w:rFonts w:eastAsiaTheme="minorHAnsi"/>
          <w:szCs w:val="28"/>
          <w:lang w:eastAsia="en-US"/>
        </w:rPr>
        <w:t>,</w:t>
      </w:r>
      <w:r w:rsidRPr="000132C8">
        <w:rPr>
          <w:rFonts w:eastAsiaTheme="minorHAnsi"/>
          <w:szCs w:val="28"/>
          <w:lang w:eastAsia="en-US"/>
        </w:rPr>
        <w:t xml:space="preserve"> </w:t>
      </w:r>
      <w:r>
        <w:rPr>
          <w:rFonts w:eastAsiaTheme="minorHAnsi"/>
          <w:szCs w:val="28"/>
          <w:lang w:eastAsia="en-US"/>
        </w:rPr>
        <w:t>«</w:t>
      </w:r>
      <w:r w:rsidRPr="001007D6">
        <w:rPr>
          <w:rFonts w:eastAsiaTheme="minorHAnsi"/>
          <w:szCs w:val="28"/>
          <w:lang w:eastAsia="en-US"/>
        </w:rPr>
        <w:t xml:space="preserve">о.п. </w:t>
      </w:r>
      <w:r>
        <w:rPr>
          <w:rFonts w:eastAsiaTheme="minorHAnsi"/>
          <w:szCs w:val="28"/>
          <w:lang w:eastAsia="en-US"/>
        </w:rPr>
        <w:t xml:space="preserve">Клюквенный </w:t>
      </w:r>
      <w:r w:rsidRPr="001007D6">
        <w:rPr>
          <w:rFonts w:eastAsiaTheme="minorHAnsi"/>
          <w:szCs w:val="28"/>
          <w:lang w:eastAsia="en-US"/>
        </w:rPr>
        <w:t>–</w:t>
      </w:r>
      <w:r w:rsidRPr="000132C8">
        <w:rPr>
          <w:rFonts w:eastAsiaTheme="minorHAnsi"/>
          <w:szCs w:val="28"/>
          <w:lang w:eastAsia="en-US"/>
        </w:rPr>
        <w:t xml:space="preserve"> </w:t>
      </w:r>
      <w:r w:rsidRPr="001007D6">
        <w:rPr>
          <w:rFonts w:eastAsiaTheme="minorHAnsi"/>
          <w:szCs w:val="28"/>
          <w:lang w:eastAsia="en-US"/>
        </w:rPr>
        <w:t>станция Новосибирск-Главный</w:t>
      </w:r>
      <w:r>
        <w:rPr>
          <w:rFonts w:eastAsiaTheme="minorHAnsi"/>
          <w:szCs w:val="28"/>
          <w:lang w:eastAsia="en-US"/>
        </w:rPr>
        <w:t>» (по 4 маршрутам тариф 40 руб</w:t>
      </w:r>
      <w:r w:rsidR="00327CEA">
        <w:rPr>
          <w:rFonts w:eastAsiaTheme="minorHAnsi"/>
          <w:szCs w:val="28"/>
          <w:lang w:eastAsia="en-US"/>
        </w:rPr>
        <w:t>.</w:t>
      </w:r>
      <w:r>
        <w:rPr>
          <w:rFonts w:eastAsiaTheme="minorHAnsi"/>
          <w:szCs w:val="28"/>
          <w:lang w:eastAsia="en-US"/>
        </w:rPr>
        <w:t xml:space="preserve">). </w:t>
      </w:r>
    </w:p>
    <w:p w:rsidR="00585C99" w:rsidRDefault="00585C99" w:rsidP="00585C99">
      <w:pPr>
        <w:spacing w:after="0" w:line="240" w:lineRule="auto"/>
        <w:ind w:firstLine="709"/>
        <w:jc w:val="both"/>
        <w:rPr>
          <w:szCs w:val="28"/>
        </w:rPr>
      </w:pPr>
      <w:r w:rsidRPr="006C0F6F">
        <w:rPr>
          <w:szCs w:val="28"/>
        </w:rPr>
        <w:t>Расходы п</w:t>
      </w:r>
      <w:r>
        <w:rPr>
          <w:szCs w:val="28"/>
        </w:rPr>
        <w:t xml:space="preserve">ригородной </w:t>
      </w:r>
      <w:r w:rsidRPr="006C0F6F">
        <w:rPr>
          <w:szCs w:val="28"/>
        </w:rPr>
        <w:t>компании включа</w:t>
      </w:r>
      <w:r>
        <w:rPr>
          <w:szCs w:val="28"/>
        </w:rPr>
        <w:t>ю</w:t>
      </w:r>
      <w:r w:rsidRPr="006C0F6F">
        <w:rPr>
          <w:szCs w:val="28"/>
        </w:rPr>
        <w:t xml:space="preserve">т в себя четыре группы расходов: </w:t>
      </w:r>
    </w:p>
    <w:p w:rsidR="00585C99" w:rsidRDefault="00585C99" w:rsidP="00585C99">
      <w:pPr>
        <w:spacing w:after="0" w:line="240" w:lineRule="auto"/>
        <w:ind w:firstLine="709"/>
        <w:jc w:val="both"/>
        <w:rPr>
          <w:szCs w:val="28"/>
        </w:rPr>
      </w:pPr>
      <w:r>
        <w:rPr>
          <w:szCs w:val="28"/>
        </w:rPr>
        <w:t xml:space="preserve">- </w:t>
      </w:r>
      <w:r w:rsidRPr="006C0F6F">
        <w:rPr>
          <w:szCs w:val="28"/>
        </w:rPr>
        <w:t>расходы на оплату услуг по использованию инфраструктуры железнодорожного транспорта общего пользования ОАО «РЖД</w:t>
      </w:r>
      <w:r>
        <w:rPr>
          <w:szCs w:val="28"/>
        </w:rPr>
        <w:t xml:space="preserve">; </w:t>
      </w:r>
    </w:p>
    <w:p w:rsidR="00585C99" w:rsidRDefault="00585C99" w:rsidP="00585C99">
      <w:pPr>
        <w:spacing w:after="0" w:line="240" w:lineRule="auto"/>
        <w:ind w:firstLine="709"/>
        <w:jc w:val="both"/>
        <w:rPr>
          <w:szCs w:val="28"/>
        </w:rPr>
      </w:pPr>
      <w:r>
        <w:rPr>
          <w:szCs w:val="28"/>
        </w:rPr>
        <w:lastRenderedPageBreak/>
        <w:t xml:space="preserve">- </w:t>
      </w:r>
      <w:r w:rsidRPr="003809E3">
        <w:rPr>
          <w:szCs w:val="28"/>
        </w:rPr>
        <w:t xml:space="preserve">комплексные услуги по обеспечению перевозок (аренда, ремонт и техническое обслуживание, эксплуатация и управление МВПС); </w:t>
      </w:r>
    </w:p>
    <w:p w:rsidR="00585C99" w:rsidRDefault="00585C99" w:rsidP="00585C99">
      <w:pPr>
        <w:spacing w:after="0" w:line="240" w:lineRule="auto"/>
        <w:ind w:firstLine="709"/>
        <w:jc w:val="both"/>
        <w:rPr>
          <w:szCs w:val="28"/>
        </w:rPr>
      </w:pPr>
      <w:r>
        <w:rPr>
          <w:szCs w:val="28"/>
        </w:rPr>
        <w:t xml:space="preserve">- </w:t>
      </w:r>
      <w:r w:rsidRPr="003809E3">
        <w:rPr>
          <w:szCs w:val="28"/>
        </w:rPr>
        <w:t xml:space="preserve">собственные расходы компании; </w:t>
      </w:r>
    </w:p>
    <w:p w:rsidR="00585C99" w:rsidRDefault="00585C99" w:rsidP="00585C99">
      <w:pPr>
        <w:spacing w:after="0" w:line="240" w:lineRule="auto"/>
        <w:ind w:firstLine="709"/>
        <w:jc w:val="both"/>
        <w:rPr>
          <w:szCs w:val="28"/>
        </w:rPr>
      </w:pPr>
      <w:r>
        <w:rPr>
          <w:szCs w:val="28"/>
        </w:rPr>
        <w:t xml:space="preserve">- </w:t>
      </w:r>
      <w:r w:rsidRPr="003809E3">
        <w:rPr>
          <w:szCs w:val="28"/>
        </w:rPr>
        <w:t>прибыль.</w:t>
      </w:r>
      <w:r w:rsidRPr="000C074D">
        <w:rPr>
          <w:szCs w:val="28"/>
        </w:rPr>
        <w:t xml:space="preserve"> </w:t>
      </w:r>
    </w:p>
    <w:p w:rsidR="00585C99" w:rsidRDefault="00585C99" w:rsidP="00585C99">
      <w:pPr>
        <w:spacing w:after="0" w:line="240" w:lineRule="auto"/>
        <w:ind w:firstLine="709"/>
        <w:jc w:val="left"/>
        <w:rPr>
          <w:szCs w:val="28"/>
        </w:rPr>
      </w:pPr>
      <w:r>
        <w:rPr>
          <w:szCs w:val="28"/>
        </w:rPr>
        <w:t>Необходимая валовая выручка</w:t>
      </w:r>
      <w:r w:rsidRPr="002D3F63">
        <w:rPr>
          <w:szCs w:val="28"/>
        </w:rPr>
        <w:t xml:space="preserve"> </w:t>
      </w:r>
      <w:r>
        <w:rPr>
          <w:szCs w:val="28"/>
        </w:rPr>
        <w:t xml:space="preserve">на 2025 год составила 3062640 тыс. руб. </w:t>
      </w:r>
    </w:p>
    <w:p w:rsidR="00585C99" w:rsidRPr="003809E3" w:rsidRDefault="00585C99" w:rsidP="00327CEA">
      <w:pPr>
        <w:spacing w:after="0" w:line="240" w:lineRule="auto"/>
        <w:ind w:firstLine="284"/>
        <w:jc w:val="left"/>
        <w:rPr>
          <w:szCs w:val="28"/>
        </w:rPr>
      </w:pPr>
      <w:r>
        <w:rPr>
          <w:noProof/>
        </w:rPr>
        <w:drawing>
          <wp:inline distT="0" distB="0" distL="0" distR="0" wp14:anchorId="321ADD02" wp14:editId="4B9D7243">
            <wp:extent cx="5568461" cy="3300046"/>
            <wp:effectExtent l="0" t="0" r="13335" b="15240"/>
            <wp:docPr id="293" name="Диаграмма 2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7"/>
              </a:graphicData>
            </a:graphic>
          </wp:inline>
        </w:drawing>
      </w:r>
    </w:p>
    <w:p w:rsidR="00585C99" w:rsidRDefault="00585C99" w:rsidP="00585C99">
      <w:pPr>
        <w:spacing w:after="0" w:line="240" w:lineRule="auto"/>
        <w:ind w:firstLine="709"/>
        <w:jc w:val="both"/>
        <w:rPr>
          <w:szCs w:val="28"/>
        </w:rPr>
      </w:pPr>
      <w:r w:rsidRPr="00495F6D">
        <w:rPr>
          <w:szCs w:val="28"/>
        </w:rPr>
        <w:t xml:space="preserve">Максимальную долю в совокупных расходах пригородной компании занимают расходы связанные с оплатой комплексных услуг по обеспечению перевозок (аренда, ремонт и техническое обслуживание, эксплуатация и управление МВПС) - 63,8%. </w:t>
      </w:r>
    </w:p>
    <w:p w:rsidR="00585C99" w:rsidRPr="00495F6D" w:rsidRDefault="00585C99" w:rsidP="00585C99">
      <w:pPr>
        <w:spacing w:after="0" w:line="240" w:lineRule="auto"/>
        <w:ind w:firstLine="709"/>
        <w:jc w:val="both"/>
        <w:rPr>
          <w:szCs w:val="28"/>
        </w:rPr>
      </w:pPr>
      <w:r w:rsidRPr="00495F6D">
        <w:rPr>
          <w:szCs w:val="28"/>
        </w:rPr>
        <w:t>В соответствии с указанной долей размер экономически обоснованного тарифа пригородной компании в наибольшей степени зависит от ставок по договорам аренды связанными с пользованием, управлением, эксплуатацией и всеми видами обслуживания и ремонта подвижного состава принадлежащего ОАО «РЖД» и АО «Омск-пригород».</w:t>
      </w:r>
    </w:p>
    <w:p w:rsidR="00585C99" w:rsidRPr="00495F6D" w:rsidRDefault="00585C99" w:rsidP="00585C99">
      <w:pPr>
        <w:spacing w:after="0" w:line="240" w:lineRule="auto"/>
        <w:ind w:firstLine="709"/>
        <w:jc w:val="both"/>
        <w:rPr>
          <w:szCs w:val="28"/>
        </w:rPr>
      </w:pPr>
      <w:r w:rsidRPr="00495F6D">
        <w:rPr>
          <w:szCs w:val="28"/>
        </w:rPr>
        <w:t>Увеличение затрат на комплексные услуги по обеспечению перевозок  также вызвано с изменением структуры привлекаемого на праве аренды у ОАО «РЖД» подвижного состава в связи с необходимостью замены выбывающих электропоездов в рамках реализации долгосрочной Программы обновления пригородного подвижного состава с 2023 по 2025 годы - доля арендованных вагонов серии ЭП2Д в структуре привлекаемого парка МВПС увеличивается в 2025 году в 1,6 раза (с 0,23 до 0,36), расходы на привлечение, содержание и обслуживание которых в значительной степени превышают соответствующие параметры по прочим сериям подвижного состава.</w:t>
      </w:r>
    </w:p>
    <w:p w:rsidR="00585C99" w:rsidRPr="00BC6E84" w:rsidRDefault="00585C99" w:rsidP="00585C99">
      <w:pPr>
        <w:rPr>
          <w:sz w:val="20"/>
          <w:szCs w:val="20"/>
        </w:rPr>
      </w:pPr>
    </w:p>
    <w:p w:rsidR="00585C99" w:rsidRDefault="00585C99" w:rsidP="00585C99">
      <w:pPr>
        <w:rPr>
          <w:szCs w:val="28"/>
        </w:rPr>
      </w:pPr>
      <w:r>
        <w:rPr>
          <w:noProof/>
        </w:rPr>
        <w:lastRenderedPageBreak/>
        <w:drawing>
          <wp:inline distT="0" distB="0" distL="0" distR="0" wp14:anchorId="72355AB0" wp14:editId="03E516CA">
            <wp:extent cx="5451231" cy="3376246"/>
            <wp:effectExtent l="0" t="0" r="16510" b="15240"/>
            <wp:docPr id="294" name="Диаграмма 29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8"/>
              </a:graphicData>
            </a:graphic>
          </wp:inline>
        </w:drawing>
      </w:r>
    </w:p>
    <w:p w:rsidR="00585C99" w:rsidRDefault="00585C99" w:rsidP="00585C99">
      <w:pPr>
        <w:spacing w:after="0" w:line="240" w:lineRule="auto"/>
        <w:rPr>
          <w:szCs w:val="28"/>
        </w:rPr>
      </w:pPr>
    </w:p>
    <w:p w:rsidR="00585C99" w:rsidRPr="00825BE0" w:rsidRDefault="00585C99" w:rsidP="00585C99">
      <w:pPr>
        <w:spacing w:after="0" w:line="240" w:lineRule="auto"/>
        <w:ind w:firstLine="851"/>
        <w:jc w:val="both"/>
      </w:pPr>
      <w:r>
        <w:rPr>
          <w:rFonts w:ascii="Times New Roman CYR" w:eastAsiaTheme="minorHAnsi" w:hAnsi="Times New Roman CYR" w:cs="Times New Roman CYR"/>
          <w:szCs w:val="28"/>
          <w:lang w:eastAsia="en-US"/>
        </w:rPr>
        <w:t xml:space="preserve">С информацией о тарифах на </w:t>
      </w:r>
      <w:r w:rsidRPr="00825BE0">
        <w:rPr>
          <w:szCs w:val="28"/>
        </w:rPr>
        <w:t>услуги по перевозке пассажиров железнодорожным транспортом в пригородном сообщении, оказываемые на территории Новосибирской области</w:t>
      </w:r>
      <w:r w:rsidRPr="00825BE0">
        <w:rPr>
          <w:rFonts w:ascii="Times New Roman CYR" w:eastAsiaTheme="minorHAnsi" w:hAnsi="Times New Roman CYR" w:cs="Times New Roman CYR"/>
          <w:szCs w:val="28"/>
          <w:lang w:eastAsia="en-US"/>
        </w:rPr>
        <w:t xml:space="preserve"> </w:t>
      </w:r>
      <w:r>
        <w:rPr>
          <w:rFonts w:ascii="Times New Roman CYR" w:eastAsiaTheme="minorHAnsi" w:hAnsi="Times New Roman CYR" w:cs="Times New Roman CYR"/>
          <w:szCs w:val="28"/>
          <w:lang w:eastAsia="en-US"/>
        </w:rPr>
        <w:t xml:space="preserve">можно ознакомиться на официальном сайте департамента в информационно-телекоммуникационной сети «Интернет» </w:t>
      </w:r>
      <w:hyperlink r:id="rId169" w:history="1">
        <w:r w:rsidRPr="006D2300">
          <w:rPr>
            <w:rStyle w:val="a3"/>
            <w:szCs w:val="28"/>
          </w:rPr>
          <w:t>https://tarif.nso.ru/page/96</w:t>
        </w:r>
      </w:hyperlink>
    </w:p>
    <w:p w:rsidR="00585C99" w:rsidRDefault="00585C99" w:rsidP="00585C99">
      <w:pPr>
        <w:pStyle w:val="4"/>
        <w:rPr>
          <w:snapToGrid w:val="0"/>
        </w:rPr>
      </w:pPr>
      <w:bookmarkStart w:id="122" w:name="_Toc162431954"/>
      <w:bookmarkStart w:id="123" w:name="_Toc193810582"/>
      <w:r w:rsidRPr="00A271C2">
        <w:rPr>
          <w:snapToGrid w:val="0"/>
        </w:rPr>
        <w:t>2.8.2. Регулируемые тарифы на перевозки по муниципальным (за исключением маршрутов, установленных в границах городских округов города Новосибирска, города Бердска, города Искитима и города Оби) и межмуниципальным маршрутам регулярных перевозок пассажиров и багажа автомобильным транспортом на территории Новосибирской области</w:t>
      </w:r>
      <w:bookmarkEnd w:id="122"/>
      <w:bookmarkEnd w:id="123"/>
    </w:p>
    <w:p w:rsidR="00585C99" w:rsidRPr="00E66981" w:rsidRDefault="00585C99" w:rsidP="00585C99">
      <w:pPr>
        <w:autoSpaceDE w:val="0"/>
        <w:autoSpaceDN w:val="0"/>
        <w:adjustRightInd w:val="0"/>
        <w:spacing w:after="0" w:line="240" w:lineRule="auto"/>
        <w:ind w:firstLine="540"/>
        <w:jc w:val="both"/>
        <w:rPr>
          <w:rFonts w:eastAsia="Calibri"/>
          <w:szCs w:val="28"/>
          <w:lang w:eastAsia="en-US"/>
        </w:rPr>
      </w:pPr>
      <w:r w:rsidRPr="00E66981">
        <w:rPr>
          <w:rFonts w:eastAsia="Calibri"/>
          <w:szCs w:val="28"/>
          <w:lang w:eastAsia="en-US"/>
        </w:rPr>
        <w:t xml:space="preserve">В соответствии с приказом департамента от </w:t>
      </w:r>
      <w:r>
        <w:rPr>
          <w:rFonts w:eastAsia="Calibri"/>
          <w:szCs w:val="28"/>
          <w:lang w:eastAsia="en-US"/>
        </w:rPr>
        <w:t>10.12</w:t>
      </w:r>
      <w:r w:rsidRPr="00E66981">
        <w:rPr>
          <w:rFonts w:eastAsia="Calibri"/>
          <w:szCs w:val="28"/>
          <w:lang w:eastAsia="en-US"/>
        </w:rPr>
        <w:t>.202</w:t>
      </w:r>
      <w:r>
        <w:rPr>
          <w:rFonts w:eastAsia="Calibri"/>
          <w:szCs w:val="28"/>
          <w:lang w:eastAsia="en-US"/>
        </w:rPr>
        <w:t>4</w:t>
      </w:r>
      <w:r w:rsidRPr="00E66981">
        <w:rPr>
          <w:rFonts w:eastAsia="Calibri"/>
          <w:szCs w:val="28"/>
          <w:lang w:eastAsia="en-US"/>
        </w:rPr>
        <w:t xml:space="preserve"> № </w:t>
      </w:r>
      <w:r>
        <w:rPr>
          <w:rFonts w:eastAsia="Calibri"/>
          <w:szCs w:val="28"/>
          <w:lang w:eastAsia="en-US"/>
        </w:rPr>
        <w:t>343</w:t>
      </w:r>
      <w:r w:rsidRPr="00E66981">
        <w:rPr>
          <w:rFonts w:eastAsia="Calibri"/>
          <w:szCs w:val="28"/>
          <w:lang w:eastAsia="en-US"/>
        </w:rPr>
        <w:t>-ТС</w:t>
      </w:r>
      <w:r>
        <w:rPr>
          <w:rFonts w:eastAsia="Calibri"/>
          <w:szCs w:val="28"/>
          <w:lang w:eastAsia="en-US"/>
        </w:rPr>
        <w:t>/НПА</w:t>
      </w:r>
      <w:r w:rsidRPr="00E66981">
        <w:rPr>
          <w:rFonts w:eastAsia="Calibri"/>
          <w:szCs w:val="28"/>
          <w:lang w:eastAsia="en-US"/>
        </w:rPr>
        <w:t xml:space="preserve"> </w:t>
      </w:r>
      <w:r>
        <w:rPr>
          <w:rFonts w:eastAsia="Calibri"/>
          <w:szCs w:val="28"/>
          <w:lang w:eastAsia="en-US"/>
        </w:rPr>
        <w:t>«</w:t>
      </w:r>
      <w:r w:rsidRPr="00622B53">
        <w:rPr>
          <w:rFonts w:eastAsia="Calibri"/>
          <w:szCs w:val="28"/>
          <w:lang w:eastAsia="en-US"/>
        </w:rPr>
        <w:t>Об установлении регулируемых тарифов на перевозки по муниципальным (за исключением маршрутов, установленных в границах городских округов города Новосибирска, города Бердска, города Искитима и города Оби) и межмуниципальным маршрутам регулярных перевозок пассажиров и багажа автомобильным транспортом на территории Новосибирской области и о признании утратившим силу приказа департамента по тарифам Новосибирской области от 12.12.2023 № 491-ТС/НПА</w:t>
      </w:r>
      <w:r>
        <w:rPr>
          <w:rFonts w:eastAsia="Calibri"/>
          <w:szCs w:val="28"/>
          <w:lang w:eastAsia="en-US"/>
        </w:rPr>
        <w:t>» с 23.12.2024</w:t>
      </w:r>
      <w:r w:rsidRPr="00E66981">
        <w:rPr>
          <w:rFonts w:eastAsia="Calibri"/>
          <w:szCs w:val="28"/>
          <w:lang w:eastAsia="en-US"/>
        </w:rPr>
        <w:t>:</w:t>
      </w:r>
    </w:p>
    <w:p w:rsidR="00585C99" w:rsidRPr="00E66981" w:rsidRDefault="00585C99" w:rsidP="00585C99">
      <w:pPr>
        <w:numPr>
          <w:ilvl w:val="0"/>
          <w:numId w:val="6"/>
        </w:numPr>
        <w:spacing w:after="0" w:line="240" w:lineRule="auto"/>
        <w:jc w:val="both"/>
        <w:rPr>
          <w:rFonts w:eastAsia="Calibri"/>
          <w:szCs w:val="28"/>
          <w:lang w:eastAsia="en-US"/>
        </w:rPr>
      </w:pPr>
      <w:r w:rsidRPr="00E66981">
        <w:rPr>
          <w:rFonts w:eastAsia="Calibri"/>
          <w:szCs w:val="28"/>
          <w:lang w:eastAsia="en-US"/>
        </w:rPr>
        <w:t xml:space="preserve">Установлены и введены в действие следующие регулируемые </w:t>
      </w:r>
      <w:hyperlink r:id="rId170" w:history="1">
        <w:r w:rsidRPr="00E66981">
          <w:rPr>
            <w:rFonts w:eastAsia="Calibri"/>
            <w:szCs w:val="28"/>
            <w:lang w:eastAsia="en-US"/>
          </w:rPr>
          <w:t>тарифы</w:t>
        </w:r>
      </w:hyperlink>
      <w:r w:rsidRPr="00E66981">
        <w:rPr>
          <w:rFonts w:eastAsia="Calibri"/>
          <w:szCs w:val="28"/>
          <w:lang w:eastAsia="en-US"/>
        </w:rPr>
        <w:t>:</w:t>
      </w:r>
    </w:p>
    <w:tbl>
      <w:tblPr>
        <w:tblW w:w="4591" w:type="pct"/>
        <w:tblInd w:w="392" w:type="dxa"/>
        <w:tblLayout w:type="fixed"/>
        <w:tblLook w:val="04A0" w:firstRow="1" w:lastRow="0" w:firstColumn="1" w:lastColumn="0" w:noHBand="0" w:noVBand="1"/>
      </w:tblPr>
      <w:tblGrid>
        <w:gridCol w:w="816"/>
        <w:gridCol w:w="4682"/>
        <w:gridCol w:w="1557"/>
        <w:gridCol w:w="1733"/>
      </w:tblGrid>
      <w:tr w:rsidR="00585C99" w:rsidRPr="00CC38DB" w:rsidTr="006B6130">
        <w:trPr>
          <w:trHeight w:val="630"/>
        </w:trPr>
        <w:tc>
          <w:tcPr>
            <w:tcW w:w="464" w:type="pct"/>
            <w:vMerge w:val="restart"/>
            <w:tcBorders>
              <w:top w:val="single" w:sz="4" w:space="0" w:color="auto"/>
              <w:left w:val="single" w:sz="4" w:space="0" w:color="auto"/>
              <w:bottom w:val="single" w:sz="4" w:space="0" w:color="000000"/>
              <w:right w:val="single" w:sz="4" w:space="0" w:color="auto"/>
            </w:tcBorders>
            <w:noWrap/>
            <w:vAlign w:val="center"/>
            <w:hideMark/>
          </w:tcPr>
          <w:p w:rsidR="00585C99" w:rsidRPr="00CC38DB" w:rsidRDefault="00585C99" w:rsidP="005A5E13">
            <w:pPr>
              <w:rPr>
                <w:b/>
                <w:bCs/>
                <w:color w:val="000000"/>
                <w:sz w:val="22"/>
                <w:szCs w:val="22"/>
              </w:rPr>
            </w:pPr>
            <w:r w:rsidRPr="00CC38DB">
              <w:rPr>
                <w:b/>
                <w:bCs/>
                <w:color w:val="000000"/>
                <w:sz w:val="22"/>
                <w:szCs w:val="22"/>
              </w:rPr>
              <w:t>№ п/п</w:t>
            </w:r>
          </w:p>
        </w:tc>
        <w:tc>
          <w:tcPr>
            <w:tcW w:w="2664" w:type="pct"/>
            <w:vMerge w:val="restart"/>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r w:rsidRPr="00CC38DB">
              <w:rPr>
                <w:b/>
                <w:bCs/>
                <w:color w:val="000000"/>
                <w:sz w:val="22"/>
                <w:szCs w:val="22"/>
              </w:rPr>
              <w:t>Наименование услуги</w:t>
            </w:r>
          </w:p>
        </w:tc>
        <w:tc>
          <w:tcPr>
            <w:tcW w:w="886" w:type="pct"/>
            <w:vMerge w:val="restart"/>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r w:rsidRPr="00CC38DB">
              <w:rPr>
                <w:b/>
                <w:bCs/>
                <w:color w:val="000000"/>
                <w:sz w:val="22"/>
                <w:szCs w:val="22"/>
              </w:rPr>
              <w:t>Единица измерения</w:t>
            </w:r>
          </w:p>
        </w:tc>
        <w:tc>
          <w:tcPr>
            <w:tcW w:w="986" w:type="pct"/>
            <w:vMerge w:val="restart"/>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r w:rsidRPr="00CC38DB">
              <w:rPr>
                <w:b/>
                <w:bCs/>
                <w:color w:val="000000"/>
                <w:sz w:val="22"/>
                <w:szCs w:val="22"/>
              </w:rPr>
              <w:t>Регулируемый тариф, руб.</w:t>
            </w:r>
          </w:p>
        </w:tc>
      </w:tr>
      <w:tr w:rsidR="00585C99" w:rsidRPr="00CC38DB" w:rsidTr="006B6130">
        <w:trPr>
          <w:trHeight w:val="411"/>
        </w:trPr>
        <w:tc>
          <w:tcPr>
            <w:tcW w:w="464" w:type="pct"/>
            <w:vMerge/>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p>
        </w:tc>
        <w:tc>
          <w:tcPr>
            <w:tcW w:w="2664" w:type="pct"/>
            <w:vMerge/>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p>
        </w:tc>
        <w:tc>
          <w:tcPr>
            <w:tcW w:w="886" w:type="pct"/>
            <w:vMerge/>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p>
        </w:tc>
        <w:tc>
          <w:tcPr>
            <w:tcW w:w="986" w:type="pct"/>
            <w:vMerge/>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b/>
                <w:bCs/>
                <w:color w:val="000000"/>
                <w:sz w:val="22"/>
                <w:szCs w:val="22"/>
              </w:rPr>
            </w:pPr>
          </w:p>
        </w:tc>
      </w:tr>
      <w:tr w:rsidR="00585C99" w:rsidRPr="00CC38DB" w:rsidTr="006B6130">
        <w:trPr>
          <w:trHeight w:val="1690"/>
        </w:trPr>
        <w:tc>
          <w:tcPr>
            <w:tcW w:w="464" w:type="pct"/>
            <w:tcBorders>
              <w:top w:val="single" w:sz="4" w:space="0" w:color="auto"/>
              <w:left w:val="single" w:sz="4" w:space="0" w:color="auto"/>
              <w:bottom w:val="single" w:sz="4" w:space="0" w:color="auto"/>
              <w:right w:val="single" w:sz="4" w:space="0" w:color="auto"/>
            </w:tcBorders>
            <w:noWrap/>
            <w:vAlign w:val="center"/>
            <w:hideMark/>
          </w:tcPr>
          <w:p w:rsidR="00585C99" w:rsidRPr="00CC38DB" w:rsidRDefault="00585C99" w:rsidP="005A5E13">
            <w:pPr>
              <w:rPr>
                <w:color w:val="000000"/>
                <w:sz w:val="22"/>
                <w:szCs w:val="22"/>
              </w:rPr>
            </w:pPr>
            <w:r w:rsidRPr="00CC38DB">
              <w:rPr>
                <w:color w:val="000000"/>
                <w:sz w:val="22"/>
                <w:szCs w:val="22"/>
              </w:rPr>
              <w:lastRenderedPageBreak/>
              <w:t>1.</w:t>
            </w:r>
          </w:p>
        </w:tc>
        <w:tc>
          <w:tcPr>
            <w:tcW w:w="2664"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jc w:val="both"/>
              <w:rPr>
                <w:color w:val="000000"/>
                <w:sz w:val="22"/>
                <w:szCs w:val="22"/>
              </w:rPr>
            </w:pPr>
            <w:r w:rsidRPr="00CC38DB">
              <w:rPr>
                <w:bCs/>
                <w:color w:val="000000"/>
                <w:sz w:val="22"/>
                <w:szCs w:val="22"/>
              </w:rPr>
              <w:t xml:space="preserve">Перевозка пассажиров и багажа по муниципальным маршрутам регулярных перевозок </w:t>
            </w:r>
            <w:r w:rsidRPr="00CC38DB">
              <w:rPr>
                <w:color w:val="000000"/>
                <w:sz w:val="22"/>
                <w:szCs w:val="22"/>
              </w:rPr>
              <w:t xml:space="preserve">автомобильным транспортом </w:t>
            </w:r>
            <w:r w:rsidRPr="00CC38DB">
              <w:rPr>
                <w:bCs/>
                <w:color w:val="000000"/>
                <w:sz w:val="22"/>
                <w:szCs w:val="22"/>
              </w:rPr>
              <w:t>в городском сообщении (за исключением маршрутов, установленных в границах городских округов города Новосибирска, города Бердска, города Искитима и города Оби)</w:t>
            </w:r>
          </w:p>
        </w:tc>
        <w:tc>
          <w:tcPr>
            <w:tcW w:w="8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sidRPr="00CC38DB">
              <w:rPr>
                <w:color w:val="000000"/>
                <w:sz w:val="22"/>
                <w:szCs w:val="22"/>
              </w:rPr>
              <w:t>1 поездка</w:t>
            </w:r>
          </w:p>
        </w:tc>
        <w:tc>
          <w:tcPr>
            <w:tcW w:w="9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Pr>
                <w:color w:val="000000"/>
                <w:sz w:val="22"/>
                <w:szCs w:val="22"/>
              </w:rPr>
              <w:t>40</w:t>
            </w:r>
            <w:r w:rsidRPr="00CC38DB">
              <w:rPr>
                <w:color w:val="000000"/>
                <w:sz w:val="22"/>
                <w:szCs w:val="22"/>
              </w:rPr>
              <w:t>,00</w:t>
            </w:r>
          </w:p>
        </w:tc>
      </w:tr>
      <w:tr w:rsidR="00585C99" w:rsidRPr="00CC38DB" w:rsidTr="006B6130">
        <w:trPr>
          <w:trHeight w:val="680"/>
        </w:trPr>
        <w:tc>
          <w:tcPr>
            <w:tcW w:w="464" w:type="pct"/>
            <w:tcBorders>
              <w:top w:val="single" w:sz="4" w:space="0" w:color="auto"/>
              <w:left w:val="single" w:sz="4" w:space="0" w:color="auto"/>
              <w:bottom w:val="single" w:sz="4" w:space="0" w:color="auto"/>
              <w:right w:val="single" w:sz="4" w:space="0" w:color="auto"/>
            </w:tcBorders>
            <w:noWrap/>
            <w:vAlign w:val="center"/>
            <w:hideMark/>
          </w:tcPr>
          <w:p w:rsidR="00585C99" w:rsidRPr="00CC38DB" w:rsidRDefault="00585C99" w:rsidP="005A5E13">
            <w:pPr>
              <w:rPr>
                <w:color w:val="000000"/>
                <w:sz w:val="22"/>
                <w:szCs w:val="22"/>
              </w:rPr>
            </w:pPr>
            <w:r w:rsidRPr="00CC38DB">
              <w:rPr>
                <w:color w:val="000000"/>
                <w:sz w:val="22"/>
                <w:szCs w:val="22"/>
              </w:rPr>
              <w:t>2.</w:t>
            </w:r>
          </w:p>
        </w:tc>
        <w:tc>
          <w:tcPr>
            <w:tcW w:w="4536" w:type="pct"/>
            <w:gridSpan w:val="3"/>
            <w:tcBorders>
              <w:top w:val="single" w:sz="4" w:space="0" w:color="auto"/>
              <w:left w:val="nil"/>
              <w:bottom w:val="single" w:sz="4" w:space="0" w:color="auto"/>
              <w:right w:val="single" w:sz="4" w:space="0" w:color="auto"/>
            </w:tcBorders>
            <w:vAlign w:val="center"/>
            <w:hideMark/>
          </w:tcPr>
          <w:p w:rsidR="00585C99" w:rsidRPr="00CC38DB" w:rsidRDefault="00585C99" w:rsidP="005A5E13">
            <w:pPr>
              <w:jc w:val="both"/>
              <w:rPr>
                <w:bCs/>
                <w:sz w:val="22"/>
                <w:szCs w:val="22"/>
              </w:rPr>
            </w:pPr>
            <w:r w:rsidRPr="00CC38DB">
              <w:rPr>
                <w:bCs/>
                <w:color w:val="000000"/>
                <w:sz w:val="22"/>
                <w:szCs w:val="22"/>
              </w:rPr>
              <w:t>Перевозка пассажиров и багажа по межмуниципальным маршрутам регулярных перевозок автомобильным транспортом в пригородном сообщении</w:t>
            </w:r>
          </w:p>
        </w:tc>
      </w:tr>
      <w:tr w:rsidR="00585C99" w:rsidRPr="00CC38DB" w:rsidTr="006B6130">
        <w:trPr>
          <w:trHeight w:val="629"/>
        </w:trPr>
        <w:tc>
          <w:tcPr>
            <w:tcW w:w="464" w:type="pct"/>
            <w:tcBorders>
              <w:top w:val="single" w:sz="4" w:space="0" w:color="auto"/>
              <w:left w:val="single" w:sz="4" w:space="0" w:color="auto"/>
              <w:bottom w:val="single" w:sz="4" w:space="0" w:color="auto"/>
              <w:right w:val="single" w:sz="4" w:space="0" w:color="auto"/>
            </w:tcBorders>
            <w:vAlign w:val="center"/>
            <w:hideMark/>
          </w:tcPr>
          <w:p w:rsidR="00585C99" w:rsidRPr="00CC38DB" w:rsidRDefault="00585C99" w:rsidP="005A5E13">
            <w:pPr>
              <w:rPr>
                <w:color w:val="000000"/>
                <w:sz w:val="22"/>
                <w:szCs w:val="22"/>
              </w:rPr>
            </w:pPr>
            <w:r w:rsidRPr="00CC38DB">
              <w:rPr>
                <w:color w:val="000000"/>
                <w:sz w:val="22"/>
                <w:szCs w:val="22"/>
              </w:rPr>
              <w:t>2.1.</w:t>
            </w:r>
          </w:p>
        </w:tc>
        <w:tc>
          <w:tcPr>
            <w:tcW w:w="2664"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jc w:val="both"/>
              <w:rPr>
                <w:color w:val="000000"/>
                <w:sz w:val="22"/>
                <w:szCs w:val="22"/>
              </w:rPr>
            </w:pPr>
            <w:r w:rsidRPr="00CC38DB">
              <w:rPr>
                <w:color w:val="000000"/>
                <w:sz w:val="22"/>
                <w:szCs w:val="22"/>
              </w:rPr>
              <w:t>в автобусах общего типа</w:t>
            </w:r>
          </w:p>
        </w:tc>
        <w:tc>
          <w:tcPr>
            <w:tcW w:w="8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sidRPr="00CC38DB">
              <w:rPr>
                <w:color w:val="000000"/>
                <w:sz w:val="22"/>
                <w:szCs w:val="22"/>
              </w:rPr>
              <w:t>1 пассажиро-километр</w:t>
            </w:r>
          </w:p>
        </w:tc>
        <w:tc>
          <w:tcPr>
            <w:tcW w:w="9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Pr>
                <w:color w:val="000000"/>
                <w:sz w:val="22"/>
                <w:szCs w:val="22"/>
              </w:rPr>
              <w:t>2</w:t>
            </w:r>
            <w:r w:rsidRPr="00CC38DB">
              <w:rPr>
                <w:color w:val="000000"/>
                <w:sz w:val="22"/>
                <w:szCs w:val="22"/>
              </w:rPr>
              <w:t>,</w:t>
            </w:r>
            <w:r>
              <w:rPr>
                <w:color w:val="000000"/>
                <w:sz w:val="22"/>
                <w:szCs w:val="22"/>
              </w:rPr>
              <w:t>23</w:t>
            </w:r>
          </w:p>
        </w:tc>
      </w:tr>
      <w:tr w:rsidR="00585C99" w:rsidRPr="00CC38DB" w:rsidTr="006B6130">
        <w:trPr>
          <w:trHeight w:val="629"/>
        </w:trPr>
        <w:tc>
          <w:tcPr>
            <w:tcW w:w="464" w:type="pct"/>
            <w:tcBorders>
              <w:top w:val="single" w:sz="4" w:space="0" w:color="auto"/>
              <w:left w:val="single" w:sz="4" w:space="0" w:color="auto"/>
              <w:bottom w:val="single" w:sz="4" w:space="0" w:color="auto"/>
              <w:right w:val="single" w:sz="4" w:space="0" w:color="auto"/>
            </w:tcBorders>
            <w:noWrap/>
            <w:vAlign w:val="center"/>
          </w:tcPr>
          <w:p w:rsidR="00585C99" w:rsidRPr="00CC38DB" w:rsidRDefault="00585C99" w:rsidP="005A5E13">
            <w:pPr>
              <w:rPr>
                <w:color w:val="000000"/>
                <w:sz w:val="22"/>
                <w:szCs w:val="22"/>
              </w:rPr>
            </w:pPr>
            <w:r w:rsidRPr="00CC38DB">
              <w:rPr>
                <w:color w:val="000000"/>
                <w:sz w:val="22"/>
                <w:szCs w:val="22"/>
              </w:rPr>
              <w:t>2.2.</w:t>
            </w:r>
          </w:p>
        </w:tc>
        <w:tc>
          <w:tcPr>
            <w:tcW w:w="2664" w:type="pct"/>
            <w:tcBorders>
              <w:top w:val="single" w:sz="4" w:space="0" w:color="auto"/>
              <w:left w:val="nil"/>
              <w:bottom w:val="single" w:sz="4" w:space="0" w:color="auto"/>
              <w:right w:val="single" w:sz="4" w:space="0" w:color="auto"/>
            </w:tcBorders>
            <w:vAlign w:val="center"/>
          </w:tcPr>
          <w:p w:rsidR="00585C99" w:rsidRPr="00CC38DB" w:rsidRDefault="00585C99" w:rsidP="005A5E13">
            <w:pPr>
              <w:jc w:val="both"/>
              <w:rPr>
                <w:color w:val="000000"/>
                <w:sz w:val="22"/>
                <w:szCs w:val="22"/>
              </w:rPr>
            </w:pPr>
            <w:r w:rsidRPr="00CC38DB">
              <w:rPr>
                <w:color w:val="000000"/>
                <w:sz w:val="22"/>
                <w:szCs w:val="22"/>
              </w:rPr>
              <w:t>в автобусах с мягкими откидными сиденьями</w:t>
            </w:r>
          </w:p>
        </w:tc>
        <w:tc>
          <w:tcPr>
            <w:tcW w:w="886" w:type="pct"/>
            <w:tcBorders>
              <w:top w:val="single" w:sz="4" w:space="0" w:color="auto"/>
              <w:left w:val="nil"/>
              <w:bottom w:val="single" w:sz="4" w:space="0" w:color="auto"/>
              <w:right w:val="single" w:sz="4" w:space="0" w:color="auto"/>
            </w:tcBorders>
            <w:vAlign w:val="center"/>
          </w:tcPr>
          <w:p w:rsidR="00585C99" w:rsidRPr="00CC38DB" w:rsidRDefault="00585C99" w:rsidP="005A5E13">
            <w:pPr>
              <w:rPr>
                <w:color w:val="000000"/>
                <w:sz w:val="22"/>
                <w:szCs w:val="22"/>
              </w:rPr>
            </w:pPr>
            <w:r w:rsidRPr="00CC38DB">
              <w:rPr>
                <w:color w:val="000000"/>
                <w:sz w:val="22"/>
                <w:szCs w:val="22"/>
              </w:rPr>
              <w:t>1 пассажиро-километр</w:t>
            </w:r>
          </w:p>
        </w:tc>
        <w:tc>
          <w:tcPr>
            <w:tcW w:w="986" w:type="pct"/>
            <w:tcBorders>
              <w:top w:val="single" w:sz="4" w:space="0" w:color="auto"/>
              <w:left w:val="nil"/>
              <w:bottom w:val="single" w:sz="4" w:space="0" w:color="auto"/>
              <w:right w:val="single" w:sz="4" w:space="0" w:color="auto"/>
            </w:tcBorders>
            <w:vAlign w:val="center"/>
          </w:tcPr>
          <w:p w:rsidR="00585C99" w:rsidRPr="00CC38DB" w:rsidRDefault="00585C99" w:rsidP="005A5E13">
            <w:pPr>
              <w:rPr>
                <w:color w:val="000000"/>
                <w:sz w:val="22"/>
                <w:szCs w:val="22"/>
              </w:rPr>
            </w:pPr>
            <w:r w:rsidRPr="00CC38DB">
              <w:rPr>
                <w:color w:val="000000"/>
                <w:sz w:val="22"/>
                <w:szCs w:val="22"/>
              </w:rPr>
              <w:t>2,</w:t>
            </w:r>
            <w:r>
              <w:rPr>
                <w:color w:val="000000"/>
                <w:sz w:val="22"/>
                <w:szCs w:val="22"/>
              </w:rPr>
              <w:t>66</w:t>
            </w:r>
          </w:p>
        </w:tc>
      </w:tr>
      <w:tr w:rsidR="00585C99" w:rsidRPr="00CC38DB" w:rsidTr="006B6130">
        <w:trPr>
          <w:trHeight w:val="945"/>
        </w:trPr>
        <w:tc>
          <w:tcPr>
            <w:tcW w:w="464" w:type="pct"/>
            <w:tcBorders>
              <w:top w:val="single" w:sz="4" w:space="0" w:color="auto"/>
              <w:left w:val="single" w:sz="4" w:space="0" w:color="auto"/>
              <w:bottom w:val="single" w:sz="4" w:space="0" w:color="auto"/>
              <w:right w:val="single" w:sz="4" w:space="0" w:color="auto"/>
            </w:tcBorders>
            <w:noWrap/>
            <w:vAlign w:val="center"/>
            <w:hideMark/>
          </w:tcPr>
          <w:p w:rsidR="00585C99" w:rsidRPr="00CC38DB" w:rsidRDefault="00585C99" w:rsidP="005A5E13">
            <w:pPr>
              <w:rPr>
                <w:color w:val="000000"/>
                <w:sz w:val="22"/>
                <w:szCs w:val="22"/>
              </w:rPr>
            </w:pPr>
            <w:r w:rsidRPr="00CC38DB">
              <w:rPr>
                <w:color w:val="000000"/>
                <w:sz w:val="22"/>
                <w:szCs w:val="22"/>
              </w:rPr>
              <w:t>3.</w:t>
            </w:r>
          </w:p>
        </w:tc>
        <w:tc>
          <w:tcPr>
            <w:tcW w:w="2664"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jc w:val="both"/>
              <w:rPr>
                <w:bCs/>
                <w:color w:val="000000"/>
                <w:sz w:val="22"/>
                <w:szCs w:val="22"/>
              </w:rPr>
            </w:pPr>
            <w:r w:rsidRPr="00CC38DB">
              <w:rPr>
                <w:bCs/>
                <w:color w:val="000000"/>
                <w:sz w:val="22"/>
                <w:szCs w:val="22"/>
              </w:rPr>
              <w:t xml:space="preserve">Перевозка пассажиров и багажа автомобильным транспортом по муниципальным маршрутам регулярных перевозок в границах одного муниципального района </w:t>
            </w:r>
          </w:p>
        </w:tc>
        <w:tc>
          <w:tcPr>
            <w:tcW w:w="8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sidRPr="00CC38DB">
              <w:rPr>
                <w:color w:val="000000"/>
                <w:sz w:val="22"/>
                <w:szCs w:val="22"/>
              </w:rPr>
              <w:t>1 пассажиро-километр</w:t>
            </w:r>
          </w:p>
        </w:tc>
        <w:tc>
          <w:tcPr>
            <w:tcW w:w="986" w:type="pct"/>
            <w:tcBorders>
              <w:top w:val="single" w:sz="4" w:space="0" w:color="auto"/>
              <w:left w:val="nil"/>
              <w:bottom w:val="single" w:sz="4" w:space="0" w:color="auto"/>
              <w:right w:val="single" w:sz="4" w:space="0" w:color="auto"/>
            </w:tcBorders>
            <w:vAlign w:val="center"/>
            <w:hideMark/>
          </w:tcPr>
          <w:p w:rsidR="00585C99" w:rsidRPr="00CC38DB" w:rsidRDefault="00585C99" w:rsidP="005A5E13">
            <w:pPr>
              <w:rPr>
                <w:color w:val="000000"/>
                <w:sz w:val="22"/>
                <w:szCs w:val="22"/>
              </w:rPr>
            </w:pPr>
            <w:r w:rsidRPr="00CC38DB">
              <w:rPr>
                <w:color w:val="000000"/>
                <w:sz w:val="22"/>
                <w:szCs w:val="22"/>
              </w:rPr>
              <w:t>3,</w:t>
            </w:r>
            <w:r>
              <w:rPr>
                <w:color w:val="000000"/>
                <w:sz w:val="22"/>
                <w:szCs w:val="22"/>
              </w:rPr>
              <w:t>7</w:t>
            </w:r>
            <w:r w:rsidRPr="00CC38DB">
              <w:rPr>
                <w:color w:val="000000"/>
                <w:sz w:val="22"/>
                <w:szCs w:val="22"/>
              </w:rPr>
              <w:t>0</w:t>
            </w:r>
          </w:p>
        </w:tc>
      </w:tr>
    </w:tbl>
    <w:p w:rsidR="00585C99" w:rsidRDefault="00585C99" w:rsidP="00585C99">
      <w:pPr>
        <w:autoSpaceDE w:val="0"/>
        <w:autoSpaceDN w:val="0"/>
        <w:adjustRightInd w:val="0"/>
        <w:spacing w:after="0" w:line="240" w:lineRule="auto"/>
        <w:ind w:firstLine="540"/>
        <w:jc w:val="both"/>
        <w:rPr>
          <w:rFonts w:eastAsia="Calibri"/>
          <w:szCs w:val="28"/>
          <w:lang w:eastAsia="en-US"/>
        </w:rPr>
      </w:pPr>
      <w:r w:rsidRPr="00E66981">
        <w:rPr>
          <w:szCs w:val="28"/>
        </w:rPr>
        <w:t>2. Утвержден</w:t>
      </w:r>
      <w:r w:rsidRPr="00E66981">
        <w:rPr>
          <w:rFonts w:eastAsia="Calibri"/>
          <w:szCs w:val="28"/>
          <w:lang w:eastAsia="en-US"/>
        </w:rPr>
        <w:t xml:space="preserve"> и введен в действие </w:t>
      </w:r>
      <w:hyperlink r:id="rId171" w:history="1">
        <w:r w:rsidRPr="00A8434B">
          <w:rPr>
            <w:rFonts w:eastAsia="Calibri"/>
            <w:lang w:eastAsia="en-US"/>
          </w:rPr>
          <w:t>Порядок</w:t>
        </w:r>
      </w:hyperlink>
      <w:r w:rsidRPr="00A8434B">
        <w:rPr>
          <w:rFonts w:eastAsia="Calibri"/>
          <w:szCs w:val="28"/>
          <w:lang w:eastAsia="en-US"/>
        </w:rPr>
        <w:t xml:space="preserve"> </w:t>
      </w:r>
      <w:r w:rsidRPr="00E66981">
        <w:rPr>
          <w:rFonts w:eastAsia="Calibri"/>
          <w:szCs w:val="28"/>
          <w:lang w:eastAsia="en-US"/>
        </w:rPr>
        <w:t>расчета стоимости перевозки пассажиров и багажа автомобильным транспортом по муниципальным маршрутам регулярных перевозок по регулируемым тарифам в границах одного муниципального района на территории Новосибирской области.</w:t>
      </w:r>
    </w:p>
    <w:p w:rsidR="00585C99" w:rsidRDefault="00585C99" w:rsidP="00585C99">
      <w:pPr>
        <w:spacing w:after="0" w:line="240" w:lineRule="auto"/>
        <w:ind w:firstLine="709"/>
        <w:jc w:val="both"/>
        <w:rPr>
          <w:rFonts w:eastAsia="Calibri"/>
          <w:szCs w:val="28"/>
          <w:lang w:eastAsia="en-US"/>
        </w:rPr>
      </w:pPr>
      <w:r w:rsidRPr="003E5810">
        <w:rPr>
          <w:rFonts w:eastAsia="Calibri"/>
          <w:szCs w:val="28"/>
          <w:lang w:eastAsia="en-US"/>
        </w:rPr>
        <w:t xml:space="preserve">С информацией о тарифах на перевозки по муниципальным и межмуниципальным маршрутам регулярных перевозок пассажиров и багажа автомобильным и городским наземным электрическим транспортом на территории Новосибирской области можно ознакомиться на официальном сайте департамента в информационно-телекоммуникационной сети «Интернет» </w:t>
      </w:r>
      <w:hyperlink r:id="rId172" w:history="1">
        <w:r w:rsidRPr="00A316D6">
          <w:rPr>
            <w:rStyle w:val="a3"/>
            <w:rFonts w:eastAsia="Calibri"/>
            <w:szCs w:val="28"/>
            <w:lang w:eastAsia="en-US"/>
          </w:rPr>
          <w:t>https://tarif.nso.ru/page/95</w:t>
        </w:r>
      </w:hyperlink>
      <w:r w:rsidRPr="003E5810">
        <w:rPr>
          <w:rFonts w:eastAsia="Calibri"/>
          <w:szCs w:val="28"/>
          <w:lang w:eastAsia="en-US"/>
        </w:rPr>
        <w:t>.</w:t>
      </w:r>
    </w:p>
    <w:p w:rsidR="00585C99" w:rsidRPr="00FB5EA4" w:rsidRDefault="00585C99" w:rsidP="00585C99">
      <w:pPr>
        <w:pStyle w:val="4"/>
      </w:pPr>
      <w:bookmarkStart w:id="124" w:name="_Toc162431955"/>
      <w:bookmarkStart w:id="125" w:name="_Toc193810583"/>
      <w:r w:rsidRPr="00FB5EA4">
        <w:t>2.8.3. Предельные максимальные тарифы на перевозки пассажиров и провоз ручной клади сверх установленных норм внеуличным транспортом (метрополитеном) по муниципальным маршрутам регулярных перевозок</w:t>
      </w:r>
      <w:bookmarkEnd w:id="124"/>
      <w:bookmarkEnd w:id="125"/>
    </w:p>
    <w:p w:rsidR="00585C99" w:rsidRDefault="00585C99" w:rsidP="00585C99">
      <w:pPr>
        <w:autoSpaceDE w:val="0"/>
        <w:autoSpaceDN w:val="0"/>
        <w:adjustRightInd w:val="0"/>
        <w:spacing w:after="0" w:line="240" w:lineRule="auto"/>
        <w:ind w:firstLine="709"/>
        <w:jc w:val="both"/>
        <w:rPr>
          <w:rFonts w:ascii="Times New Roman CYR" w:hAnsi="Times New Roman CYR" w:cs="Times New Roman CYR"/>
          <w:szCs w:val="28"/>
        </w:rPr>
      </w:pPr>
      <w:r>
        <w:rPr>
          <w:szCs w:val="28"/>
        </w:rPr>
        <w:t>В соответствии со статьей 13 Федерального</w:t>
      </w:r>
      <w:r w:rsidRPr="003901A4">
        <w:rPr>
          <w:szCs w:val="28"/>
        </w:rPr>
        <w:t xml:space="preserve"> закон</w:t>
      </w:r>
      <w:r>
        <w:rPr>
          <w:szCs w:val="28"/>
        </w:rPr>
        <w:t>а от 29.12.2017 №</w:t>
      </w:r>
      <w:r w:rsidRPr="003901A4">
        <w:rPr>
          <w:szCs w:val="28"/>
        </w:rPr>
        <w:t xml:space="preserve"> 442-ФЗ </w:t>
      </w:r>
      <w:r>
        <w:rPr>
          <w:szCs w:val="28"/>
        </w:rPr>
        <w:t>«</w:t>
      </w:r>
      <w:r w:rsidRPr="003901A4">
        <w:rPr>
          <w:szCs w:val="28"/>
        </w:rPr>
        <w:t>О внеуличном транспорте и о внесении изменений в отдельные законодате</w:t>
      </w:r>
      <w:r>
        <w:rPr>
          <w:szCs w:val="28"/>
        </w:rPr>
        <w:t xml:space="preserve">льные акты Российской Федерации», пунктом 5 статьи 1 </w:t>
      </w:r>
      <w:r w:rsidRPr="00C151EE">
        <w:rPr>
          <w:szCs w:val="28"/>
        </w:rPr>
        <w:t>Закон</w:t>
      </w:r>
      <w:r>
        <w:rPr>
          <w:szCs w:val="28"/>
        </w:rPr>
        <w:t>а</w:t>
      </w:r>
      <w:r w:rsidRPr="00C151EE">
        <w:rPr>
          <w:szCs w:val="28"/>
        </w:rPr>
        <w:t xml:space="preserve"> Новосибирской области от </w:t>
      </w:r>
      <w:r>
        <w:rPr>
          <w:szCs w:val="28"/>
        </w:rPr>
        <w:t>18.07</w:t>
      </w:r>
      <w:r w:rsidRPr="00C151EE">
        <w:rPr>
          <w:szCs w:val="28"/>
        </w:rPr>
        <w:t>.201</w:t>
      </w:r>
      <w:r>
        <w:rPr>
          <w:szCs w:val="28"/>
        </w:rPr>
        <w:t>4</w:t>
      </w:r>
      <w:r w:rsidRPr="00C151EE">
        <w:rPr>
          <w:szCs w:val="28"/>
        </w:rPr>
        <w:t xml:space="preserve"> № </w:t>
      </w:r>
      <w:r>
        <w:rPr>
          <w:szCs w:val="28"/>
        </w:rPr>
        <w:t>470</w:t>
      </w:r>
      <w:r w:rsidRPr="00C151EE">
        <w:rPr>
          <w:szCs w:val="28"/>
        </w:rPr>
        <w:t>-ОЗ «</w:t>
      </w:r>
      <w:r w:rsidRPr="006625EA">
        <w:rPr>
          <w:szCs w:val="28"/>
        </w:rPr>
        <w:t>О внесении изменений</w:t>
      </w:r>
      <w:r>
        <w:rPr>
          <w:szCs w:val="28"/>
        </w:rPr>
        <w:t xml:space="preserve"> в Закон Новосибирской области «</w:t>
      </w:r>
      <w:r w:rsidRPr="006625EA">
        <w:rPr>
          <w:szCs w:val="28"/>
        </w:rPr>
        <w:t>Об отдельных вопросах организации транспортного обслуживания населения на т</w:t>
      </w:r>
      <w:r>
        <w:rPr>
          <w:szCs w:val="28"/>
        </w:rPr>
        <w:t>ерритории Новосибирской области</w:t>
      </w:r>
      <w:r w:rsidRPr="00C151EE">
        <w:rPr>
          <w:szCs w:val="28"/>
        </w:rPr>
        <w:t>»</w:t>
      </w:r>
      <w:r>
        <w:rPr>
          <w:szCs w:val="28"/>
        </w:rPr>
        <w:t xml:space="preserve">, </w:t>
      </w:r>
      <w:r>
        <w:rPr>
          <w:rFonts w:ascii="Times New Roman CYR" w:hAnsi="Times New Roman CYR" w:cs="Times New Roman CYR"/>
          <w:szCs w:val="28"/>
        </w:rPr>
        <w:t xml:space="preserve">постановлением </w:t>
      </w:r>
      <w:r w:rsidRPr="00DB3545">
        <w:rPr>
          <w:rFonts w:ascii="Times New Roman CYR" w:hAnsi="Times New Roman CYR" w:cs="Times New Roman CYR"/>
          <w:szCs w:val="28"/>
        </w:rPr>
        <w:t xml:space="preserve">Правительства Новосибирской области от </w:t>
      </w:r>
      <w:r>
        <w:rPr>
          <w:rFonts w:ascii="Times New Roman CYR" w:hAnsi="Times New Roman CYR" w:cs="Times New Roman CYR"/>
          <w:szCs w:val="28"/>
        </w:rPr>
        <w:t>24</w:t>
      </w:r>
      <w:r w:rsidRPr="00DB3545">
        <w:rPr>
          <w:rFonts w:ascii="Times New Roman CYR" w:hAnsi="Times New Roman CYR" w:cs="Times New Roman CYR"/>
          <w:szCs w:val="28"/>
        </w:rPr>
        <w:t>.12.202</w:t>
      </w:r>
      <w:r>
        <w:rPr>
          <w:rFonts w:ascii="Times New Roman CYR" w:hAnsi="Times New Roman CYR" w:cs="Times New Roman CYR"/>
          <w:szCs w:val="28"/>
        </w:rPr>
        <w:t>3</w:t>
      </w:r>
      <w:r w:rsidRPr="00DB3545">
        <w:rPr>
          <w:rFonts w:ascii="Times New Roman CYR" w:hAnsi="Times New Roman CYR" w:cs="Times New Roman CYR"/>
          <w:szCs w:val="28"/>
        </w:rPr>
        <w:t xml:space="preserve"> г. № </w:t>
      </w:r>
      <w:r>
        <w:rPr>
          <w:rFonts w:ascii="Times New Roman CYR" w:hAnsi="Times New Roman CYR" w:cs="Times New Roman CYR"/>
          <w:szCs w:val="28"/>
        </w:rPr>
        <w:t>614-п «</w:t>
      </w:r>
      <w:r w:rsidRPr="00047530">
        <w:rPr>
          <w:rFonts w:ascii="Times New Roman CYR" w:hAnsi="Times New Roman CYR" w:cs="Times New Roman CYR"/>
          <w:szCs w:val="28"/>
        </w:rPr>
        <w:t>О признании утратившим силу постановление Правительства Новосибирской области от 19.12.2023 № 610-п»</w:t>
      </w:r>
      <w:r>
        <w:rPr>
          <w:rFonts w:ascii="Times New Roman CYR" w:hAnsi="Times New Roman CYR" w:cs="Times New Roman CYR"/>
          <w:szCs w:val="28"/>
        </w:rPr>
        <w:t xml:space="preserve"> отменено постановление Правительства Новосибирской области от 19.12.2023 № 610-п «Об установлении предельного максимального тарифа на перевозки </w:t>
      </w:r>
      <w:r>
        <w:rPr>
          <w:rFonts w:ascii="Times New Roman CYR" w:hAnsi="Times New Roman CYR" w:cs="Times New Roman CYR"/>
          <w:szCs w:val="28"/>
        </w:rPr>
        <w:lastRenderedPageBreak/>
        <w:t xml:space="preserve">пассажиров и провоз ручной клади сверх установленных норм внеуличным транспортом (метрополитеном) по муниципальным маршрутам регулярных перевозок» </w:t>
      </w:r>
      <w:r w:rsidRPr="00DB3545">
        <w:rPr>
          <w:rFonts w:ascii="Times New Roman CYR" w:hAnsi="Times New Roman CYR" w:cs="Times New Roman CYR"/>
          <w:szCs w:val="28"/>
        </w:rPr>
        <w:t>с 23.12.202</w:t>
      </w:r>
      <w:r>
        <w:rPr>
          <w:rFonts w:ascii="Times New Roman CYR" w:hAnsi="Times New Roman CYR" w:cs="Times New Roman CYR"/>
          <w:szCs w:val="28"/>
        </w:rPr>
        <w:t>4</w:t>
      </w:r>
      <w:r w:rsidRPr="00DB3545">
        <w:rPr>
          <w:rFonts w:ascii="Times New Roman CYR" w:hAnsi="Times New Roman CYR" w:cs="Times New Roman CYR"/>
          <w:szCs w:val="28"/>
        </w:rPr>
        <w:t xml:space="preserve"> года.</w:t>
      </w:r>
    </w:p>
    <w:p w:rsidR="00585C99" w:rsidRPr="00964919" w:rsidRDefault="00585C99" w:rsidP="00585C99">
      <w:pPr>
        <w:spacing w:after="0" w:line="240" w:lineRule="auto"/>
        <w:ind w:firstLine="708"/>
        <w:jc w:val="both"/>
        <w:rPr>
          <w:rFonts w:ascii="Times New Roman CYR" w:hAnsi="Times New Roman CYR" w:cs="Times New Roman CYR"/>
        </w:rPr>
      </w:pPr>
      <w:r w:rsidRPr="00DB3545">
        <w:rPr>
          <w:rFonts w:ascii="Times New Roman CYR" w:hAnsi="Times New Roman CYR" w:cs="Times New Roman CYR"/>
          <w:szCs w:val="28"/>
        </w:rPr>
        <w:t xml:space="preserve">С информацией можно ознакомиться на официальном сайте </w:t>
      </w:r>
      <w:r w:rsidRPr="00622B53">
        <w:rPr>
          <w:rFonts w:eastAsia="Calibri"/>
          <w:szCs w:val="28"/>
          <w:lang w:eastAsia="en-US"/>
        </w:rPr>
        <w:t>департамента по тарифам Новосибирской области</w:t>
      </w:r>
      <w:r w:rsidRPr="00DB3545">
        <w:rPr>
          <w:rFonts w:ascii="Times New Roman CYR" w:hAnsi="Times New Roman CYR" w:cs="Times New Roman CYR"/>
          <w:szCs w:val="28"/>
        </w:rPr>
        <w:t xml:space="preserve"> в информационно-телекоммуникационной сети «Интернет» </w:t>
      </w:r>
      <w:hyperlink r:id="rId173" w:history="1">
        <w:r w:rsidRPr="00A316D6">
          <w:rPr>
            <w:rStyle w:val="a3"/>
            <w:rFonts w:eastAsia="Calibri"/>
            <w:szCs w:val="28"/>
            <w:lang w:eastAsia="en-US"/>
          </w:rPr>
          <w:t>https://tarif.nso.ru/page/95</w:t>
        </w:r>
      </w:hyperlink>
      <w:r w:rsidRPr="00DB3545">
        <w:rPr>
          <w:rFonts w:ascii="Times New Roman CYR" w:hAnsi="Times New Roman CYR" w:cs="Times New Roman CYR"/>
        </w:rPr>
        <w:t>.</w:t>
      </w:r>
    </w:p>
    <w:p w:rsidR="00585C99" w:rsidRPr="00FB5EA4" w:rsidRDefault="00585C99" w:rsidP="00585C99">
      <w:pPr>
        <w:pStyle w:val="4"/>
      </w:pPr>
      <w:bookmarkStart w:id="126" w:name="_Toc162431956"/>
      <w:bookmarkStart w:id="127" w:name="_Toc193810584"/>
      <w:r w:rsidRPr="00FB5EA4">
        <w:t>2.8.4. Тарифы на транспортные услуги, оказываемые организациями на подъездных железнодорожных путях</w:t>
      </w:r>
      <w:bookmarkEnd w:id="126"/>
      <w:bookmarkEnd w:id="127"/>
    </w:p>
    <w:p w:rsidR="00585C99" w:rsidRDefault="00585C99" w:rsidP="00585C99">
      <w:pPr>
        <w:spacing w:after="0" w:line="240" w:lineRule="auto"/>
        <w:ind w:firstLine="709"/>
        <w:jc w:val="both"/>
        <w:rPr>
          <w:szCs w:val="28"/>
        </w:rPr>
      </w:pPr>
      <w:r w:rsidRPr="00FB5EA4">
        <w:rPr>
          <w:szCs w:val="28"/>
        </w:rPr>
        <w:t>В 2024 году в отношении 9 организаций</w:t>
      </w:r>
      <w:r>
        <w:rPr>
          <w:szCs w:val="28"/>
        </w:rPr>
        <w:t xml:space="preserve"> (в том числе 1 организации впервые)</w:t>
      </w:r>
      <w:r w:rsidRPr="00FB5EA4">
        <w:rPr>
          <w:szCs w:val="28"/>
        </w:rPr>
        <w:t>, оказывающих транспортные услуги на подъездных железнодорожных путях, установлено 25 предельных максимальных тарифов на транспортные услуги</w:t>
      </w:r>
      <w:r>
        <w:rPr>
          <w:szCs w:val="28"/>
        </w:rPr>
        <w:t>.</w:t>
      </w:r>
    </w:p>
    <w:p w:rsidR="00585C99" w:rsidRDefault="00585C99" w:rsidP="00585C99">
      <w:pPr>
        <w:spacing w:after="0" w:line="240" w:lineRule="auto"/>
        <w:ind w:firstLine="709"/>
        <w:jc w:val="both"/>
        <w:rPr>
          <w:szCs w:val="28"/>
        </w:rPr>
      </w:pPr>
    </w:p>
    <w:p w:rsidR="00585C99" w:rsidRPr="0027337B" w:rsidRDefault="00585C99" w:rsidP="00585C99">
      <w:pPr>
        <w:pStyle w:val="a9"/>
        <w:spacing w:after="0"/>
        <w:ind w:left="-426" w:firstLine="709"/>
        <w:jc w:val="both"/>
        <w:rPr>
          <w:i/>
        </w:rPr>
      </w:pPr>
      <w:r w:rsidRPr="0027337B">
        <w:rPr>
          <w:i/>
        </w:rPr>
        <w:t xml:space="preserve">   Динамика тарифов на услуги по подаче и уборке вагонов за период 2023-2025 гг.</w:t>
      </w:r>
    </w:p>
    <w:p w:rsidR="00585C99" w:rsidRDefault="00585C99" w:rsidP="006B6130">
      <w:pPr>
        <w:pStyle w:val="a9"/>
        <w:spacing w:after="0"/>
        <w:ind w:left="0" w:firstLine="283"/>
        <w:jc w:val="both"/>
        <w:rPr>
          <w:color w:val="0070C0"/>
          <w:sz w:val="28"/>
          <w:szCs w:val="28"/>
        </w:rPr>
      </w:pPr>
      <w:r>
        <w:rPr>
          <w:noProof/>
        </w:rPr>
        <w:drawing>
          <wp:inline distT="0" distB="0" distL="0" distR="0" wp14:anchorId="06A7F8CF" wp14:editId="7500E43A">
            <wp:extent cx="5691554" cy="4859216"/>
            <wp:effectExtent l="0" t="0" r="23495" b="17780"/>
            <wp:docPr id="295" name="Диаграмма 29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4"/>
              </a:graphicData>
            </a:graphic>
          </wp:inline>
        </w:drawing>
      </w:r>
    </w:p>
    <w:p w:rsidR="00585C99" w:rsidRDefault="00585C99" w:rsidP="00585C99">
      <w:pPr>
        <w:pStyle w:val="a9"/>
        <w:spacing w:after="0"/>
        <w:ind w:left="-426" w:firstLine="709"/>
        <w:jc w:val="both"/>
        <w:rPr>
          <w:color w:val="0070C0"/>
          <w:sz w:val="28"/>
          <w:szCs w:val="28"/>
        </w:rPr>
      </w:pPr>
    </w:p>
    <w:p w:rsidR="00585C99" w:rsidRPr="0074407D" w:rsidRDefault="00585C99" w:rsidP="00585C99">
      <w:pPr>
        <w:pStyle w:val="a9"/>
        <w:spacing w:after="0"/>
        <w:ind w:left="-426" w:firstLine="709"/>
        <w:jc w:val="both"/>
        <w:rPr>
          <w:rFonts w:ascii="Times New Roman CYR" w:eastAsia="MS Mincho" w:hAnsi="Times New Roman CYR" w:cs="Times New Roman CYR"/>
          <w:sz w:val="28"/>
          <w:szCs w:val="28"/>
        </w:rPr>
      </w:pPr>
      <w:r w:rsidRPr="00FB5EA4">
        <w:rPr>
          <w:sz w:val="28"/>
          <w:szCs w:val="28"/>
        </w:rPr>
        <w:t xml:space="preserve">С информацией о тарифах на транспортные услуги, оказываемые на подъездных железнодорожных путях можно ознакомиться на официальном сайте департамента в информационно-телекоммуникационной сети «Интернет» </w:t>
      </w:r>
      <w:hyperlink r:id="rId175" w:history="1">
        <w:r w:rsidRPr="00142EF3">
          <w:rPr>
            <w:rStyle w:val="a3"/>
            <w:sz w:val="28"/>
            <w:szCs w:val="28"/>
          </w:rPr>
          <w:t>https://tarif.nso.ru/page/98</w:t>
        </w:r>
      </w:hyperlink>
      <w:r w:rsidRPr="00142EF3">
        <w:rPr>
          <w:rStyle w:val="a3"/>
          <w:sz w:val="28"/>
          <w:szCs w:val="28"/>
        </w:rPr>
        <w:t>.</w:t>
      </w:r>
    </w:p>
    <w:p w:rsidR="00585C99" w:rsidRPr="00ED2534" w:rsidRDefault="00585C99" w:rsidP="00585C99">
      <w:pPr>
        <w:pStyle w:val="4"/>
      </w:pPr>
      <w:bookmarkStart w:id="128" w:name="_Toc162431957"/>
      <w:bookmarkStart w:id="129" w:name="_Toc193810585"/>
      <w:r w:rsidRPr="00ED2534">
        <w:lastRenderedPageBreak/>
        <w:t>2.8.5. Тарифы на перемещение и хранение задержанных транспортных средств на специализированную стоянку</w:t>
      </w:r>
      <w:bookmarkEnd w:id="128"/>
      <w:bookmarkEnd w:id="129"/>
    </w:p>
    <w:p w:rsidR="00585C99" w:rsidRDefault="00585C99" w:rsidP="00585C99">
      <w:pPr>
        <w:autoSpaceDE w:val="0"/>
        <w:autoSpaceDN w:val="0"/>
        <w:adjustRightInd w:val="0"/>
        <w:spacing w:after="0" w:line="240" w:lineRule="auto"/>
        <w:ind w:firstLine="709"/>
        <w:jc w:val="both"/>
        <w:rPr>
          <w:szCs w:val="28"/>
        </w:rPr>
      </w:pPr>
      <w:r w:rsidRPr="00EA200E">
        <w:rPr>
          <w:szCs w:val="28"/>
        </w:rPr>
        <w:t>В соответствии с пунктом 6 Методических указаний по расчету тарифов на перемещение и хранение задержанных транспортных средств и установлению сроков оплаты, утвержденных приказом Федеральной антимонопольной службы от 15.08.2016 № 1145/16,</w:t>
      </w:r>
      <w:r w:rsidRPr="00FE550F">
        <w:rPr>
          <w:szCs w:val="28"/>
        </w:rPr>
        <w:t xml:space="preserve"> </w:t>
      </w:r>
      <w:r>
        <w:rPr>
          <w:szCs w:val="28"/>
        </w:rPr>
        <w:t>департаментом установлены:</w:t>
      </w:r>
    </w:p>
    <w:p w:rsidR="00585C99" w:rsidRPr="0059331E" w:rsidRDefault="00585C99" w:rsidP="00585C99">
      <w:pPr>
        <w:pStyle w:val="ae"/>
        <w:numPr>
          <w:ilvl w:val="0"/>
          <w:numId w:val="7"/>
        </w:numPr>
        <w:autoSpaceDE w:val="0"/>
        <w:autoSpaceDN w:val="0"/>
        <w:adjustRightInd w:val="0"/>
        <w:spacing w:after="0" w:line="240" w:lineRule="auto"/>
        <w:jc w:val="both"/>
        <w:rPr>
          <w:rFonts w:ascii="Times New Roman" w:eastAsia="MS Mincho" w:hAnsi="Times New Roman"/>
          <w:sz w:val="28"/>
          <w:szCs w:val="28"/>
          <w:lang w:eastAsia="ru-RU"/>
        </w:rPr>
      </w:pPr>
      <w:r w:rsidRPr="0059331E">
        <w:rPr>
          <w:rFonts w:ascii="Times New Roman" w:eastAsia="MS Mincho" w:hAnsi="Times New Roman"/>
          <w:sz w:val="28"/>
          <w:szCs w:val="28"/>
          <w:lang w:eastAsia="ru-RU"/>
        </w:rPr>
        <w:t>Базовые тарифы</w:t>
      </w:r>
      <w:r>
        <w:rPr>
          <w:rFonts w:ascii="Times New Roman" w:eastAsia="MS Mincho" w:hAnsi="Times New Roman"/>
          <w:sz w:val="28"/>
          <w:szCs w:val="28"/>
          <w:lang w:eastAsia="ru-RU"/>
        </w:rPr>
        <w:t>:</w:t>
      </w:r>
    </w:p>
    <w:p w:rsidR="00585C99" w:rsidRPr="0059331E" w:rsidRDefault="00585C99" w:rsidP="00585C99">
      <w:pPr>
        <w:autoSpaceDE w:val="0"/>
        <w:autoSpaceDN w:val="0"/>
        <w:adjustRightInd w:val="0"/>
        <w:spacing w:after="0" w:line="240" w:lineRule="auto"/>
        <w:ind w:firstLine="720"/>
        <w:jc w:val="both"/>
        <w:rPr>
          <w:szCs w:val="28"/>
        </w:rPr>
      </w:pPr>
      <w:r>
        <w:rPr>
          <w:szCs w:val="28"/>
        </w:rPr>
        <w:t xml:space="preserve">- </w:t>
      </w:r>
      <w:r w:rsidRPr="0059331E">
        <w:rPr>
          <w:szCs w:val="28"/>
        </w:rPr>
        <w:t xml:space="preserve">на перемещение транспортных средств </w:t>
      </w:r>
      <w:r w:rsidRPr="007022BF">
        <w:rPr>
          <w:szCs w:val="28"/>
        </w:rPr>
        <w:t xml:space="preserve">(за исключением судна) </w:t>
      </w:r>
      <w:r w:rsidRPr="0059331E">
        <w:rPr>
          <w:szCs w:val="28"/>
        </w:rPr>
        <w:t>на специализированной стоянке;</w:t>
      </w:r>
    </w:p>
    <w:p w:rsidR="00585C99" w:rsidRPr="0059331E" w:rsidRDefault="00585C99" w:rsidP="00585C99">
      <w:pPr>
        <w:autoSpaceDE w:val="0"/>
        <w:autoSpaceDN w:val="0"/>
        <w:adjustRightInd w:val="0"/>
        <w:spacing w:after="0" w:line="240" w:lineRule="auto"/>
        <w:ind w:firstLine="709"/>
        <w:jc w:val="both"/>
        <w:rPr>
          <w:szCs w:val="28"/>
        </w:rPr>
      </w:pPr>
      <w:r>
        <w:rPr>
          <w:szCs w:val="28"/>
        </w:rPr>
        <w:t xml:space="preserve">- </w:t>
      </w:r>
      <w:r w:rsidRPr="0059331E">
        <w:rPr>
          <w:szCs w:val="28"/>
        </w:rPr>
        <w:t xml:space="preserve">на хранение транспортных средств </w:t>
      </w:r>
      <w:r w:rsidRPr="007022BF">
        <w:rPr>
          <w:szCs w:val="28"/>
        </w:rPr>
        <w:t xml:space="preserve">(за исключением судна) </w:t>
      </w:r>
      <w:r w:rsidRPr="0059331E">
        <w:rPr>
          <w:szCs w:val="28"/>
        </w:rPr>
        <w:t xml:space="preserve"> на специализированной стоянке;</w:t>
      </w:r>
    </w:p>
    <w:p w:rsidR="00585C99" w:rsidRDefault="00585C99" w:rsidP="00585C99">
      <w:pPr>
        <w:autoSpaceDE w:val="0"/>
        <w:autoSpaceDN w:val="0"/>
        <w:adjustRightInd w:val="0"/>
        <w:spacing w:after="0" w:line="240" w:lineRule="auto"/>
        <w:ind w:firstLine="720"/>
        <w:jc w:val="both"/>
        <w:rPr>
          <w:szCs w:val="28"/>
        </w:rPr>
      </w:pPr>
      <w:r>
        <w:rPr>
          <w:szCs w:val="28"/>
        </w:rPr>
        <w:t xml:space="preserve">- </w:t>
      </w:r>
      <w:r w:rsidRPr="0059331E">
        <w:rPr>
          <w:szCs w:val="28"/>
        </w:rPr>
        <w:t xml:space="preserve">на перемещение </w:t>
      </w:r>
      <w:r w:rsidRPr="007022BF">
        <w:rPr>
          <w:szCs w:val="28"/>
        </w:rPr>
        <w:t>задержанных судов</w:t>
      </w:r>
      <w:r>
        <w:rPr>
          <w:szCs w:val="28"/>
        </w:rPr>
        <w:t>;</w:t>
      </w:r>
    </w:p>
    <w:p w:rsidR="00585C99" w:rsidRDefault="00585C99" w:rsidP="00585C99">
      <w:pPr>
        <w:autoSpaceDE w:val="0"/>
        <w:autoSpaceDN w:val="0"/>
        <w:adjustRightInd w:val="0"/>
        <w:spacing w:after="0" w:line="240" w:lineRule="auto"/>
        <w:ind w:firstLine="720"/>
        <w:jc w:val="both"/>
        <w:rPr>
          <w:szCs w:val="28"/>
        </w:rPr>
      </w:pPr>
      <w:r>
        <w:rPr>
          <w:szCs w:val="28"/>
        </w:rPr>
        <w:t>- н</w:t>
      </w:r>
      <w:r w:rsidRPr="007022BF">
        <w:rPr>
          <w:szCs w:val="28"/>
        </w:rPr>
        <w:t>а хранение задержанных судов</w:t>
      </w:r>
      <w:r>
        <w:rPr>
          <w:szCs w:val="28"/>
        </w:rPr>
        <w:t>.</w:t>
      </w:r>
      <w:r w:rsidRPr="007022BF">
        <w:rPr>
          <w:szCs w:val="28"/>
        </w:rPr>
        <w:t xml:space="preserve"> </w:t>
      </w:r>
    </w:p>
    <w:p w:rsidR="00585C99" w:rsidRDefault="00585C99" w:rsidP="00585C99">
      <w:pPr>
        <w:autoSpaceDE w:val="0"/>
        <w:autoSpaceDN w:val="0"/>
        <w:adjustRightInd w:val="0"/>
        <w:spacing w:after="0" w:line="240" w:lineRule="auto"/>
        <w:ind w:firstLine="720"/>
        <w:jc w:val="both"/>
        <w:rPr>
          <w:szCs w:val="28"/>
        </w:rPr>
      </w:pPr>
      <w:r>
        <w:rPr>
          <w:szCs w:val="28"/>
        </w:rPr>
        <w:t xml:space="preserve">2. </w:t>
      </w:r>
      <w:r w:rsidRPr="00BD110B">
        <w:rPr>
          <w:szCs w:val="28"/>
        </w:rPr>
        <w:t>211 тарифов на перемещение</w:t>
      </w:r>
      <w:r w:rsidRPr="00A47FCD">
        <w:rPr>
          <w:szCs w:val="28"/>
        </w:rPr>
        <w:t xml:space="preserve"> задержанных транспортных средств</w:t>
      </w:r>
      <w:r>
        <w:rPr>
          <w:szCs w:val="28"/>
        </w:rPr>
        <w:t xml:space="preserve">, судов </w:t>
      </w:r>
      <w:r w:rsidRPr="00A47FCD">
        <w:rPr>
          <w:szCs w:val="28"/>
        </w:rPr>
        <w:t>на специализированную стоянку и хранение задержанных транспортных средств на специал</w:t>
      </w:r>
      <w:r>
        <w:rPr>
          <w:szCs w:val="28"/>
        </w:rPr>
        <w:t>изированной стоянке на 2025 год и на долгосрочный период регулирования 2025-2029 годов по районам Новосибирской области.</w:t>
      </w:r>
    </w:p>
    <w:p w:rsidR="00585C99" w:rsidRDefault="00585C99" w:rsidP="00585C99">
      <w:pPr>
        <w:spacing w:after="0" w:line="240" w:lineRule="auto"/>
        <w:ind w:firstLine="709"/>
        <w:jc w:val="both"/>
        <w:rPr>
          <w:rStyle w:val="a3"/>
          <w:szCs w:val="28"/>
        </w:rPr>
      </w:pPr>
      <w:r w:rsidRPr="001530E9">
        <w:rPr>
          <w:szCs w:val="28"/>
        </w:rPr>
        <w:t xml:space="preserve">С информацией </w:t>
      </w:r>
      <w:r>
        <w:rPr>
          <w:szCs w:val="28"/>
        </w:rPr>
        <w:t xml:space="preserve">о </w:t>
      </w:r>
      <w:r w:rsidRPr="001530E9">
        <w:rPr>
          <w:szCs w:val="28"/>
        </w:rPr>
        <w:t>тариф</w:t>
      </w:r>
      <w:r>
        <w:rPr>
          <w:szCs w:val="28"/>
        </w:rPr>
        <w:t>ах</w:t>
      </w:r>
      <w:r w:rsidRPr="001530E9">
        <w:rPr>
          <w:szCs w:val="28"/>
        </w:rPr>
        <w:t xml:space="preserve"> на перемещение и хранение задержанных транспортных средств на специализированную стоянку можно ознакомиться на официальном сайте департамента в информационно-телекоммуникационной сети «Интернет» </w:t>
      </w:r>
      <w:hyperlink r:id="rId176" w:history="1">
        <w:r w:rsidRPr="001530E9">
          <w:rPr>
            <w:rStyle w:val="a3"/>
            <w:szCs w:val="28"/>
          </w:rPr>
          <w:t>https://tarif.nso.ru/page/99</w:t>
        </w:r>
      </w:hyperlink>
      <w:r>
        <w:rPr>
          <w:rStyle w:val="a3"/>
          <w:szCs w:val="28"/>
        </w:rPr>
        <w:t>.</w:t>
      </w:r>
    </w:p>
    <w:p w:rsidR="00585C99" w:rsidRPr="00E53B96" w:rsidRDefault="00585C99" w:rsidP="00585C99">
      <w:pPr>
        <w:spacing w:after="0" w:line="240" w:lineRule="auto"/>
        <w:ind w:firstLine="709"/>
        <w:jc w:val="both"/>
        <w:rPr>
          <w:szCs w:val="28"/>
        </w:rPr>
      </w:pPr>
    </w:p>
    <w:p w:rsidR="00585C99" w:rsidRPr="00FB5EA4" w:rsidRDefault="00585C99" w:rsidP="00585C99">
      <w:pPr>
        <w:pStyle w:val="4"/>
        <w:spacing w:before="0"/>
      </w:pPr>
      <w:bookmarkStart w:id="130" w:name="_Toc162431958"/>
      <w:bookmarkStart w:id="131" w:name="_Toc193810586"/>
      <w:r w:rsidRPr="002A4340">
        <w:t xml:space="preserve">2.8.6. Регулирование </w:t>
      </w:r>
      <w:r w:rsidRPr="00FB5EA4">
        <w:t>плата за проведение технического осмотра транспортных средств</w:t>
      </w:r>
      <w:bookmarkEnd w:id="130"/>
      <w:bookmarkEnd w:id="131"/>
      <w:r w:rsidRPr="00FB5EA4">
        <w:t xml:space="preserve"> </w:t>
      </w:r>
    </w:p>
    <w:p w:rsidR="00585C99" w:rsidRDefault="00585C99" w:rsidP="00585C99">
      <w:pPr>
        <w:autoSpaceDE w:val="0"/>
        <w:autoSpaceDN w:val="0"/>
        <w:adjustRightInd w:val="0"/>
        <w:spacing w:after="0" w:line="240" w:lineRule="auto"/>
        <w:ind w:firstLine="708"/>
        <w:jc w:val="both"/>
        <w:rPr>
          <w:szCs w:val="28"/>
        </w:rPr>
      </w:pPr>
      <w:r>
        <w:rPr>
          <w:szCs w:val="28"/>
        </w:rPr>
        <w:t>П</w:t>
      </w:r>
      <w:r w:rsidRPr="002A4340">
        <w:rPr>
          <w:szCs w:val="28"/>
        </w:rPr>
        <w:t xml:space="preserve">редельный размер платы за проведение технического осмотра </w:t>
      </w:r>
      <w:r>
        <w:rPr>
          <w:szCs w:val="28"/>
        </w:rPr>
        <w:t xml:space="preserve">с 1 января 2025 года, </w:t>
      </w:r>
      <w:r w:rsidRPr="002A4340">
        <w:rPr>
          <w:szCs w:val="28"/>
        </w:rPr>
        <w:t>установлен</w:t>
      </w:r>
      <w:r>
        <w:rPr>
          <w:szCs w:val="28"/>
        </w:rPr>
        <w:t>ный</w:t>
      </w:r>
      <w:r w:rsidRPr="002A4340">
        <w:rPr>
          <w:szCs w:val="28"/>
        </w:rPr>
        <w:t xml:space="preserve"> </w:t>
      </w:r>
      <w:r>
        <w:rPr>
          <w:szCs w:val="28"/>
        </w:rPr>
        <w:t>п</w:t>
      </w:r>
      <w:r w:rsidRPr="002A4340">
        <w:rPr>
          <w:szCs w:val="28"/>
        </w:rPr>
        <w:t>остановлением Правительства Новосибирской области от 10.12.2024 № 569-п «Об установлении предельного размера платы за проведение технического осмотра транспортных средств на территории Новосибирской области»</w:t>
      </w:r>
      <w:r>
        <w:rPr>
          <w:szCs w:val="28"/>
        </w:rPr>
        <w:t xml:space="preserve">, рассчитан </w:t>
      </w:r>
      <w:r w:rsidRPr="007022BF">
        <w:rPr>
          <w:szCs w:val="28"/>
        </w:rPr>
        <w:t xml:space="preserve"> </w:t>
      </w:r>
      <w:r w:rsidRPr="00DB65F1">
        <w:rPr>
          <w:szCs w:val="28"/>
        </w:rPr>
        <w:t>в соответствии с Методикой расчета, утвержденн</w:t>
      </w:r>
      <w:r>
        <w:rPr>
          <w:szCs w:val="28"/>
        </w:rPr>
        <w:t>ой</w:t>
      </w:r>
      <w:r w:rsidRPr="00DB65F1">
        <w:rPr>
          <w:szCs w:val="28"/>
        </w:rPr>
        <w:t xml:space="preserve"> приказом Ф</w:t>
      </w:r>
      <w:r>
        <w:rPr>
          <w:szCs w:val="28"/>
        </w:rPr>
        <w:t>АС России</w:t>
      </w:r>
      <w:r w:rsidRPr="00DB65F1">
        <w:rPr>
          <w:szCs w:val="28"/>
        </w:rPr>
        <w:t xml:space="preserve"> от  30.06.2022 № 489/22 (далее - Методика), исходя из:</w:t>
      </w:r>
      <w:r>
        <w:rPr>
          <w:szCs w:val="28"/>
        </w:rPr>
        <w:t xml:space="preserve"> </w:t>
      </w:r>
    </w:p>
    <w:p w:rsidR="00585C99" w:rsidRPr="00DB65F1" w:rsidRDefault="00585C99" w:rsidP="00585C99">
      <w:pPr>
        <w:autoSpaceDE w:val="0"/>
        <w:autoSpaceDN w:val="0"/>
        <w:adjustRightInd w:val="0"/>
        <w:spacing w:after="0" w:line="240" w:lineRule="auto"/>
        <w:ind w:firstLine="708"/>
        <w:jc w:val="both"/>
        <w:rPr>
          <w:szCs w:val="28"/>
        </w:rPr>
      </w:pPr>
      <w:r>
        <w:rPr>
          <w:szCs w:val="28"/>
        </w:rPr>
        <w:t xml:space="preserve">- </w:t>
      </w:r>
      <w:r w:rsidRPr="00DB65F1">
        <w:rPr>
          <w:szCs w:val="28"/>
        </w:rPr>
        <w:t>действующего размера платы, установленного постановлением Правительства Новосибирской области от 0</w:t>
      </w:r>
      <w:r>
        <w:rPr>
          <w:szCs w:val="28"/>
        </w:rPr>
        <w:t>5</w:t>
      </w:r>
      <w:r w:rsidRPr="00DB65F1">
        <w:rPr>
          <w:szCs w:val="28"/>
        </w:rPr>
        <w:t>.12.202</w:t>
      </w:r>
      <w:r>
        <w:rPr>
          <w:szCs w:val="28"/>
        </w:rPr>
        <w:t>3</w:t>
      </w:r>
      <w:r w:rsidRPr="00DB65F1">
        <w:rPr>
          <w:szCs w:val="28"/>
        </w:rPr>
        <w:t xml:space="preserve"> № 57</w:t>
      </w:r>
      <w:r>
        <w:rPr>
          <w:szCs w:val="28"/>
        </w:rPr>
        <w:t>4</w:t>
      </w:r>
      <w:r w:rsidRPr="00DB65F1">
        <w:rPr>
          <w:szCs w:val="28"/>
        </w:rPr>
        <w:t>-п;</w:t>
      </w:r>
    </w:p>
    <w:p w:rsidR="00585C99" w:rsidRDefault="00585C99" w:rsidP="00585C99">
      <w:pPr>
        <w:autoSpaceDE w:val="0"/>
        <w:autoSpaceDN w:val="0"/>
        <w:adjustRightInd w:val="0"/>
        <w:spacing w:after="0" w:line="240" w:lineRule="auto"/>
        <w:ind w:firstLine="709"/>
        <w:jc w:val="both"/>
        <w:rPr>
          <w:rFonts w:eastAsia="Times New Roman"/>
          <w:szCs w:val="28"/>
        </w:rPr>
      </w:pPr>
      <w:r w:rsidRPr="00D32B1A">
        <w:rPr>
          <w:rFonts w:eastAsia="Times New Roman"/>
          <w:szCs w:val="28"/>
        </w:rPr>
        <w:t>-</w:t>
      </w:r>
      <w:r>
        <w:rPr>
          <w:rFonts w:eastAsia="Times New Roman"/>
          <w:szCs w:val="28"/>
        </w:rPr>
        <w:t xml:space="preserve"> </w:t>
      </w:r>
      <w:r w:rsidRPr="00D32B1A">
        <w:rPr>
          <w:rFonts w:eastAsia="Times New Roman"/>
          <w:szCs w:val="28"/>
        </w:rPr>
        <w:t xml:space="preserve">накопленного уровня инфляции - показателя «индекс потребительских цен на товары и услуги по Российской Федерации» (ИПЦ) за 2023 год </w:t>
      </w:r>
      <w:r w:rsidRPr="00D32B1A">
        <w:rPr>
          <w:rFonts w:eastAsia="Times New Roman"/>
          <w:szCs w:val="28"/>
          <w:shd w:val="clear" w:color="auto" w:fill="FFFFFF"/>
        </w:rPr>
        <w:t>(год, предшествующий году расчета)</w:t>
      </w:r>
      <w:r w:rsidRPr="00D32B1A">
        <w:rPr>
          <w:rFonts w:eastAsia="Times New Roman"/>
          <w:szCs w:val="28"/>
        </w:rPr>
        <w:t xml:space="preserve"> в размере 1,0742 (согласно информации, опубликованной Федеральной службой государственной статистики (Росстат) на своем официальном сайте в информационно-телекоммуникационной сети «Интернет» </w:t>
      </w:r>
      <w:hyperlink r:id="rId177" w:history="1">
        <w:r w:rsidRPr="00D32B1A">
          <w:rPr>
            <w:rFonts w:eastAsia="Times New Roman"/>
            <w:color w:val="0000FF"/>
            <w:szCs w:val="28"/>
            <w:u w:val="single"/>
          </w:rPr>
          <w:t>https://rosstat.gov.ru</w:t>
        </w:r>
      </w:hyperlink>
      <w:r>
        <w:rPr>
          <w:rFonts w:eastAsia="Times New Roman"/>
          <w:szCs w:val="28"/>
        </w:rPr>
        <w:t>);</w:t>
      </w:r>
    </w:p>
    <w:p w:rsidR="00585C99" w:rsidRPr="00D32B1A" w:rsidRDefault="00585C99" w:rsidP="00585C99">
      <w:pPr>
        <w:autoSpaceDE w:val="0"/>
        <w:autoSpaceDN w:val="0"/>
        <w:adjustRightInd w:val="0"/>
        <w:spacing w:after="0" w:line="240" w:lineRule="auto"/>
        <w:ind w:firstLine="709"/>
        <w:jc w:val="both"/>
        <w:rPr>
          <w:rFonts w:eastAsia="Times New Roman"/>
          <w:szCs w:val="28"/>
        </w:rPr>
      </w:pPr>
      <w:r w:rsidRPr="00D32B1A">
        <w:rPr>
          <w:rFonts w:eastAsia="Times New Roman"/>
          <w:szCs w:val="28"/>
        </w:rPr>
        <w:t>-</w:t>
      </w:r>
      <w:r>
        <w:rPr>
          <w:rFonts w:eastAsia="Times New Roman"/>
          <w:szCs w:val="28"/>
        </w:rPr>
        <w:t xml:space="preserve"> </w:t>
      </w:r>
      <w:r w:rsidRPr="00D32B1A">
        <w:rPr>
          <w:rFonts w:eastAsia="Times New Roman"/>
          <w:szCs w:val="28"/>
        </w:rPr>
        <w:t>продолжительности технического диагностирования, установленной пунктом 15 Правил № 1433 и пунктом 14 Правил № 1434;</w:t>
      </w:r>
    </w:p>
    <w:p w:rsidR="00585C99" w:rsidRPr="00D32B1A" w:rsidRDefault="00585C99" w:rsidP="00585C99">
      <w:pPr>
        <w:spacing w:after="0" w:line="240" w:lineRule="auto"/>
        <w:ind w:firstLine="708"/>
        <w:jc w:val="both"/>
        <w:rPr>
          <w:rFonts w:eastAsia="Times New Roman"/>
          <w:szCs w:val="28"/>
        </w:rPr>
      </w:pPr>
      <w:r>
        <w:rPr>
          <w:szCs w:val="28"/>
        </w:rPr>
        <w:lastRenderedPageBreak/>
        <w:t xml:space="preserve">- </w:t>
      </w:r>
      <w:r w:rsidRPr="00D32B1A">
        <w:rPr>
          <w:rFonts w:eastAsia="Times New Roman"/>
          <w:szCs w:val="28"/>
        </w:rPr>
        <w:t xml:space="preserve">для категорий и типов транспортных средств, указанных в таблице № 4 приложения к Методике, приложении № 2 к Правилам № 1434 и приложении № 1 к ТР ТС 018/2011; </w:t>
      </w:r>
    </w:p>
    <w:p w:rsidR="00585C99" w:rsidRPr="00D32B1A" w:rsidRDefault="00585C99" w:rsidP="00585C99">
      <w:pPr>
        <w:autoSpaceDE w:val="0"/>
        <w:autoSpaceDN w:val="0"/>
        <w:adjustRightInd w:val="0"/>
        <w:spacing w:after="0" w:line="240" w:lineRule="auto"/>
        <w:ind w:firstLine="709"/>
        <w:jc w:val="both"/>
        <w:rPr>
          <w:rFonts w:eastAsia="Times New Roman"/>
          <w:szCs w:val="28"/>
        </w:rPr>
      </w:pPr>
      <w:r w:rsidRPr="00D32B1A">
        <w:rPr>
          <w:rFonts w:eastAsia="Times New Roman"/>
          <w:szCs w:val="28"/>
        </w:rPr>
        <w:t>-</w:t>
      </w:r>
      <w:r>
        <w:rPr>
          <w:rFonts w:eastAsia="Times New Roman"/>
          <w:szCs w:val="28"/>
        </w:rPr>
        <w:t xml:space="preserve"> </w:t>
      </w:r>
      <w:r w:rsidRPr="00D32B1A">
        <w:rPr>
          <w:rFonts w:eastAsia="Times New Roman"/>
          <w:szCs w:val="28"/>
        </w:rPr>
        <w:t xml:space="preserve">количества операторов технического осмотра транспортных средств, представивших по запросу департамента указанные в </w:t>
      </w:r>
      <w:hyperlink r:id="rId178" w:anchor="P50" w:history="1">
        <w:r w:rsidRPr="00D32B1A">
          <w:rPr>
            <w:rFonts w:eastAsia="Times New Roman"/>
            <w:szCs w:val="28"/>
          </w:rPr>
          <w:t>пункте 10</w:t>
        </w:r>
      </w:hyperlink>
      <w:r w:rsidRPr="00D32B1A">
        <w:rPr>
          <w:rFonts w:eastAsia="Times New Roman"/>
          <w:szCs w:val="28"/>
        </w:rPr>
        <w:t xml:space="preserve"> Методики предложения об установлении платы и обосновывающие материалы, не превышающего 50 % от общего количества операторов технического осмотра транспортных средств, зарегистрированных и аккредитованных в Новосибирской области на проведение техническог</w:t>
      </w:r>
      <w:r>
        <w:rPr>
          <w:rFonts w:eastAsia="Times New Roman"/>
          <w:szCs w:val="28"/>
        </w:rPr>
        <w:t>о осмотра транспортных средств</w:t>
      </w:r>
      <w:r w:rsidRPr="00D32B1A">
        <w:rPr>
          <w:rFonts w:eastAsia="Times New Roman"/>
          <w:szCs w:val="28"/>
        </w:rPr>
        <w:t>. Согласно сведениям «Российского союза автостраховщиков» в реестр операторов технического осмотра транспортных средств по Новосибирской области включено 73 оператора технического осмотра.</w:t>
      </w:r>
    </w:p>
    <w:p w:rsidR="00585C99" w:rsidRPr="0013096D" w:rsidRDefault="00585C99" w:rsidP="00585C99">
      <w:pPr>
        <w:pStyle w:val="a9"/>
        <w:spacing w:after="0"/>
        <w:ind w:left="0" w:firstLine="708"/>
        <w:jc w:val="both"/>
        <w:rPr>
          <w:rFonts w:eastAsia="MS Mincho"/>
          <w:sz w:val="28"/>
          <w:szCs w:val="28"/>
        </w:rPr>
      </w:pPr>
      <w:r w:rsidRPr="0013096D">
        <w:rPr>
          <w:rFonts w:eastAsia="MS Mincho"/>
          <w:sz w:val="28"/>
          <w:szCs w:val="28"/>
        </w:rPr>
        <w:t xml:space="preserve">С информацией по предельным размерам платы за проведение технического осмотра транспортных средств, установленным  постановлением Правительства Новосибирской области можно ознакомиться на официальном сайте департамента в информационно-телекоммуникационной сети «Интернет» </w:t>
      </w:r>
      <w:hyperlink r:id="rId179" w:history="1">
        <w:r w:rsidRPr="00142EF3">
          <w:rPr>
            <w:rStyle w:val="a3"/>
            <w:sz w:val="28"/>
            <w:szCs w:val="28"/>
          </w:rPr>
          <w:t>https://tarif.nso.ru/page/97</w:t>
        </w:r>
      </w:hyperlink>
      <w:r w:rsidRPr="00142EF3">
        <w:rPr>
          <w:rStyle w:val="a3"/>
          <w:sz w:val="28"/>
          <w:szCs w:val="28"/>
        </w:rPr>
        <w:t>.</w:t>
      </w:r>
    </w:p>
    <w:p w:rsidR="00585C99" w:rsidRDefault="00585C99"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Default="006B6130" w:rsidP="00585C99">
      <w:pPr>
        <w:pStyle w:val="ab"/>
        <w:tabs>
          <w:tab w:val="left" w:pos="708"/>
        </w:tabs>
        <w:jc w:val="both"/>
        <w:rPr>
          <w:szCs w:val="24"/>
        </w:rPr>
      </w:pPr>
    </w:p>
    <w:p w:rsidR="006B6130" w:rsidRPr="0013096D" w:rsidRDefault="006B6130" w:rsidP="00585C99">
      <w:pPr>
        <w:pStyle w:val="ab"/>
        <w:tabs>
          <w:tab w:val="left" w:pos="708"/>
        </w:tabs>
        <w:jc w:val="both"/>
        <w:rPr>
          <w:szCs w:val="24"/>
        </w:rPr>
      </w:pPr>
    </w:p>
    <w:p w:rsidR="00585C99" w:rsidRPr="000E026B" w:rsidRDefault="00585C99" w:rsidP="00585C99">
      <w:pPr>
        <w:pStyle w:val="20231"/>
      </w:pPr>
      <w:bookmarkStart w:id="132" w:name="_Toc162431959"/>
      <w:bookmarkStart w:id="133" w:name="_Toc193810587"/>
      <w:r w:rsidRPr="000E026B">
        <w:lastRenderedPageBreak/>
        <w:t>2.9. Государственное регулирование тарифов на социальные услуги</w:t>
      </w:r>
      <w:bookmarkEnd w:id="132"/>
      <w:bookmarkEnd w:id="133"/>
    </w:p>
    <w:p w:rsidR="00585C99" w:rsidRDefault="00585C99" w:rsidP="00585C99">
      <w:pPr>
        <w:pStyle w:val="a7"/>
        <w:tabs>
          <w:tab w:val="left" w:pos="709"/>
        </w:tabs>
        <w:ind w:firstLine="708"/>
      </w:pPr>
      <w:r w:rsidRPr="00874AB8">
        <w:t>В соответствии с Порядком утверждения тарифов на социальные услуги на основании подушевых но</w:t>
      </w:r>
      <w:r>
        <w:t>р</w:t>
      </w:r>
      <w:r w:rsidRPr="00874AB8">
        <w:t>мативов финансирования социальных услуг, установленным постановлением Правительства Новосибирской области от 30.12.2014 № 567-п, департамент</w:t>
      </w:r>
      <w:r>
        <w:t>ом</w:t>
      </w:r>
      <w:r w:rsidRPr="00874AB8">
        <w:t xml:space="preserve"> </w:t>
      </w:r>
      <w:r>
        <w:t xml:space="preserve">по обращению </w:t>
      </w:r>
      <w:r w:rsidRPr="00874AB8">
        <w:t>министерств</w:t>
      </w:r>
      <w:r>
        <w:t>а</w:t>
      </w:r>
      <w:r w:rsidRPr="00874AB8">
        <w:t xml:space="preserve"> труда и социального развития Новосибирской области</w:t>
      </w:r>
      <w:r>
        <w:t xml:space="preserve"> проведен </w:t>
      </w:r>
      <w:r w:rsidRPr="00BC4360">
        <w:t>расчет 477 тарифов по видам услуг (социально-бытовые, социально-медицинские, социально-педагогические и т.д.)</w:t>
      </w:r>
      <w:r w:rsidRPr="00005361">
        <w:t xml:space="preserve"> с учетом формы предоставления услуг (стационар, полустационар, на дому).</w:t>
      </w:r>
    </w:p>
    <w:p w:rsidR="00585C99" w:rsidRPr="00874AB8" w:rsidRDefault="00585C99" w:rsidP="00585C99">
      <w:pPr>
        <w:pStyle w:val="a7"/>
        <w:tabs>
          <w:tab w:val="left" w:pos="709"/>
        </w:tabs>
        <w:ind w:firstLine="708"/>
        <w:rPr>
          <w:szCs w:val="28"/>
        </w:rPr>
      </w:pPr>
      <w:r>
        <w:rPr>
          <w:szCs w:val="28"/>
        </w:rPr>
        <w:tab/>
      </w:r>
      <w:r w:rsidRPr="00874AB8">
        <w:rPr>
          <w:szCs w:val="28"/>
        </w:rPr>
        <w:t>С 01.01.2025 года приказом департамента от 10.12.2024 № 342-ТС/НПА установлены предельные максимальные тарифы на социальные услуги, предоставляемые поставщиками социальных услуг получателям социальных услуг на территории Новосибирской области, и признаны утратившими силу приказы департамента от 05.12.2023 № 415-ТС/НПА, от 02.04.2024 № 71-ТС/НПА.</w:t>
      </w:r>
    </w:p>
    <w:p w:rsidR="00585C99" w:rsidRPr="00874AB8" w:rsidRDefault="00585C99" w:rsidP="00585C99">
      <w:pPr>
        <w:pStyle w:val="a7"/>
        <w:ind w:firstLine="708"/>
        <w:rPr>
          <w:szCs w:val="28"/>
        </w:rPr>
      </w:pPr>
      <w:r w:rsidRPr="00874AB8">
        <w:rPr>
          <w:szCs w:val="28"/>
        </w:rPr>
        <w:t>Установленные тарифы на социальные услуги, оказываемые территории Новосибирской области, сформированы в рамках:</w:t>
      </w:r>
    </w:p>
    <w:p w:rsidR="00585C99" w:rsidRPr="00874AB8" w:rsidRDefault="00585C99" w:rsidP="00585C99">
      <w:pPr>
        <w:autoSpaceDE w:val="0"/>
        <w:autoSpaceDN w:val="0"/>
        <w:adjustRightInd w:val="0"/>
        <w:spacing w:after="0" w:line="240" w:lineRule="auto"/>
        <w:ind w:firstLine="708"/>
        <w:jc w:val="both"/>
        <w:rPr>
          <w:szCs w:val="28"/>
        </w:rPr>
      </w:pPr>
      <w:r w:rsidRPr="00874AB8">
        <w:rPr>
          <w:szCs w:val="28"/>
        </w:rPr>
        <w:t>- перечня социальных услуг, установленного законом Новосибирской области от 18.12.2014 № 499-ОЗ «Об отдельных вопросах организации социального обслуживания граждан в Новосибирской области»;</w:t>
      </w:r>
    </w:p>
    <w:p w:rsidR="00585C99" w:rsidRPr="00874AB8" w:rsidRDefault="00585C99" w:rsidP="00585C99">
      <w:pPr>
        <w:pStyle w:val="a7"/>
        <w:ind w:firstLine="708"/>
        <w:rPr>
          <w:szCs w:val="28"/>
        </w:rPr>
      </w:pPr>
      <w:r w:rsidRPr="00874AB8">
        <w:t>- методических рекомендаций по расчету подушевых нормативов финансирования социальных услуг, утвержденным постановлением Правительства РФ от 01.12.</w:t>
      </w:r>
      <w:r w:rsidRPr="00874AB8">
        <w:rPr>
          <w:szCs w:val="28"/>
        </w:rPr>
        <w:t>2014 № 1285 «О расчете подушевых нормативов финансирования социальных услуг»;</w:t>
      </w:r>
    </w:p>
    <w:p w:rsidR="00585C99" w:rsidRPr="00874AB8" w:rsidRDefault="00585C99" w:rsidP="00585C99">
      <w:pPr>
        <w:pStyle w:val="a7"/>
        <w:ind w:firstLine="708"/>
        <w:rPr>
          <w:szCs w:val="28"/>
        </w:rPr>
      </w:pPr>
      <w:r w:rsidRPr="00874AB8">
        <w:rPr>
          <w:szCs w:val="28"/>
        </w:rPr>
        <w:t xml:space="preserve">- прогнозного показателя инфляции Минэкономразвития социально-экономического развития Российской Федерации на 2025 год </w:t>
      </w:r>
      <w:r w:rsidRPr="00874AB8">
        <w:rPr>
          <w:snapToGrid w:val="0"/>
          <w:szCs w:val="28"/>
        </w:rPr>
        <w:t>и плановый период 2026 и 2027 годов</w:t>
      </w:r>
      <w:r w:rsidRPr="00874AB8">
        <w:rPr>
          <w:szCs w:val="28"/>
        </w:rPr>
        <w:t>, одобренного на заседании Правительства Российской Федерации 30.09.2024, где индекс потребительских цен на 2025 год состав</w:t>
      </w:r>
      <w:r>
        <w:rPr>
          <w:szCs w:val="28"/>
        </w:rPr>
        <w:t>ил</w:t>
      </w:r>
      <w:r w:rsidRPr="00874AB8">
        <w:rPr>
          <w:szCs w:val="28"/>
        </w:rPr>
        <w:t xml:space="preserve"> 1,058.</w:t>
      </w:r>
    </w:p>
    <w:p w:rsidR="00585C99" w:rsidRPr="00874AB8" w:rsidRDefault="00585C99" w:rsidP="00585C99">
      <w:pPr>
        <w:pStyle w:val="ab"/>
        <w:tabs>
          <w:tab w:val="left" w:pos="708"/>
        </w:tabs>
        <w:ind w:firstLine="709"/>
        <w:jc w:val="both"/>
        <w:rPr>
          <w:rStyle w:val="a3"/>
          <w:szCs w:val="28"/>
        </w:rPr>
      </w:pPr>
      <w:r w:rsidRPr="00874AB8">
        <w:rPr>
          <w:szCs w:val="28"/>
        </w:rPr>
        <w:t xml:space="preserve">С информацией о тарифах на социальные услуги можно ознакомиться </w:t>
      </w:r>
      <w:r w:rsidRPr="00874AB8">
        <w:rPr>
          <w:rFonts w:ascii="Times New Roman CYR" w:hAnsi="Times New Roman CYR" w:cs="Times New Roman CYR"/>
          <w:szCs w:val="28"/>
        </w:rPr>
        <w:t>на официальном сайте департамента в информационно-телекоммуникационной сети «Интернет»</w:t>
      </w:r>
      <w:r w:rsidRPr="00874AB8">
        <w:t xml:space="preserve"> </w:t>
      </w:r>
      <w:hyperlink r:id="rId180" w:history="1">
        <w:r w:rsidRPr="00874AB8">
          <w:rPr>
            <w:rStyle w:val="a3"/>
            <w:szCs w:val="28"/>
          </w:rPr>
          <w:t>https://tarif.nso.ru/page/102</w:t>
        </w:r>
      </w:hyperlink>
      <w:r w:rsidRPr="00874AB8">
        <w:rPr>
          <w:rStyle w:val="a3"/>
          <w:szCs w:val="28"/>
        </w:rPr>
        <w:t>.</w:t>
      </w:r>
    </w:p>
    <w:p w:rsidR="00585C99" w:rsidRPr="008C1F19" w:rsidRDefault="00585C99" w:rsidP="00585C99">
      <w:pPr>
        <w:pStyle w:val="a9"/>
        <w:spacing w:after="0"/>
        <w:ind w:firstLine="425"/>
        <w:jc w:val="both"/>
        <w:rPr>
          <w:b/>
          <w:color w:val="0070C0"/>
          <w:sz w:val="28"/>
          <w:szCs w:val="28"/>
          <w:u w:val="single"/>
        </w:rPr>
      </w:pPr>
    </w:p>
    <w:p w:rsidR="006B6130" w:rsidRDefault="006B6130" w:rsidP="00585C99">
      <w:pPr>
        <w:pStyle w:val="20231"/>
      </w:pPr>
      <w:bookmarkStart w:id="134" w:name="_Toc162431960"/>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585C99" w:rsidRPr="006B6130" w:rsidRDefault="00585C99" w:rsidP="00201A7D">
      <w:pPr>
        <w:pStyle w:val="4"/>
      </w:pPr>
      <w:bookmarkStart w:id="135" w:name="_Toc193810588"/>
      <w:r w:rsidRPr="008C1F19">
        <w:lastRenderedPageBreak/>
        <w:t>2</w:t>
      </w:r>
      <w:r w:rsidRPr="006B6130">
        <w:t>.</w:t>
      </w:r>
      <w:r w:rsidR="00201A7D">
        <w:t>9.1</w:t>
      </w:r>
      <w:r w:rsidRPr="006B6130">
        <w:t>. Стоимость услуг, предоставляемых согласно гарантированному перечню услуг по погребению</w:t>
      </w:r>
      <w:bookmarkEnd w:id="134"/>
      <w:bookmarkEnd w:id="135"/>
    </w:p>
    <w:p w:rsidR="00585C99" w:rsidRDefault="00585C99" w:rsidP="00585C99">
      <w:pPr>
        <w:spacing w:after="0" w:line="240" w:lineRule="auto"/>
        <w:ind w:firstLine="709"/>
        <w:jc w:val="both"/>
        <w:rPr>
          <w:rFonts w:eastAsia="Calibri"/>
          <w:szCs w:val="28"/>
        </w:rPr>
      </w:pPr>
      <w:r w:rsidRPr="008F72EA">
        <w:rPr>
          <w:szCs w:val="28"/>
        </w:rPr>
        <w:t>В соответствии с частью 3 статьи 9, 12 Федерального закона от 12.01.1996 № 8-ФЗ «</w:t>
      </w:r>
      <w:r w:rsidRPr="008F72EA">
        <w:rPr>
          <w:rFonts w:eastAsia="Calibri"/>
          <w:szCs w:val="28"/>
        </w:rPr>
        <w:t>О погребении и похоронном деле» в 202</w:t>
      </w:r>
      <w:r>
        <w:rPr>
          <w:rFonts w:eastAsia="Calibri"/>
          <w:szCs w:val="28"/>
        </w:rPr>
        <w:t>4</w:t>
      </w:r>
      <w:r w:rsidRPr="008F72EA">
        <w:rPr>
          <w:rFonts w:eastAsia="Calibri"/>
          <w:szCs w:val="28"/>
        </w:rPr>
        <w:t xml:space="preserve"> году решением заседания правления департамента проведено согласование </w:t>
      </w:r>
      <w:r>
        <w:rPr>
          <w:rFonts w:eastAsia="Calibri"/>
          <w:szCs w:val="28"/>
        </w:rPr>
        <w:t>с</w:t>
      </w:r>
      <w:r w:rsidRPr="008F72EA">
        <w:rPr>
          <w:szCs w:val="28"/>
        </w:rPr>
        <w:t>тоимости услуг</w:t>
      </w:r>
      <w:r>
        <w:rPr>
          <w:szCs w:val="28"/>
        </w:rPr>
        <w:t xml:space="preserve"> </w:t>
      </w:r>
      <w:r w:rsidRPr="007A5233">
        <w:rPr>
          <w:rFonts w:eastAsia="Calibri"/>
          <w:szCs w:val="28"/>
        </w:rPr>
        <w:t>по 1</w:t>
      </w:r>
      <w:r>
        <w:rPr>
          <w:rFonts w:eastAsia="Calibri"/>
          <w:szCs w:val="28"/>
        </w:rPr>
        <w:t>9</w:t>
      </w:r>
      <w:r w:rsidRPr="007A5233">
        <w:rPr>
          <w:rFonts w:eastAsia="Calibri"/>
          <w:szCs w:val="28"/>
        </w:rPr>
        <w:t>0</w:t>
      </w:r>
      <w:r>
        <w:rPr>
          <w:rFonts w:eastAsia="Calibri"/>
          <w:szCs w:val="28"/>
        </w:rPr>
        <w:t xml:space="preserve"> муниципальным образованиям</w:t>
      </w:r>
      <w:r w:rsidRPr="000E026B">
        <w:rPr>
          <w:rFonts w:eastAsia="Calibri"/>
          <w:szCs w:val="28"/>
        </w:rPr>
        <w:t xml:space="preserve"> </w:t>
      </w:r>
      <w:r w:rsidRPr="007A5233">
        <w:rPr>
          <w:rFonts w:eastAsia="Calibri"/>
          <w:szCs w:val="28"/>
        </w:rPr>
        <w:t>в отношении:</w:t>
      </w:r>
    </w:p>
    <w:p w:rsidR="00585C99" w:rsidRPr="006B6130" w:rsidRDefault="00585C99" w:rsidP="00585C99">
      <w:pPr>
        <w:spacing w:after="0" w:line="240" w:lineRule="auto"/>
        <w:ind w:firstLine="709"/>
        <w:jc w:val="both"/>
        <w:rPr>
          <w:i/>
          <w:color w:val="000000" w:themeColor="text1"/>
          <w:szCs w:val="28"/>
        </w:rPr>
      </w:pPr>
      <w:r w:rsidRPr="006B6130">
        <w:rPr>
          <w:i/>
          <w:color w:val="000000" w:themeColor="text1"/>
          <w:szCs w:val="28"/>
        </w:rPr>
        <w:t>Стоимости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 иных лиц, взявших на себя обязанности по погребению умершего, в том числе по следующим видам услуг:</w:t>
      </w:r>
    </w:p>
    <w:p w:rsidR="00585C99" w:rsidRPr="008F72EA" w:rsidRDefault="00585C99" w:rsidP="00585C99">
      <w:pPr>
        <w:spacing w:after="0" w:line="240" w:lineRule="auto"/>
        <w:ind w:firstLine="709"/>
        <w:jc w:val="both"/>
        <w:rPr>
          <w:szCs w:val="28"/>
        </w:rPr>
      </w:pPr>
      <w:r>
        <w:rPr>
          <w:szCs w:val="28"/>
        </w:rPr>
        <w:t xml:space="preserve">- </w:t>
      </w:r>
      <w:r w:rsidRPr="008F72EA">
        <w:rPr>
          <w:szCs w:val="28"/>
        </w:rPr>
        <w:t>оформление документов, необходимых для погребения;</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предоставление и доставка гроба и других предметов, необходимых для погребения;</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перевозка тела (останков) умершего на кладбище (в крематорий);</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погребение (кремация с последующей выдачей урны с прахом).</w:t>
      </w:r>
    </w:p>
    <w:p w:rsidR="00585C99" w:rsidRPr="00BD2CAD" w:rsidRDefault="00585C99" w:rsidP="00585C99">
      <w:pPr>
        <w:spacing w:after="0" w:line="240" w:lineRule="auto"/>
        <w:ind w:firstLine="709"/>
        <w:jc w:val="both"/>
        <w:rPr>
          <w:i/>
          <w:szCs w:val="28"/>
        </w:rPr>
      </w:pPr>
      <w:r w:rsidRPr="00BD2CAD">
        <w:rPr>
          <w:i/>
          <w:szCs w:val="28"/>
        </w:rPr>
        <w:t>Стоимости услуг, предоставляемых согласно гарантированному перечню услуг по погребению умерших (в том числе реабилитированных) лиц, в том числе по следующим видам услуг:</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оформление документов, необходимых для погребения;</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облачение тела;</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предоставление гроба;</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перевозку умершего на кладбище (в крематорий);</w:t>
      </w:r>
    </w:p>
    <w:p w:rsidR="00585C99" w:rsidRPr="008F72EA" w:rsidRDefault="00585C99" w:rsidP="00585C99">
      <w:pPr>
        <w:autoSpaceDE w:val="0"/>
        <w:autoSpaceDN w:val="0"/>
        <w:adjustRightInd w:val="0"/>
        <w:spacing w:after="0" w:line="240" w:lineRule="auto"/>
        <w:ind w:firstLine="709"/>
        <w:jc w:val="both"/>
        <w:rPr>
          <w:szCs w:val="28"/>
        </w:rPr>
      </w:pPr>
      <w:r>
        <w:rPr>
          <w:szCs w:val="28"/>
        </w:rPr>
        <w:t xml:space="preserve">- </w:t>
      </w:r>
      <w:r w:rsidRPr="008F72EA">
        <w:rPr>
          <w:szCs w:val="28"/>
        </w:rPr>
        <w:t>погребение.</w:t>
      </w:r>
    </w:p>
    <w:p w:rsidR="00585C99" w:rsidRDefault="00585C99" w:rsidP="00585C99">
      <w:pPr>
        <w:spacing w:after="0" w:line="240" w:lineRule="auto"/>
        <w:ind w:firstLine="709"/>
        <w:jc w:val="both"/>
        <w:rPr>
          <w:rFonts w:eastAsia="Calibri"/>
          <w:szCs w:val="28"/>
        </w:rPr>
      </w:pPr>
      <w:r>
        <w:rPr>
          <w:szCs w:val="28"/>
        </w:rPr>
        <w:t xml:space="preserve">Согласование проведено </w:t>
      </w:r>
      <w:r w:rsidRPr="008F72EA">
        <w:rPr>
          <w:rFonts w:eastAsia="Calibri"/>
          <w:szCs w:val="28"/>
        </w:rPr>
        <w:t xml:space="preserve">посредством сбора и анализа шаблона SOC.POGR.RAS.6.54 «Расчет стоимости услуг по погребению, </w:t>
      </w:r>
      <w:r w:rsidRPr="008F72EA">
        <w:rPr>
          <w:szCs w:val="28"/>
        </w:rPr>
        <w:t>предоставляемых согласно гарантированному перечню услуг по погребению умершего</w:t>
      </w:r>
      <w:r w:rsidRPr="008F72EA">
        <w:rPr>
          <w:rFonts w:eastAsia="Calibri"/>
          <w:szCs w:val="28"/>
        </w:rPr>
        <w:t xml:space="preserve">» регионального сегмента ЕИАС-мониторинг </w:t>
      </w:r>
      <w:r w:rsidRPr="007A5233">
        <w:rPr>
          <w:rFonts w:eastAsia="Calibri"/>
          <w:szCs w:val="28"/>
        </w:rPr>
        <w:t>Новосибирской области</w:t>
      </w:r>
      <w:r>
        <w:rPr>
          <w:rFonts w:eastAsia="Calibri"/>
          <w:szCs w:val="28"/>
        </w:rPr>
        <w:t>.</w:t>
      </w:r>
    </w:p>
    <w:p w:rsidR="00585C99" w:rsidRPr="008C1F19" w:rsidRDefault="00585C99" w:rsidP="00585C99">
      <w:pPr>
        <w:spacing w:after="0" w:line="240" w:lineRule="auto"/>
        <w:ind w:firstLine="709"/>
        <w:jc w:val="both"/>
        <w:rPr>
          <w:rStyle w:val="a3"/>
          <w:color w:val="0070C0"/>
          <w:szCs w:val="28"/>
        </w:rPr>
      </w:pPr>
    </w:p>
    <w:p w:rsidR="006B6130" w:rsidRDefault="006B6130" w:rsidP="00585C99">
      <w:pPr>
        <w:pStyle w:val="20231"/>
      </w:pPr>
      <w:bookmarkStart w:id="136" w:name="_Toc162431961"/>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6B6130" w:rsidRDefault="006B6130" w:rsidP="00585C99">
      <w:pPr>
        <w:pStyle w:val="20231"/>
      </w:pPr>
    </w:p>
    <w:p w:rsidR="00585C99" w:rsidRDefault="00585C99" w:rsidP="00201A7D">
      <w:pPr>
        <w:pStyle w:val="4"/>
      </w:pPr>
      <w:bookmarkStart w:id="137" w:name="_Toc193810589"/>
      <w:r w:rsidRPr="008C1F19">
        <w:lastRenderedPageBreak/>
        <w:t>2.</w:t>
      </w:r>
      <w:r w:rsidR="00201A7D">
        <w:t>9</w:t>
      </w:r>
      <w:r w:rsidRPr="008C1F19">
        <w:t>.</w:t>
      </w:r>
      <w:r w:rsidR="00201A7D">
        <w:t>2.</w:t>
      </w:r>
      <w:r w:rsidRPr="008C1F19">
        <w:t xml:space="preserve"> Регулирование предельных оптовых и розничных надбавок к фактическим отпускным ценам производителей на жизненно необходимые и важнейшие лекарственные препараты</w:t>
      </w:r>
      <w:bookmarkEnd w:id="136"/>
      <w:bookmarkEnd w:id="137"/>
    </w:p>
    <w:p w:rsidR="00585C99" w:rsidRDefault="00585C99" w:rsidP="00585C99">
      <w:pPr>
        <w:pStyle w:val="ab"/>
        <w:tabs>
          <w:tab w:val="left" w:pos="708"/>
        </w:tabs>
        <w:ind w:firstLine="709"/>
        <w:jc w:val="both"/>
        <w:rPr>
          <w:szCs w:val="28"/>
        </w:rPr>
      </w:pPr>
      <w:r w:rsidRPr="00874AB8">
        <w:rPr>
          <w:szCs w:val="28"/>
        </w:rPr>
        <w:t>Действующие с 11.10.2021 года на территории Новосибирской области предельные размеры оптовых надбавок и предельных размеров розничных надбавок на лекарственные препараты, включенные в перечень ЖНВЛП, установлены приказом департамента от 20.09.2021 № 165-ТС «Об установлении предельных размеров оптовых надбавок и предельных размеров розничных надбавок к фактическим отпускным ценам (без учета налога на добавленную стоимость),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утвержденный Правительством Российской Федерации, реализуемые на территории Новосибирской области» в разрезе ценовых групп</w:t>
      </w:r>
      <w:r>
        <w:rPr>
          <w:szCs w:val="28"/>
        </w:rPr>
        <w:t>.</w:t>
      </w:r>
    </w:p>
    <w:p w:rsidR="00585C99" w:rsidRDefault="00585C99" w:rsidP="00585C99">
      <w:pPr>
        <w:pStyle w:val="ab"/>
        <w:tabs>
          <w:tab w:val="left" w:pos="708"/>
        </w:tabs>
        <w:ind w:firstLine="709"/>
        <w:jc w:val="both"/>
        <w:rPr>
          <w:szCs w:val="28"/>
        </w:rPr>
      </w:pPr>
      <w:r w:rsidRPr="00874AB8">
        <w:rPr>
          <w:szCs w:val="28"/>
        </w:rPr>
        <w:t xml:space="preserve">В соответствии с приказом Федеральной антимонопольной службы от 09.09.2020 № 820/20 «Об утверждении методики установления органами исполнительной власти субъектов Российской Федерации предельных размеров оптовых надбавок и предельных размеров розничных надбавок к фактическим отпускным ценам,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департаментом проведен </w:t>
      </w:r>
      <w:r>
        <w:rPr>
          <w:szCs w:val="28"/>
        </w:rPr>
        <w:t xml:space="preserve">обязательный ежегодный </w:t>
      </w:r>
      <w:r w:rsidRPr="00874AB8">
        <w:rPr>
          <w:szCs w:val="28"/>
        </w:rPr>
        <w:t>экономический анализ предельных размеров оптовых надбавок и предельных размеров розничных надбавок, действующих на территории Новосибирской области, и их влияни</w:t>
      </w:r>
      <w:r>
        <w:rPr>
          <w:szCs w:val="28"/>
        </w:rPr>
        <w:t>е</w:t>
      </w:r>
      <w:r w:rsidRPr="00874AB8">
        <w:rPr>
          <w:szCs w:val="28"/>
        </w:rPr>
        <w:t xml:space="preserve"> на </w:t>
      </w:r>
      <w:r w:rsidRPr="000E026B">
        <w:rPr>
          <w:szCs w:val="28"/>
        </w:rPr>
        <w:t xml:space="preserve">результаты финансово-экономического состояния 69 организаций оптовой и розничной торговли, </w:t>
      </w:r>
      <w:r w:rsidRPr="000E026B">
        <w:t>имевших действующую лицензию на осуществление фармацевтической деятельности в регионе</w:t>
      </w:r>
      <w:r w:rsidRPr="000E026B">
        <w:rPr>
          <w:szCs w:val="28"/>
        </w:rPr>
        <w:t xml:space="preserve"> и осуществлявших реализацию ЖНВЛП в</w:t>
      </w:r>
      <w:r>
        <w:rPr>
          <w:szCs w:val="28"/>
        </w:rPr>
        <w:t xml:space="preserve"> отчетном периоде регулирования. </w:t>
      </w:r>
    </w:p>
    <w:p w:rsidR="00585C99" w:rsidRDefault="00585C99" w:rsidP="00585C99">
      <w:pPr>
        <w:pStyle w:val="ab"/>
        <w:tabs>
          <w:tab w:val="left" w:pos="708"/>
        </w:tabs>
        <w:ind w:firstLine="709"/>
        <w:jc w:val="both"/>
        <w:rPr>
          <w:szCs w:val="28"/>
        </w:rPr>
      </w:pPr>
      <w:r>
        <w:rPr>
          <w:szCs w:val="28"/>
        </w:rPr>
        <w:t>Расчет надбавок, ан</w:t>
      </w:r>
      <w:r w:rsidRPr="001076A1">
        <w:rPr>
          <w:szCs w:val="28"/>
        </w:rPr>
        <w:t xml:space="preserve">ализ </w:t>
      </w:r>
      <w:r>
        <w:rPr>
          <w:szCs w:val="28"/>
        </w:rPr>
        <w:t xml:space="preserve">действующих </w:t>
      </w:r>
      <w:r w:rsidRPr="001076A1">
        <w:rPr>
          <w:szCs w:val="28"/>
        </w:rPr>
        <w:t>проведен путем сбора шаблонов Федеральной государственной информационной системы «Единая информационно-аналитическая система».</w:t>
      </w:r>
    </w:p>
    <w:p w:rsidR="00585C99" w:rsidRDefault="00585C99" w:rsidP="00585C99">
      <w:pPr>
        <w:pStyle w:val="ab"/>
        <w:tabs>
          <w:tab w:val="left" w:pos="708"/>
        </w:tabs>
        <w:ind w:firstLine="709"/>
        <w:jc w:val="both"/>
        <w:rPr>
          <w:szCs w:val="28"/>
        </w:rPr>
      </w:pPr>
      <w:r w:rsidRPr="001076A1">
        <w:rPr>
          <w:szCs w:val="28"/>
        </w:rPr>
        <w:t>По результатам проведенного экономического анализа в ФАС Р</w:t>
      </w:r>
      <w:r w:rsidR="00184C22">
        <w:rPr>
          <w:szCs w:val="28"/>
        </w:rPr>
        <w:t>оссии</w:t>
      </w:r>
      <w:r w:rsidRPr="001076A1">
        <w:rPr>
          <w:szCs w:val="28"/>
        </w:rPr>
        <w:t xml:space="preserve"> направлен сводный отчетный шаблон </w:t>
      </w:r>
      <w:hyperlink r:id="rId181" w:tgtFrame="_blank" w:history="1">
        <w:r w:rsidRPr="001076A1">
          <w:rPr>
            <w:szCs w:val="28"/>
          </w:rPr>
          <w:t>SUMMARY.NADB.JNVLP.2023</w:t>
        </w:r>
      </w:hyperlink>
      <w:r w:rsidRPr="001076A1">
        <w:rPr>
          <w:szCs w:val="28"/>
        </w:rPr>
        <w:t>, пояснительная записка о влиянии установленных размеров оптовых и розничных надбавок на финансово-экономическое состояние организаций оптовой торговли и организаций розничной торговли, осуществляющих регулируемые виды деятельности; и отсутствия необходимости пересмотра установленных предельных размеров оптовых надбавок и предельных розничных надбавок к фактическим отпускным ценам.</w:t>
      </w:r>
    </w:p>
    <w:p w:rsidR="00585C99" w:rsidRDefault="00585C99" w:rsidP="00585C99">
      <w:pPr>
        <w:pStyle w:val="ab"/>
        <w:tabs>
          <w:tab w:val="left" w:pos="708"/>
        </w:tabs>
        <w:ind w:firstLine="709"/>
        <w:jc w:val="both"/>
        <w:rPr>
          <w:rStyle w:val="a3"/>
          <w:szCs w:val="28"/>
        </w:rPr>
      </w:pPr>
      <w:r w:rsidRPr="00874AB8">
        <w:rPr>
          <w:szCs w:val="28"/>
        </w:rPr>
        <w:t xml:space="preserve">С информацией о предельных размерах оптовых надбавок и предельных размерах розничных надбавок к фактическим отпускным ценам (без учета налога на добавленную стоимость),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утвержденный Правительством РФ, реализуемые на территории </w:t>
      </w:r>
      <w:r w:rsidRPr="00874AB8">
        <w:rPr>
          <w:szCs w:val="28"/>
        </w:rPr>
        <w:lastRenderedPageBreak/>
        <w:t xml:space="preserve">Новосибирской области, можно ознакомиться </w:t>
      </w:r>
      <w:r w:rsidRPr="00874AB8">
        <w:rPr>
          <w:rFonts w:ascii="Times New Roman CYR" w:hAnsi="Times New Roman CYR" w:cs="Times New Roman CYR"/>
          <w:szCs w:val="28"/>
        </w:rPr>
        <w:t>на официальном сайте департамента в информационно-телекоммуникационной сети «Интернет»</w:t>
      </w:r>
      <w:r w:rsidRPr="00874AB8">
        <w:t xml:space="preserve"> </w:t>
      </w:r>
      <w:hyperlink r:id="rId182" w:history="1">
        <w:r w:rsidRPr="00874AB8">
          <w:rPr>
            <w:rStyle w:val="a3"/>
            <w:szCs w:val="28"/>
          </w:rPr>
          <w:t>https://tarif.nso.ru/page/101</w:t>
        </w:r>
      </w:hyperlink>
      <w:r w:rsidRPr="00874AB8">
        <w:rPr>
          <w:rStyle w:val="a3"/>
          <w:szCs w:val="28"/>
        </w:rPr>
        <w:t>.</w:t>
      </w:r>
    </w:p>
    <w:p w:rsidR="00585C99" w:rsidRDefault="00585C99" w:rsidP="00585C99">
      <w:pPr>
        <w:pStyle w:val="ab"/>
        <w:tabs>
          <w:tab w:val="left" w:pos="708"/>
        </w:tabs>
        <w:ind w:firstLine="709"/>
        <w:jc w:val="both"/>
        <w:rPr>
          <w:szCs w:val="28"/>
        </w:rPr>
      </w:pPr>
      <w:r>
        <w:rPr>
          <w:szCs w:val="28"/>
        </w:rPr>
        <w:t xml:space="preserve">В соответствии с Федеральным законом от 12.07.2024 № 176-ФЗ </w:t>
      </w:r>
      <w:r>
        <w:rPr>
          <w:rFonts w:eastAsiaTheme="minorHAnsi"/>
          <w:szCs w:val="28"/>
          <w:lang w:eastAsia="en-US"/>
        </w:rPr>
        <w:t>«О внесении изменений в части первую и вторую Налогового кодекса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 и</w:t>
      </w:r>
      <w:r>
        <w:rPr>
          <w:szCs w:val="28"/>
        </w:rPr>
        <w:t xml:space="preserve">зменились подходы к формированию отпускных цен на лекарственные препараты ЖНВЛП. С учетом новых требований, с 01.01.2025 года организации, применяющие упрощенную систему налогообложения, становятся плательщиками НДС. </w:t>
      </w:r>
    </w:p>
    <w:p w:rsidR="00585C99" w:rsidRDefault="00585C99" w:rsidP="00585C99">
      <w:pPr>
        <w:pStyle w:val="ab"/>
        <w:tabs>
          <w:tab w:val="left" w:pos="708"/>
        </w:tabs>
        <w:ind w:firstLine="709"/>
        <w:jc w:val="both"/>
        <w:rPr>
          <w:szCs w:val="28"/>
        </w:rPr>
      </w:pPr>
      <w:r>
        <w:rPr>
          <w:szCs w:val="28"/>
        </w:rPr>
        <w:t xml:space="preserve">В </w:t>
      </w:r>
      <w:r w:rsidRPr="00874AB8">
        <w:rPr>
          <w:szCs w:val="28"/>
        </w:rPr>
        <w:t>Реестр предельных оптовых и розничных цен на ЖНВЛП</w:t>
      </w:r>
      <w:r>
        <w:rPr>
          <w:szCs w:val="28"/>
        </w:rPr>
        <w:t>, реализуемые на территории Новосибирской области (далее – Реестр)</w:t>
      </w:r>
      <w:r w:rsidRPr="00874AB8">
        <w:rPr>
          <w:szCs w:val="28"/>
        </w:rPr>
        <w:t>,</w:t>
      </w:r>
      <w:r>
        <w:rPr>
          <w:szCs w:val="28"/>
        </w:rPr>
        <w:t xml:space="preserve"> внесены </w:t>
      </w:r>
      <w:r w:rsidRPr="00825B37">
        <w:rPr>
          <w:szCs w:val="28"/>
        </w:rPr>
        <w:t>соответствующие изменения, учитывающие порядок формирования предельных отпускных цен на ЖНВЛП для всех категорий организаций на УСН. В связи</w:t>
      </w:r>
      <w:r>
        <w:rPr>
          <w:szCs w:val="28"/>
        </w:rPr>
        <w:t xml:space="preserve">, </w:t>
      </w:r>
      <w:r w:rsidRPr="00825B37">
        <w:rPr>
          <w:szCs w:val="28"/>
        </w:rPr>
        <w:t>с чем увеличилось число расчетных</w:t>
      </w:r>
      <w:r>
        <w:rPr>
          <w:szCs w:val="28"/>
        </w:rPr>
        <w:t xml:space="preserve"> данных о цене лекарственных препаратов (с 5 до 23).</w:t>
      </w:r>
    </w:p>
    <w:p w:rsidR="00585C99" w:rsidRDefault="00585C99" w:rsidP="00585C99">
      <w:pPr>
        <w:pStyle w:val="ab"/>
        <w:tabs>
          <w:tab w:val="left" w:pos="708"/>
        </w:tabs>
        <w:ind w:firstLine="709"/>
        <w:jc w:val="both"/>
        <w:rPr>
          <w:rStyle w:val="a3"/>
          <w:szCs w:val="28"/>
        </w:rPr>
      </w:pPr>
      <w:r w:rsidRPr="00DB5644">
        <w:rPr>
          <w:szCs w:val="28"/>
        </w:rPr>
        <w:t xml:space="preserve">Согласно статьи 63 </w:t>
      </w:r>
      <w:r w:rsidRPr="00DB5644">
        <w:rPr>
          <w:rFonts w:eastAsiaTheme="minorHAnsi"/>
          <w:szCs w:val="28"/>
          <w:lang w:eastAsia="en-US"/>
        </w:rPr>
        <w:t xml:space="preserve">Федерального закона от 12.04.2010 № 61-ФЗ «Об обращении лекарственных средств» </w:t>
      </w:r>
      <w:r w:rsidRPr="00DB5644">
        <w:rPr>
          <w:szCs w:val="28"/>
        </w:rPr>
        <w:t xml:space="preserve">Реестр обновляется ежедневно и публикуется на официальном </w:t>
      </w:r>
      <w:r w:rsidRPr="006613D7">
        <w:rPr>
          <w:szCs w:val="28"/>
        </w:rPr>
        <w:t>сайте департамента в информационно</w:t>
      </w:r>
      <w:r w:rsidRPr="00874AB8">
        <w:rPr>
          <w:szCs w:val="28"/>
        </w:rPr>
        <w:t>-телекоммуникационной сети «Интернет»</w:t>
      </w:r>
      <w:r w:rsidRPr="00874AB8">
        <w:rPr>
          <w:rStyle w:val="a3"/>
          <w:szCs w:val="28"/>
        </w:rPr>
        <w:t xml:space="preserve"> </w:t>
      </w:r>
      <w:hyperlink r:id="rId183" w:history="1">
        <w:r w:rsidRPr="00874AB8">
          <w:rPr>
            <w:rStyle w:val="a3"/>
            <w:szCs w:val="28"/>
          </w:rPr>
          <w:t>https://tarif.nso.ru/page/36</w:t>
        </w:r>
      </w:hyperlink>
      <w:r w:rsidRPr="00874AB8">
        <w:rPr>
          <w:rStyle w:val="a3"/>
          <w:szCs w:val="28"/>
        </w:rPr>
        <w:t>.</w:t>
      </w:r>
    </w:p>
    <w:p w:rsidR="00585C99" w:rsidRDefault="00585C99" w:rsidP="00585C99">
      <w:pPr>
        <w:pStyle w:val="ab"/>
        <w:tabs>
          <w:tab w:val="left" w:pos="708"/>
        </w:tabs>
        <w:ind w:firstLine="709"/>
        <w:jc w:val="both"/>
        <w:rPr>
          <w:color w:val="0070C0"/>
          <w:szCs w:val="28"/>
        </w:rPr>
      </w:pPr>
    </w:p>
    <w:p w:rsidR="00184C22" w:rsidRDefault="00184C22" w:rsidP="00585C99">
      <w:pPr>
        <w:pStyle w:val="20231"/>
      </w:pPr>
      <w:bookmarkStart w:id="138" w:name="_Toc162431962"/>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201A7D" w:rsidRDefault="00201A7D"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184C22" w:rsidRDefault="00184C22" w:rsidP="00585C99">
      <w:pPr>
        <w:pStyle w:val="20231"/>
      </w:pPr>
    </w:p>
    <w:p w:rsidR="00585C99" w:rsidRPr="008C1F19" w:rsidRDefault="00585C99" w:rsidP="00585C99">
      <w:pPr>
        <w:pStyle w:val="20231"/>
      </w:pPr>
      <w:bookmarkStart w:id="139" w:name="_Toc193810590"/>
      <w:r w:rsidRPr="008C1F19">
        <w:lastRenderedPageBreak/>
        <w:t>2.1</w:t>
      </w:r>
      <w:r w:rsidR="00201A7D">
        <w:t>0</w:t>
      </w:r>
      <w:r w:rsidRPr="008C1F19">
        <w:t>. Ставки на работы по технической инвентаризации жилищного фонда.</w:t>
      </w:r>
      <w:bookmarkEnd w:id="138"/>
      <w:bookmarkEnd w:id="139"/>
    </w:p>
    <w:p w:rsidR="00585C99" w:rsidRPr="0044624B" w:rsidRDefault="00585C99" w:rsidP="00585C99">
      <w:pPr>
        <w:tabs>
          <w:tab w:val="left" w:pos="567"/>
          <w:tab w:val="left" w:pos="709"/>
          <w:tab w:val="left" w:pos="851"/>
        </w:tabs>
        <w:autoSpaceDE w:val="0"/>
        <w:autoSpaceDN w:val="0"/>
        <w:adjustRightInd w:val="0"/>
        <w:spacing w:after="0" w:line="240" w:lineRule="auto"/>
        <w:jc w:val="both"/>
        <w:outlineLvl w:val="0"/>
        <w:rPr>
          <w:szCs w:val="28"/>
        </w:rPr>
      </w:pPr>
      <w:r>
        <w:rPr>
          <w:color w:val="0070C0"/>
          <w:szCs w:val="28"/>
        </w:rPr>
        <w:tab/>
      </w:r>
      <w:r w:rsidRPr="0044624B">
        <w:rPr>
          <w:szCs w:val="28"/>
        </w:rPr>
        <w:t>Установленные с 01.01.2024 года приказ</w:t>
      </w:r>
      <w:r>
        <w:rPr>
          <w:szCs w:val="28"/>
        </w:rPr>
        <w:t>ом департамента от 14.12.2023 № </w:t>
      </w:r>
      <w:r w:rsidRPr="0044624B">
        <w:rPr>
          <w:szCs w:val="28"/>
        </w:rPr>
        <w:t>585-ТС/НПА ставки на работы по технической инвентаризации жилищного фонда на территории Новосибирской области не пересматривались.</w:t>
      </w:r>
    </w:p>
    <w:p w:rsidR="00585C99" w:rsidRPr="0044624B" w:rsidRDefault="00585C99" w:rsidP="00585C99">
      <w:pPr>
        <w:tabs>
          <w:tab w:val="left" w:pos="567"/>
          <w:tab w:val="left" w:pos="709"/>
          <w:tab w:val="left" w:pos="851"/>
        </w:tabs>
        <w:autoSpaceDE w:val="0"/>
        <w:autoSpaceDN w:val="0"/>
        <w:adjustRightInd w:val="0"/>
        <w:spacing w:after="0" w:line="240" w:lineRule="auto"/>
        <w:jc w:val="both"/>
        <w:outlineLvl w:val="0"/>
        <w:rPr>
          <w:rStyle w:val="a3"/>
          <w:szCs w:val="28"/>
        </w:rPr>
      </w:pPr>
      <w:r w:rsidRPr="0044624B">
        <w:rPr>
          <w:szCs w:val="28"/>
        </w:rPr>
        <w:tab/>
        <w:t xml:space="preserve">С информацией о ставках на работы по технической инвентаризации жилищного фонда на территории Новосибирской области можно ознакомиться на официальном сайте департамента в информационно-телекоммуникационной сети «Интернет» </w:t>
      </w:r>
      <w:hyperlink r:id="rId184" w:history="1">
        <w:r w:rsidRPr="00142EF3">
          <w:rPr>
            <w:rStyle w:val="a3"/>
            <w:rFonts w:eastAsia="Times New Roman"/>
            <w:szCs w:val="28"/>
          </w:rPr>
          <w:t>https://tarif.nso.ru/page/104</w:t>
        </w:r>
      </w:hyperlink>
      <w:r w:rsidRPr="00142EF3">
        <w:rPr>
          <w:rStyle w:val="a3"/>
          <w:rFonts w:eastAsia="Times New Roman"/>
          <w:szCs w:val="28"/>
        </w:rPr>
        <w:t>.</w:t>
      </w:r>
    </w:p>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585C99" w:rsidRDefault="00585C99"/>
    <w:p w:rsidR="00184C22" w:rsidRDefault="00184C22"/>
    <w:p w:rsidR="00184C22" w:rsidRDefault="00184C22"/>
    <w:p w:rsidR="00184C22" w:rsidRDefault="00184C22"/>
    <w:p w:rsidR="00184C22" w:rsidRDefault="00184C22"/>
    <w:p w:rsidR="00184C22" w:rsidRDefault="00184C22"/>
    <w:p w:rsidR="00184C22" w:rsidRDefault="00184C22" w:rsidP="00585C99">
      <w:pPr>
        <w:pStyle w:val="20231"/>
      </w:pPr>
      <w:bookmarkStart w:id="140" w:name="_Toc162431963"/>
    </w:p>
    <w:p w:rsidR="00585C99" w:rsidRPr="00920E85" w:rsidRDefault="00585C99" w:rsidP="00585C99">
      <w:pPr>
        <w:pStyle w:val="20231"/>
      </w:pPr>
      <w:bookmarkStart w:id="141" w:name="_Toc193810591"/>
      <w:r w:rsidRPr="00920E85">
        <w:lastRenderedPageBreak/>
        <w:t>3. Нормотворческая, правоприменительная и контрольн</w:t>
      </w:r>
      <w:r>
        <w:t>ая (</w:t>
      </w:r>
      <w:r w:rsidRPr="00920E85">
        <w:t>надзорная</w:t>
      </w:r>
      <w:r>
        <w:t>)</w:t>
      </w:r>
      <w:r w:rsidRPr="00920E85">
        <w:t xml:space="preserve"> деятельность</w:t>
      </w:r>
      <w:r>
        <w:t>.</w:t>
      </w:r>
      <w:bookmarkEnd w:id="140"/>
      <w:bookmarkEnd w:id="141"/>
    </w:p>
    <w:p w:rsidR="00585C99" w:rsidRPr="00367D71" w:rsidRDefault="00585C99" w:rsidP="00585C99">
      <w:pPr>
        <w:pStyle w:val="4"/>
      </w:pPr>
      <w:bookmarkStart w:id="142" w:name="_Toc162431964"/>
      <w:bookmarkStart w:id="143" w:name="_Toc193810592"/>
      <w:r w:rsidRPr="00367D71">
        <w:t>3.1. Нормотворческая и правоприменительная деятельность.</w:t>
      </w:r>
      <w:bookmarkEnd w:id="142"/>
      <w:bookmarkEnd w:id="143"/>
    </w:p>
    <w:p w:rsidR="00DB0113" w:rsidRPr="002C2505" w:rsidRDefault="00DB0113" w:rsidP="00DB0113">
      <w:pPr>
        <w:autoSpaceDE w:val="0"/>
        <w:autoSpaceDN w:val="0"/>
        <w:adjustRightInd w:val="0"/>
        <w:spacing w:after="0" w:line="240" w:lineRule="auto"/>
        <w:ind w:firstLine="709"/>
        <w:jc w:val="both"/>
        <w:rPr>
          <w:szCs w:val="28"/>
        </w:rPr>
      </w:pPr>
      <w:r w:rsidRPr="002C2505">
        <w:rPr>
          <w:rFonts w:eastAsia="Calibri"/>
          <w:szCs w:val="28"/>
          <w:lang w:eastAsia="en-US"/>
        </w:rPr>
        <w:t xml:space="preserve">В рамках оказания бесплатной юридической помощи </w:t>
      </w:r>
      <w:r w:rsidRPr="002C2505">
        <w:rPr>
          <w:szCs w:val="28"/>
        </w:rPr>
        <w:t xml:space="preserve">гражданам </w:t>
      </w:r>
      <w:r w:rsidRPr="002C2505">
        <w:rPr>
          <w:rFonts w:eastAsiaTheme="minorHAnsi"/>
          <w:szCs w:val="28"/>
          <w:lang w:eastAsia="en-US"/>
        </w:rPr>
        <w:t>Российской Федерации на</w:t>
      </w:r>
      <w:r w:rsidRPr="002C2505">
        <w:rPr>
          <w:szCs w:val="28"/>
        </w:rPr>
        <w:t xml:space="preserve"> территории Новосибирской области, д</w:t>
      </w:r>
      <w:r w:rsidRPr="002C2505">
        <w:rPr>
          <w:rFonts w:eastAsia="Calibri"/>
          <w:szCs w:val="28"/>
          <w:lang w:eastAsia="en-US"/>
        </w:rPr>
        <w:t>епартаментом</w:t>
      </w:r>
      <w:r w:rsidRPr="00E97A71">
        <w:rPr>
          <w:rFonts w:eastAsia="Calibri"/>
          <w:szCs w:val="28"/>
          <w:lang w:eastAsia="en-US"/>
        </w:rPr>
        <w:t xml:space="preserve"> </w:t>
      </w:r>
      <w:r w:rsidRPr="002C2505">
        <w:rPr>
          <w:rFonts w:eastAsia="Calibri"/>
          <w:szCs w:val="28"/>
          <w:lang w:eastAsia="en-US"/>
        </w:rPr>
        <w:t>в 202</w:t>
      </w:r>
      <w:r>
        <w:rPr>
          <w:rFonts w:eastAsia="Calibri"/>
          <w:szCs w:val="28"/>
          <w:lang w:eastAsia="en-US"/>
        </w:rPr>
        <w:t>4</w:t>
      </w:r>
      <w:r w:rsidRPr="002C2505">
        <w:rPr>
          <w:rFonts w:eastAsia="Calibri"/>
          <w:szCs w:val="28"/>
          <w:lang w:eastAsia="en-US"/>
        </w:rPr>
        <w:t xml:space="preserve"> году: </w:t>
      </w:r>
    </w:p>
    <w:p w:rsidR="00DB0113" w:rsidRPr="002C2505" w:rsidRDefault="00DB0113" w:rsidP="00DB0113">
      <w:pPr>
        <w:autoSpaceDE w:val="0"/>
        <w:autoSpaceDN w:val="0"/>
        <w:adjustRightInd w:val="0"/>
        <w:spacing w:after="0" w:line="240" w:lineRule="auto"/>
        <w:ind w:firstLine="709"/>
        <w:jc w:val="both"/>
        <w:rPr>
          <w:szCs w:val="28"/>
        </w:rPr>
      </w:pPr>
      <w:r w:rsidRPr="002C2505">
        <w:rPr>
          <w:szCs w:val="28"/>
        </w:rPr>
        <w:t>1) по результатам рассмотрения поступивших непосредственно в департамент и направленных на рассмотрение в департамент по компетенции обращений граждан, объединений граждан (в том числе юридических лиц) даны:</w:t>
      </w:r>
    </w:p>
    <w:p w:rsidR="00DB0113" w:rsidRPr="002C2505" w:rsidRDefault="00DB0113" w:rsidP="00DB0113">
      <w:pPr>
        <w:autoSpaceDE w:val="0"/>
        <w:autoSpaceDN w:val="0"/>
        <w:adjustRightInd w:val="0"/>
        <w:spacing w:after="0" w:line="240" w:lineRule="auto"/>
        <w:ind w:firstLine="709"/>
        <w:jc w:val="both"/>
        <w:rPr>
          <w:szCs w:val="28"/>
        </w:rPr>
      </w:pPr>
      <w:r>
        <w:rPr>
          <w:szCs w:val="28"/>
        </w:rPr>
        <w:t>1</w:t>
      </w:r>
      <w:r w:rsidRPr="002C2505">
        <w:rPr>
          <w:szCs w:val="28"/>
        </w:rPr>
        <w:t xml:space="preserve"> правов</w:t>
      </w:r>
      <w:r>
        <w:rPr>
          <w:szCs w:val="28"/>
        </w:rPr>
        <w:t>ая</w:t>
      </w:r>
      <w:r w:rsidRPr="002C2505">
        <w:rPr>
          <w:szCs w:val="28"/>
        </w:rPr>
        <w:t xml:space="preserve"> консультаци</w:t>
      </w:r>
      <w:r>
        <w:rPr>
          <w:szCs w:val="28"/>
        </w:rPr>
        <w:t>я</w:t>
      </w:r>
      <w:r w:rsidRPr="002C2505">
        <w:rPr>
          <w:szCs w:val="28"/>
        </w:rPr>
        <w:t xml:space="preserve"> в устной форме по вопросам установления и применения </w:t>
      </w:r>
      <w:r>
        <w:rPr>
          <w:szCs w:val="28"/>
        </w:rPr>
        <w:t>регулируемых департаментом тарифов</w:t>
      </w:r>
      <w:r w:rsidRPr="002C2505">
        <w:rPr>
          <w:szCs w:val="28"/>
        </w:rPr>
        <w:t xml:space="preserve"> в сфере водоснабжения и водоотведения</w:t>
      </w:r>
      <w:r>
        <w:rPr>
          <w:szCs w:val="28"/>
        </w:rPr>
        <w:t xml:space="preserve"> </w:t>
      </w:r>
      <w:r>
        <w:rPr>
          <w:rFonts w:eastAsiaTheme="minorHAnsi"/>
          <w:szCs w:val="28"/>
          <w:lang w:eastAsia="en-US"/>
        </w:rPr>
        <w:t xml:space="preserve">на территории </w:t>
      </w:r>
      <w:r w:rsidRPr="002C2505">
        <w:rPr>
          <w:rFonts w:eastAsiaTheme="minorHAnsi"/>
          <w:szCs w:val="28"/>
          <w:lang w:eastAsia="en-US"/>
        </w:rPr>
        <w:t>Новосибирской области</w:t>
      </w:r>
      <w:r w:rsidRPr="002C2505">
        <w:rPr>
          <w:szCs w:val="28"/>
        </w:rPr>
        <w:t>;</w:t>
      </w:r>
    </w:p>
    <w:p w:rsidR="00DB0113" w:rsidRDefault="00DB0113" w:rsidP="00DB0113">
      <w:pPr>
        <w:autoSpaceDE w:val="0"/>
        <w:autoSpaceDN w:val="0"/>
        <w:adjustRightInd w:val="0"/>
        <w:spacing w:after="0" w:line="240" w:lineRule="auto"/>
        <w:ind w:firstLine="709"/>
        <w:jc w:val="both"/>
        <w:rPr>
          <w:szCs w:val="28"/>
        </w:rPr>
      </w:pPr>
      <w:r w:rsidRPr="002C2505">
        <w:rPr>
          <w:szCs w:val="28"/>
        </w:rPr>
        <w:t>3</w:t>
      </w:r>
      <w:r>
        <w:rPr>
          <w:szCs w:val="28"/>
        </w:rPr>
        <w:t>47</w:t>
      </w:r>
      <w:r w:rsidRPr="002C2505">
        <w:rPr>
          <w:szCs w:val="28"/>
        </w:rPr>
        <w:t xml:space="preserve"> правовых консультаций в письменной форме</w:t>
      </w:r>
      <w:r>
        <w:rPr>
          <w:szCs w:val="28"/>
        </w:rPr>
        <w:t xml:space="preserve">, </w:t>
      </w:r>
      <w:r w:rsidRPr="002C2505">
        <w:rPr>
          <w:szCs w:val="28"/>
        </w:rPr>
        <w:t xml:space="preserve">в том числе: </w:t>
      </w:r>
    </w:p>
    <w:p w:rsidR="00DB0113" w:rsidRDefault="00DB0113" w:rsidP="00DB0113">
      <w:pPr>
        <w:autoSpaceDE w:val="0"/>
        <w:autoSpaceDN w:val="0"/>
        <w:adjustRightInd w:val="0"/>
        <w:spacing w:after="0" w:line="240" w:lineRule="auto"/>
        <w:ind w:firstLine="709"/>
        <w:jc w:val="both"/>
        <w:rPr>
          <w:rFonts w:eastAsiaTheme="minorHAnsi"/>
          <w:szCs w:val="28"/>
          <w:lang w:eastAsia="en-US"/>
        </w:rPr>
      </w:pPr>
      <w:r>
        <w:rPr>
          <w:szCs w:val="28"/>
        </w:rPr>
        <w:t>59</w:t>
      </w:r>
      <w:r w:rsidRPr="002C2505">
        <w:rPr>
          <w:szCs w:val="28"/>
        </w:rPr>
        <w:t xml:space="preserve"> </w:t>
      </w:r>
      <w:r>
        <w:rPr>
          <w:szCs w:val="28"/>
        </w:rPr>
        <w:t xml:space="preserve">- </w:t>
      </w:r>
      <w:r w:rsidRPr="002C2505">
        <w:rPr>
          <w:szCs w:val="28"/>
        </w:rPr>
        <w:t>по вопросам установления</w:t>
      </w:r>
      <w:r>
        <w:rPr>
          <w:szCs w:val="28"/>
        </w:rPr>
        <w:t>,</w:t>
      </w:r>
      <w:r w:rsidRPr="002C2505">
        <w:rPr>
          <w:szCs w:val="28"/>
        </w:rPr>
        <w:t xml:space="preserve"> применения </w:t>
      </w:r>
      <w:r>
        <w:rPr>
          <w:szCs w:val="28"/>
        </w:rPr>
        <w:t xml:space="preserve">регулируемых департаментом </w:t>
      </w:r>
      <w:r w:rsidRPr="002C2505">
        <w:rPr>
          <w:rFonts w:eastAsiaTheme="minorHAnsi"/>
          <w:szCs w:val="28"/>
          <w:lang w:eastAsia="en-US"/>
        </w:rPr>
        <w:t>предельных тарифов в области обращения с твердыми коммунальными отходами</w:t>
      </w:r>
      <w:r>
        <w:rPr>
          <w:rFonts w:eastAsiaTheme="minorHAnsi"/>
          <w:szCs w:val="28"/>
          <w:lang w:eastAsia="en-US"/>
        </w:rPr>
        <w:t xml:space="preserve"> на территории </w:t>
      </w:r>
      <w:r w:rsidRPr="002C2505">
        <w:rPr>
          <w:rFonts w:eastAsiaTheme="minorHAnsi"/>
          <w:szCs w:val="28"/>
          <w:lang w:eastAsia="en-US"/>
        </w:rPr>
        <w:t>Новосибирской области</w:t>
      </w:r>
      <w:r>
        <w:rPr>
          <w:rFonts w:eastAsiaTheme="minorHAnsi"/>
          <w:szCs w:val="28"/>
          <w:lang w:eastAsia="en-US"/>
        </w:rPr>
        <w:t xml:space="preserve"> и установления </w:t>
      </w:r>
      <w:r w:rsidRPr="002C2505">
        <w:rPr>
          <w:rFonts w:eastAsiaTheme="minorHAnsi"/>
          <w:szCs w:val="28"/>
          <w:lang w:eastAsia="en-US"/>
        </w:rPr>
        <w:t xml:space="preserve">предельных индексов изменения размера вносимой гражданами платы за коммунальные услуги в муниципальных образованиях Новосибирской области; </w:t>
      </w:r>
    </w:p>
    <w:p w:rsidR="00DB0113" w:rsidRDefault="00DB0113" w:rsidP="00DB0113">
      <w:pPr>
        <w:autoSpaceDE w:val="0"/>
        <w:autoSpaceDN w:val="0"/>
        <w:adjustRightInd w:val="0"/>
        <w:spacing w:after="0" w:line="240" w:lineRule="auto"/>
        <w:ind w:firstLine="709"/>
        <w:jc w:val="both"/>
        <w:rPr>
          <w:szCs w:val="28"/>
        </w:rPr>
      </w:pPr>
      <w:r>
        <w:rPr>
          <w:rFonts w:eastAsiaTheme="minorHAnsi"/>
          <w:szCs w:val="28"/>
          <w:lang w:eastAsia="en-US"/>
        </w:rPr>
        <w:t>25</w:t>
      </w:r>
      <w:r w:rsidRPr="002C2505">
        <w:rPr>
          <w:rFonts w:eastAsiaTheme="minorHAnsi"/>
          <w:szCs w:val="28"/>
          <w:lang w:eastAsia="en-US"/>
        </w:rPr>
        <w:t xml:space="preserve"> </w:t>
      </w:r>
      <w:r>
        <w:rPr>
          <w:rFonts w:eastAsiaTheme="minorHAnsi"/>
          <w:szCs w:val="28"/>
          <w:lang w:eastAsia="en-US"/>
        </w:rPr>
        <w:t xml:space="preserve">- </w:t>
      </w:r>
      <w:r w:rsidRPr="002C2505">
        <w:rPr>
          <w:szCs w:val="28"/>
        </w:rPr>
        <w:t xml:space="preserve">по вопросам установления и применения </w:t>
      </w:r>
      <w:r>
        <w:rPr>
          <w:szCs w:val="28"/>
        </w:rPr>
        <w:t xml:space="preserve">регулируемых департаментом </w:t>
      </w:r>
      <w:r w:rsidRPr="002C2505">
        <w:rPr>
          <w:szCs w:val="28"/>
        </w:rPr>
        <w:t xml:space="preserve">цен (тарифов, </w:t>
      </w:r>
      <w:r>
        <w:rPr>
          <w:szCs w:val="28"/>
        </w:rPr>
        <w:t xml:space="preserve">платы, </w:t>
      </w:r>
      <w:r w:rsidRPr="002C2505">
        <w:rPr>
          <w:szCs w:val="28"/>
        </w:rPr>
        <w:t>нормативов) в сфере электроэнергетики</w:t>
      </w:r>
      <w:r>
        <w:rPr>
          <w:szCs w:val="28"/>
        </w:rPr>
        <w:t xml:space="preserve"> </w:t>
      </w:r>
      <w:r>
        <w:rPr>
          <w:rFonts w:eastAsiaTheme="minorHAnsi"/>
          <w:szCs w:val="28"/>
          <w:lang w:eastAsia="en-US"/>
        </w:rPr>
        <w:t xml:space="preserve">на территории </w:t>
      </w:r>
      <w:r w:rsidRPr="002C2505">
        <w:rPr>
          <w:rFonts w:eastAsiaTheme="minorHAnsi"/>
          <w:szCs w:val="28"/>
          <w:lang w:eastAsia="en-US"/>
        </w:rPr>
        <w:t>Новосибирской области</w:t>
      </w:r>
      <w:r w:rsidRPr="002C2505">
        <w:rPr>
          <w:szCs w:val="28"/>
        </w:rPr>
        <w:t xml:space="preserve">; </w:t>
      </w:r>
    </w:p>
    <w:p w:rsidR="00DB0113" w:rsidRDefault="00DB0113" w:rsidP="00DB0113">
      <w:pPr>
        <w:autoSpaceDE w:val="0"/>
        <w:autoSpaceDN w:val="0"/>
        <w:adjustRightInd w:val="0"/>
        <w:spacing w:after="0" w:line="240" w:lineRule="auto"/>
        <w:ind w:firstLine="709"/>
        <w:jc w:val="both"/>
        <w:rPr>
          <w:szCs w:val="28"/>
        </w:rPr>
      </w:pPr>
      <w:r>
        <w:rPr>
          <w:szCs w:val="28"/>
        </w:rPr>
        <w:t>85</w:t>
      </w:r>
      <w:r w:rsidRPr="002C2505">
        <w:rPr>
          <w:szCs w:val="28"/>
        </w:rPr>
        <w:t xml:space="preserve"> </w:t>
      </w:r>
      <w:r>
        <w:rPr>
          <w:szCs w:val="28"/>
        </w:rPr>
        <w:t xml:space="preserve">- </w:t>
      </w:r>
      <w:r w:rsidRPr="002C2505">
        <w:rPr>
          <w:szCs w:val="28"/>
        </w:rPr>
        <w:t>по вопросам</w:t>
      </w:r>
      <w:r>
        <w:rPr>
          <w:szCs w:val="28"/>
        </w:rPr>
        <w:t>:</w:t>
      </w:r>
      <w:r w:rsidRPr="002C2505">
        <w:rPr>
          <w:szCs w:val="28"/>
        </w:rPr>
        <w:t xml:space="preserve"> установления и применения </w:t>
      </w:r>
      <w:r>
        <w:rPr>
          <w:szCs w:val="28"/>
        </w:rPr>
        <w:t xml:space="preserve">регулируемых департаментом </w:t>
      </w:r>
      <w:r w:rsidRPr="002C2505">
        <w:rPr>
          <w:szCs w:val="28"/>
        </w:rPr>
        <w:t xml:space="preserve">цен (тарифов, </w:t>
      </w:r>
      <w:r>
        <w:rPr>
          <w:szCs w:val="28"/>
        </w:rPr>
        <w:t xml:space="preserve">платы, </w:t>
      </w:r>
      <w:r w:rsidRPr="002C2505">
        <w:rPr>
          <w:szCs w:val="28"/>
        </w:rPr>
        <w:t>нормативов) в сфер</w:t>
      </w:r>
      <w:r>
        <w:rPr>
          <w:szCs w:val="28"/>
        </w:rPr>
        <w:t>е</w:t>
      </w:r>
      <w:r w:rsidRPr="002C2505">
        <w:rPr>
          <w:szCs w:val="28"/>
        </w:rPr>
        <w:t xml:space="preserve"> теплоснабжения</w:t>
      </w:r>
      <w:r>
        <w:rPr>
          <w:szCs w:val="28"/>
        </w:rPr>
        <w:t xml:space="preserve"> и в области </w:t>
      </w:r>
      <w:r w:rsidRPr="002C2505">
        <w:rPr>
          <w:szCs w:val="28"/>
        </w:rPr>
        <w:t>газоснабжения</w:t>
      </w:r>
      <w:r>
        <w:rPr>
          <w:szCs w:val="28"/>
        </w:rPr>
        <w:t xml:space="preserve"> </w:t>
      </w:r>
      <w:r>
        <w:rPr>
          <w:rFonts w:eastAsiaTheme="minorHAnsi"/>
          <w:szCs w:val="28"/>
          <w:lang w:eastAsia="en-US"/>
        </w:rPr>
        <w:t xml:space="preserve">на территории </w:t>
      </w:r>
      <w:r w:rsidRPr="002C2505">
        <w:rPr>
          <w:rFonts w:eastAsiaTheme="minorHAnsi"/>
          <w:szCs w:val="28"/>
          <w:lang w:eastAsia="en-US"/>
        </w:rPr>
        <w:t>Новосибирской области</w:t>
      </w:r>
      <w:r>
        <w:rPr>
          <w:szCs w:val="28"/>
        </w:rPr>
        <w:t xml:space="preserve">; ценообразования на товары (услуги) в сфере </w:t>
      </w:r>
      <w:r w:rsidRPr="002C2505">
        <w:rPr>
          <w:szCs w:val="28"/>
        </w:rPr>
        <w:t>теплоснабжения</w:t>
      </w:r>
      <w:r>
        <w:rPr>
          <w:szCs w:val="28"/>
        </w:rPr>
        <w:t xml:space="preserve"> в ценовых зонах </w:t>
      </w:r>
      <w:r w:rsidRPr="002C2505">
        <w:rPr>
          <w:szCs w:val="28"/>
        </w:rPr>
        <w:t>теплоснабжения</w:t>
      </w:r>
      <w:r>
        <w:rPr>
          <w:szCs w:val="28"/>
        </w:rPr>
        <w:t xml:space="preserve"> </w:t>
      </w:r>
      <w:r>
        <w:rPr>
          <w:rFonts w:eastAsiaTheme="minorHAnsi"/>
          <w:szCs w:val="28"/>
          <w:lang w:eastAsia="en-US"/>
        </w:rPr>
        <w:t xml:space="preserve">на территории </w:t>
      </w:r>
      <w:r w:rsidRPr="002C2505">
        <w:rPr>
          <w:rFonts w:eastAsiaTheme="minorHAnsi"/>
          <w:szCs w:val="28"/>
          <w:lang w:eastAsia="en-US"/>
        </w:rPr>
        <w:t>Новосибирской области</w:t>
      </w:r>
      <w:r>
        <w:rPr>
          <w:rFonts w:eastAsiaTheme="minorHAnsi"/>
          <w:szCs w:val="28"/>
          <w:lang w:eastAsia="en-US"/>
        </w:rPr>
        <w:t xml:space="preserve">; </w:t>
      </w:r>
    </w:p>
    <w:p w:rsidR="00DB0113" w:rsidRDefault="00DB0113" w:rsidP="00DB0113">
      <w:pPr>
        <w:autoSpaceDE w:val="0"/>
        <w:autoSpaceDN w:val="0"/>
        <w:adjustRightInd w:val="0"/>
        <w:spacing w:after="0" w:line="240" w:lineRule="auto"/>
        <w:ind w:firstLine="709"/>
        <w:jc w:val="both"/>
        <w:rPr>
          <w:szCs w:val="28"/>
        </w:rPr>
      </w:pPr>
      <w:r>
        <w:rPr>
          <w:szCs w:val="28"/>
        </w:rPr>
        <w:t>54</w:t>
      </w:r>
      <w:r w:rsidRPr="002C2505">
        <w:rPr>
          <w:szCs w:val="28"/>
        </w:rPr>
        <w:t xml:space="preserve"> </w:t>
      </w:r>
      <w:r>
        <w:rPr>
          <w:szCs w:val="28"/>
        </w:rPr>
        <w:t xml:space="preserve">- </w:t>
      </w:r>
      <w:r w:rsidRPr="002C2505">
        <w:rPr>
          <w:szCs w:val="28"/>
        </w:rPr>
        <w:t xml:space="preserve">по вопросам установления и применения </w:t>
      </w:r>
      <w:r>
        <w:rPr>
          <w:szCs w:val="28"/>
        </w:rPr>
        <w:t xml:space="preserve">регулируемых департаментом </w:t>
      </w:r>
      <w:r w:rsidRPr="002C2505">
        <w:rPr>
          <w:szCs w:val="28"/>
        </w:rPr>
        <w:t>тарифов, нормативов в сфере водоснабжения и водоотведения</w:t>
      </w:r>
      <w:r>
        <w:rPr>
          <w:szCs w:val="28"/>
        </w:rPr>
        <w:t xml:space="preserve"> </w:t>
      </w:r>
      <w:r>
        <w:rPr>
          <w:rFonts w:eastAsiaTheme="minorHAnsi"/>
          <w:szCs w:val="28"/>
          <w:lang w:eastAsia="en-US"/>
        </w:rPr>
        <w:t xml:space="preserve">на территории </w:t>
      </w:r>
      <w:r w:rsidRPr="002C2505">
        <w:rPr>
          <w:rFonts w:eastAsiaTheme="minorHAnsi"/>
          <w:szCs w:val="28"/>
          <w:lang w:eastAsia="en-US"/>
        </w:rPr>
        <w:t>Новосибирской области</w:t>
      </w:r>
      <w:r w:rsidRPr="002C2505">
        <w:rPr>
          <w:szCs w:val="28"/>
        </w:rPr>
        <w:t xml:space="preserve">; </w:t>
      </w:r>
    </w:p>
    <w:p w:rsidR="00DB0113" w:rsidRDefault="00DB0113" w:rsidP="00DB0113">
      <w:pPr>
        <w:autoSpaceDE w:val="0"/>
        <w:autoSpaceDN w:val="0"/>
        <w:adjustRightInd w:val="0"/>
        <w:spacing w:after="0" w:line="240" w:lineRule="auto"/>
        <w:ind w:firstLine="709"/>
        <w:jc w:val="both"/>
        <w:rPr>
          <w:szCs w:val="28"/>
        </w:rPr>
      </w:pPr>
      <w:r>
        <w:rPr>
          <w:szCs w:val="28"/>
        </w:rPr>
        <w:t>45</w:t>
      </w:r>
      <w:r w:rsidRPr="002C2505">
        <w:rPr>
          <w:szCs w:val="28"/>
        </w:rPr>
        <w:t xml:space="preserve"> </w:t>
      </w:r>
      <w:r>
        <w:rPr>
          <w:szCs w:val="28"/>
        </w:rPr>
        <w:t xml:space="preserve">- </w:t>
      </w:r>
      <w:r w:rsidRPr="002C2505">
        <w:rPr>
          <w:szCs w:val="28"/>
        </w:rPr>
        <w:t xml:space="preserve">по вопросам установления и применения </w:t>
      </w:r>
      <w:r>
        <w:rPr>
          <w:szCs w:val="28"/>
        </w:rPr>
        <w:t>регулируемых департаментом цен (</w:t>
      </w:r>
      <w:r w:rsidRPr="002C2505">
        <w:rPr>
          <w:szCs w:val="28"/>
        </w:rPr>
        <w:t>тарифов</w:t>
      </w:r>
      <w:r>
        <w:rPr>
          <w:szCs w:val="28"/>
        </w:rPr>
        <w:t>, надбавок)</w:t>
      </w:r>
      <w:r w:rsidRPr="002C2505">
        <w:rPr>
          <w:szCs w:val="28"/>
        </w:rPr>
        <w:t xml:space="preserve"> в сфере транспортных услуг и социальной сфере; </w:t>
      </w:r>
    </w:p>
    <w:p w:rsidR="00DB0113" w:rsidRPr="002C2505" w:rsidRDefault="00DB0113" w:rsidP="00DB0113">
      <w:pPr>
        <w:autoSpaceDE w:val="0"/>
        <w:autoSpaceDN w:val="0"/>
        <w:adjustRightInd w:val="0"/>
        <w:spacing w:after="0" w:line="240" w:lineRule="auto"/>
        <w:ind w:firstLine="709"/>
        <w:jc w:val="both"/>
        <w:rPr>
          <w:szCs w:val="28"/>
        </w:rPr>
      </w:pPr>
      <w:r>
        <w:rPr>
          <w:szCs w:val="28"/>
        </w:rPr>
        <w:t>79</w:t>
      </w:r>
      <w:r w:rsidRPr="002C2505">
        <w:rPr>
          <w:szCs w:val="28"/>
        </w:rPr>
        <w:t xml:space="preserve"> </w:t>
      </w:r>
      <w:r>
        <w:rPr>
          <w:szCs w:val="28"/>
        </w:rPr>
        <w:t xml:space="preserve">- </w:t>
      </w:r>
      <w:r w:rsidRPr="002C2505">
        <w:rPr>
          <w:szCs w:val="28"/>
        </w:rPr>
        <w:t>предоставлени</w:t>
      </w:r>
      <w:r>
        <w:rPr>
          <w:szCs w:val="28"/>
        </w:rPr>
        <w:t>е</w:t>
      </w:r>
      <w:r w:rsidRPr="002C2505">
        <w:rPr>
          <w:szCs w:val="28"/>
        </w:rPr>
        <w:t xml:space="preserve"> разъяснений по </w:t>
      </w:r>
      <w:r>
        <w:rPr>
          <w:szCs w:val="28"/>
        </w:rPr>
        <w:t xml:space="preserve">иным </w:t>
      </w:r>
      <w:r w:rsidRPr="002C2505">
        <w:rPr>
          <w:szCs w:val="28"/>
        </w:rPr>
        <w:t xml:space="preserve">вопросам </w:t>
      </w:r>
      <w:r>
        <w:rPr>
          <w:szCs w:val="28"/>
        </w:rPr>
        <w:t xml:space="preserve">в установленной </w:t>
      </w:r>
      <w:r w:rsidRPr="002C2505">
        <w:rPr>
          <w:szCs w:val="28"/>
        </w:rPr>
        <w:t>сфер</w:t>
      </w:r>
      <w:r>
        <w:rPr>
          <w:szCs w:val="28"/>
        </w:rPr>
        <w:t>е</w:t>
      </w:r>
      <w:r w:rsidRPr="002C2505">
        <w:rPr>
          <w:szCs w:val="28"/>
        </w:rPr>
        <w:t xml:space="preserve"> </w:t>
      </w:r>
      <w:r>
        <w:rPr>
          <w:szCs w:val="28"/>
        </w:rPr>
        <w:t xml:space="preserve">деятельности </w:t>
      </w:r>
      <w:r w:rsidRPr="002C2505">
        <w:rPr>
          <w:szCs w:val="28"/>
        </w:rPr>
        <w:t xml:space="preserve">департамента; </w:t>
      </w:r>
    </w:p>
    <w:p w:rsidR="00DB0113" w:rsidRPr="002C2505" w:rsidRDefault="00DB0113" w:rsidP="00DB0113">
      <w:pPr>
        <w:autoSpaceDE w:val="0"/>
        <w:autoSpaceDN w:val="0"/>
        <w:adjustRightInd w:val="0"/>
        <w:spacing w:after="0" w:line="240" w:lineRule="auto"/>
        <w:ind w:firstLine="709"/>
        <w:jc w:val="both"/>
        <w:rPr>
          <w:szCs w:val="28"/>
        </w:rPr>
      </w:pPr>
      <w:r w:rsidRPr="002C2505">
        <w:rPr>
          <w:szCs w:val="28"/>
        </w:rPr>
        <w:t>2) размещены на официальном сайте департамента в информационно-телекоммуникационной сети Интернет (</w:t>
      </w:r>
      <w:hyperlink r:id="rId185" w:history="1">
        <w:r w:rsidRPr="002C2505">
          <w:rPr>
            <w:rStyle w:val="a3"/>
            <w:lang w:val="en-US"/>
          </w:rPr>
          <w:t>www</w:t>
        </w:r>
        <w:r w:rsidRPr="002C2505">
          <w:rPr>
            <w:rStyle w:val="a3"/>
          </w:rPr>
          <w:t>.tarif.nso.ru</w:t>
        </w:r>
      </w:hyperlink>
      <w:r w:rsidRPr="002C2505">
        <w:rPr>
          <w:szCs w:val="28"/>
        </w:rPr>
        <w:t xml:space="preserve">) материалы по правовому информированию и правовому просвещению населения Новосибирской области: </w:t>
      </w:r>
    </w:p>
    <w:p w:rsidR="00DB0113" w:rsidRPr="002C2505" w:rsidRDefault="00DB0113" w:rsidP="00DB0113">
      <w:pPr>
        <w:autoSpaceDE w:val="0"/>
        <w:autoSpaceDN w:val="0"/>
        <w:adjustRightInd w:val="0"/>
        <w:spacing w:after="0" w:line="240" w:lineRule="auto"/>
        <w:ind w:firstLine="709"/>
        <w:jc w:val="both"/>
        <w:rPr>
          <w:szCs w:val="28"/>
        </w:rPr>
      </w:pPr>
      <w:r>
        <w:rPr>
          <w:szCs w:val="28"/>
        </w:rPr>
        <w:t>682</w:t>
      </w:r>
      <w:r w:rsidRPr="002C2505">
        <w:rPr>
          <w:szCs w:val="28"/>
        </w:rPr>
        <w:t xml:space="preserve"> изданных в 202</w:t>
      </w:r>
      <w:r>
        <w:rPr>
          <w:szCs w:val="28"/>
        </w:rPr>
        <w:t>4</w:t>
      </w:r>
      <w:r w:rsidRPr="002C2505">
        <w:rPr>
          <w:szCs w:val="28"/>
        </w:rPr>
        <w:t xml:space="preserve"> году </w:t>
      </w:r>
      <w:r w:rsidRPr="002C2505">
        <w:rPr>
          <w:rFonts w:eastAsia="Calibri"/>
          <w:szCs w:val="28"/>
          <w:lang w:eastAsia="en-US"/>
        </w:rPr>
        <w:t xml:space="preserve">правовых актов (приказов) </w:t>
      </w:r>
      <w:r w:rsidRPr="002C2505">
        <w:rPr>
          <w:szCs w:val="28"/>
        </w:rPr>
        <w:t xml:space="preserve">департамента и </w:t>
      </w:r>
      <w:r>
        <w:rPr>
          <w:szCs w:val="28"/>
        </w:rPr>
        <w:t>51</w:t>
      </w:r>
      <w:r w:rsidRPr="002C2505">
        <w:rPr>
          <w:szCs w:val="28"/>
        </w:rPr>
        <w:t xml:space="preserve"> протокол проведенных в 202</w:t>
      </w:r>
      <w:r>
        <w:rPr>
          <w:szCs w:val="28"/>
        </w:rPr>
        <w:t xml:space="preserve">4 </w:t>
      </w:r>
      <w:r w:rsidRPr="002C2505">
        <w:rPr>
          <w:szCs w:val="28"/>
        </w:rPr>
        <w:t>году заседаний правления департамента по основным направлениям деятельности департамента;</w:t>
      </w:r>
    </w:p>
    <w:p w:rsidR="00DB0113" w:rsidRPr="002C2505" w:rsidRDefault="00382657" w:rsidP="00DB0113">
      <w:pPr>
        <w:autoSpaceDE w:val="0"/>
        <w:autoSpaceDN w:val="0"/>
        <w:adjustRightInd w:val="0"/>
        <w:spacing w:after="0" w:line="240" w:lineRule="auto"/>
        <w:ind w:firstLine="709"/>
        <w:jc w:val="both"/>
        <w:rPr>
          <w:szCs w:val="28"/>
        </w:rPr>
      </w:pPr>
      <w:hyperlink r:id="rId186" w:history="1">
        <w:r w:rsidR="00DB0113" w:rsidRPr="002C2505">
          <w:rPr>
            <w:szCs w:val="28"/>
          </w:rPr>
          <w:t>актуальная информация о предельных отпускных ценах, зарегистрированных и внесенных в Государственный реестр цен на жизненно необходимые и важнейшие лекарственные препараты, и предельных оптовых и розничных ценах на жизненно необходимые и важнейшие лекарственные препараты на территории Новосибирской области</w:t>
        </w:r>
      </w:hyperlink>
      <w:r w:rsidR="00DB0113">
        <w:t xml:space="preserve"> (в течение года)</w:t>
      </w:r>
      <w:r w:rsidR="00DB0113" w:rsidRPr="002C2505">
        <w:rPr>
          <w:szCs w:val="28"/>
        </w:rPr>
        <w:t>;</w:t>
      </w:r>
    </w:p>
    <w:p w:rsidR="00DB0113" w:rsidRPr="002C2505" w:rsidRDefault="00DB0113" w:rsidP="00DB0113">
      <w:pPr>
        <w:autoSpaceDE w:val="0"/>
        <w:autoSpaceDN w:val="0"/>
        <w:adjustRightInd w:val="0"/>
        <w:spacing w:after="0" w:line="240" w:lineRule="auto"/>
        <w:ind w:firstLine="709"/>
        <w:jc w:val="both"/>
        <w:rPr>
          <w:szCs w:val="28"/>
        </w:rPr>
      </w:pPr>
      <w:r>
        <w:rPr>
          <w:szCs w:val="28"/>
        </w:rPr>
        <w:t xml:space="preserve">информационное письмо по вопросу расчета стоимости перевозки пассажиров и багажа автомобильным транспортом по регулируемым тарифам в границах одного муниципального района </w:t>
      </w:r>
      <w:r w:rsidRPr="001B232F">
        <w:rPr>
          <w:szCs w:val="28"/>
        </w:rPr>
        <w:t>на территории Новосибирской области</w:t>
      </w:r>
      <w:r w:rsidRPr="002C2505">
        <w:rPr>
          <w:szCs w:val="28"/>
        </w:rPr>
        <w:t>.</w:t>
      </w:r>
    </w:p>
    <w:p w:rsidR="00DB0113" w:rsidRPr="002C2505" w:rsidRDefault="00DB0113" w:rsidP="00DB0113">
      <w:pPr>
        <w:autoSpaceDE w:val="0"/>
        <w:autoSpaceDN w:val="0"/>
        <w:adjustRightInd w:val="0"/>
        <w:spacing w:after="0" w:line="240" w:lineRule="auto"/>
        <w:ind w:firstLine="709"/>
        <w:jc w:val="both"/>
        <w:rPr>
          <w:szCs w:val="28"/>
          <w:shd w:val="clear" w:color="auto" w:fill="FFFFFF"/>
        </w:rPr>
      </w:pPr>
      <w:r w:rsidRPr="006A3267">
        <w:rPr>
          <w:szCs w:val="28"/>
        </w:rPr>
        <w:t xml:space="preserve">В 2024 году департаментом </w:t>
      </w:r>
      <w:r>
        <w:rPr>
          <w:szCs w:val="28"/>
        </w:rPr>
        <w:t>на основании пункта 8 Положения о департаменте</w:t>
      </w:r>
      <w:r w:rsidRPr="006A3267">
        <w:rPr>
          <w:szCs w:val="28"/>
        </w:rPr>
        <w:t xml:space="preserve"> были разработаны 14 проектов правовых актов Губернатора Новосибирской области и Правительства Новосибирской области по вопросам в установленной сфере деятельности департамента и обеспечено их принятие</w:t>
      </w:r>
      <w:r w:rsidRPr="006A3267">
        <w:rPr>
          <w:szCs w:val="28"/>
          <w:shd w:val="clear" w:color="auto" w:fill="FFFFFF"/>
        </w:rPr>
        <w:t>.</w:t>
      </w:r>
    </w:p>
    <w:p w:rsidR="00DB0113" w:rsidRDefault="00DB0113" w:rsidP="00DB0113">
      <w:pPr>
        <w:spacing w:after="0" w:line="240" w:lineRule="auto"/>
        <w:ind w:firstLine="709"/>
        <w:contextualSpacing/>
        <w:jc w:val="both"/>
        <w:rPr>
          <w:b/>
          <w:i/>
          <w:szCs w:val="28"/>
        </w:rPr>
      </w:pPr>
      <w:bookmarkStart w:id="144" w:name="_Toc193810593"/>
      <w:r w:rsidRPr="00184C22">
        <w:rPr>
          <w:rStyle w:val="40"/>
        </w:rPr>
        <w:t>3.2. Организация и функционирование системы внутреннего обеспечения соответствия требованиям антимонопольного законодательства деятельности департамента (далее – антимонопольный комплаенс</w:t>
      </w:r>
      <w:bookmarkEnd w:id="144"/>
      <w:r w:rsidRPr="00CA23F1">
        <w:rPr>
          <w:b/>
          <w:i/>
          <w:szCs w:val="28"/>
        </w:rPr>
        <w:t>).</w:t>
      </w:r>
      <w:bookmarkStart w:id="145" w:name="_Toc131067994"/>
    </w:p>
    <w:p w:rsidR="00DB0113" w:rsidRPr="00C07804" w:rsidRDefault="00DB0113" w:rsidP="00DB0113">
      <w:pPr>
        <w:spacing w:after="0" w:line="240" w:lineRule="auto"/>
        <w:ind w:left="21" w:right="14" w:firstLine="688"/>
        <w:jc w:val="both"/>
        <w:rPr>
          <w:szCs w:val="28"/>
        </w:rPr>
      </w:pPr>
      <w:r>
        <w:rPr>
          <w:szCs w:val="28"/>
        </w:rPr>
        <w:t>А</w:t>
      </w:r>
      <w:r w:rsidRPr="00C07804">
        <w:rPr>
          <w:szCs w:val="28"/>
        </w:rPr>
        <w:t xml:space="preserve">нтимонопольный комплаенс организован в соответствии с: </w:t>
      </w:r>
    </w:p>
    <w:p w:rsidR="00DB0113" w:rsidRPr="00C07804" w:rsidRDefault="00DB0113" w:rsidP="00DB0113">
      <w:pPr>
        <w:spacing w:after="0" w:line="240" w:lineRule="auto"/>
        <w:ind w:right="14" w:firstLine="688"/>
        <w:jc w:val="both"/>
        <w:rPr>
          <w:szCs w:val="28"/>
        </w:rPr>
      </w:pPr>
      <w:r>
        <w:rPr>
          <w:szCs w:val="28"/>
        </w:rPr>
        <w:t>-</w:t>
      </w:r>
      <w:r w:rsidRPr="00C07804">
        <w:rPr>
          <w:szCs w:val="28"/>
        </w:rPr>
        <w:t xml:space="preserve">Федеральным законом от 26.07.2006 № 135-ФЗ «О защите </w:t>
      </w:r>
      <w:r w:rsidRPr="00C07804">
        <w:rPr>
          <w:noProof/>
          <w:szCs w:val="28"/>
        </w:rPr>
        <w:drawing>
          <wp:inline distT="0" distB="0" distL="0" distR="0" wp14:anchorId="3E408CC4" wp14:editId="4D65133E">
            <wp:extent cx="8255" cy="24130"/>
            <wp:effectExtent l="0" t="0" r="0" b="0"/>
            <wp:docPr id="320"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74"/>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8255" cy="24130"/>
                    </a:xfrm>
                    <a:prstGeom prst="rect">
                      <a:avLst/>
                    </a:prstGeom>
                    <a:noFill/>
                    <a:ln>
                      <a:noFill/>
                    </a:ln>
                  </pic:spPr>
                </pic:pic>
              </a:graphicData>
            </a:graphic>
          </wp:inline>
        </w:drawing>
      </w:r>
      <w:r w:rsidRPr="00C07804">
        <w:rPr>
          <w:szCs w:val="28"/>
        </w:rPr>
        <w:t>конкуренции»;</w:t>
      </w:r>
    </w:p>
    <w:p w:rsidR="00DB0113" w:rsidRPr="00C07804" w:rsidRDefault="00DB0113" w:rsidP="00DB0113">
      <w:pPr>
        <w:spacing w:after="0" w:line="240" w:lineRule="auto"/>
        <w:ind w:right="14" w:firstLine="688"/>
        <w:jc w:val="both"/>
        <w:rPr>
          <w:szCs w:val="28"/>
        </w:rPr>
      </w:pPr>
      <w:r>
        <w:rPr>
          <w:szCs w:val="28"/>
        </w:rPr>
        <w:t>-</w:t>
      </w:r>
      <w:r w:rsidRPr="00C07804">
        <w:rPr>
          <w:szCs w:val="28"/>
        </w:rPr>
        <w:t>Указом Президента Российской Федерации от 21.12.2017 № 618 «Об основных направлениях государственной политики по развитию конкуренции»;</w:t>
      </w:r>
      <w:r w:rsidRPr="00C07804">
        <w:rPr>
          <w:noProof/>
          <w:szCs w:val="28"/>
        </w:rPr>
        <w:drawing>
          <wp:inline distT="0" distB="0" distL="0" distR="0" wp14:anchorId="39A01BC6" wp14:editId="4E564422">
            <wp:extent cx="8255" cy="8255"/>
            <wp:effectExtent l="0" t="0" r="0" b="0"/>
            <wp:docPr id="321"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0"/>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p>
    <w:p w:rsidR="00DB0113" w:rsidRPr="00C07804" w:rsidRDefault="00DB0113" w:rsidP="00DB0113">
      <w:pPr>
        <w:spacing w:after="0" w:line="240" w:lineRule="auto"/>
        <w:ind w:left="21" w:right="14" w:firstLine="688"/>
        <w:jc w:val="both"/>
        <w:rPr>
          <w:szCs w:val="28"/>
        </w:rPr>
      </w:pPr>
      <w:r>
        <w:rPr>
          <w:szCs w:val="28"/>
        </w:rPr>
        <w:t>-</w:t>
      </w:r>
      <w:r w:rsidRPr="00C07804">
        <w:rPr>
          <w:szCs w:val="28"/>
        </w:rPr>
        <w:t xml:space="preserve">распоряжением Правительства Российской Федерации от 17.04.2019 № 768-р «Об </w:t>
      </w:r>
      <w:r w:rsidRPr="00C07804">
        <w:rPr>
          <w:noProof/>
          <w:szCs w:val="28"/>
        </w:rPr>
        <w:drawing>
          <wp:inline distT="0" distB="0" distL="0" distR="0" wp14:anchorId="5E80B7F2" wp14:editId="0B1DB8D3">
            <wp:extent cx="8255" cy="8255"/>
            <wp:effectExtent l="0" t="0" r="0" b="0"/>
            <wp:docPr id="322"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4"/>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rPr>
          <w:szCs w:val="28"/>
        </w:rPr>
        <w:t>утверждении стандарта развития конкуренции в субъектах Российской Федерации»;</w:t>
      </w:r>
    </w:p>
    <w:p w:rsidR="00DB0113" w:rsidRPr="00C07804" w:rsidRDefault="00DB0113" w:rsidP="00DB0113">
      <w:pPr>
        <w:spacing w:after="0" w:line="240" w:lineRule="auto"/>
        <w:ind w:right="14" w:firstLine="688"/>
        <w:jc w:val="both"/>
        <w:rPr>
          <w:szCs w:val="28"/>
        </w:rPr>
      </w:pPr>
      <w:r>
        <w:rPr>
          <w:szCs w:val="28"/>
        </w:rPr>
        <w:t>-</w:t>
      </w:r>
      <w:r w:rsidRPr="00C07804">
        <w:rPr>
          <w:szCs w:val="28"/>
        </w:rPr>
        <w:t xml:space="preserve">распоряжением Губернатора Новосибирской области от 26.12.2018 </w:t>
      </w:r>
      <w:r w:rsidRPr="00C07804">
        <w:rPr>
          <w:noProof/>
          <w:szCs w:val="28"/>
        </w:rPr>
        <w:drawing>
          <wp:inline distT="0" distB="0" distL="0" distR="0" wp14:anchorId="0E483E70" wp14:editId="0490029E">
            <wp:extent cx="8255" cy="8255"/>
            <wp:effectExtent l="0" t="0" r="0" b="0"/>
            <wp:docPr id="323"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5"/>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rPr>
          <w:szCs w:val="28"/>
        </w:rPr>
        <w:t>№ 268-р «О создании и организации системы внутреннего обеспечения соответствия требованиям антимонопольного законодательства деятельности областных исполнительных органов государственной власти Новосибирской области»;</w:t>
      </w:r>
    </w:p>
    <w:p w:rsidR="00DB0113" w:rsidRDefault="00DB0113" w:rsidP="00DB0113">
      <w:pPr>
        <w:spacing w:after="0" w:line="240" w:lineRule="auto"/>
        <w:ind w:right="14" w:firstLine="688"/>
        <w:jc w:val="both"/>
        <w:rPr>
          <w:szCs w:val="28"/>
        </w:rPr>
      </w:pPr>
      <w:r>
        <w:rPr>
          <w:szCs w:val="28"/>
        </w:rPr>
        <w:t>-</w:t>
      </w:r>
      <w:r w:rsidRPr="00C07804">
        <w:t xml:space="preserve">Положением о создании и организации системы внутреннего обеспечения соответствия требованиям антимонопольного законодательства деятельности департамента по тарифам Новосибирской области, утвержденным </w:t>
      </w:r>
      <w:r w:rsidRPr="00C07804">
        <w:rPr>
          <w:szCs w:val="28"/>
        </w:rPr>
        <w:t xml:space="preserve">приказом руководителя департамента от 31.01.2019 № 1 (в редакции приказа руководителя департамента </w:t>
      </w:r>
      <w:r w:rsidRPr="00C07804">
        <w:t xml:space="preserve">от 27.12.2023 № 27, </w:t>
      </w:r>
      <w:r w:rsidRPr="00C07804">
        <w:rPr>
          <w:szCs w:val="28"/>
        </w:rPr>
        <w:t xml:space="preserve">далее </w:t>
      </w:r>
      <w:r w:rsidRPr="00C07804">
        <w:t>–</w:t>
      </w:r>
      <w:r w:rsidRPr="00C07804">
        <w:rPr>
          <w:szCs w:val="28"/>
        </w:rPr>
        <w:t xml:space="preserve"> Положение об антимонопольном комплаенсе).</w:t>
      </w:r>
      <w:r>
        <w:rPr>
          <w:szCs w:val="28"/>
        </w:rPr>
        <w:t xml:space="preserve"> </w:t>
      </w:r>
    </w:p>
    <w:p w:rsidR="00DB0113" w:rsidRDefault="00DB0113" w:rsidP="00DB0113">
      <w:pPr>
        <w:spacing w:after="0" w:line="240" w:lineRule="auto"/>
        <w:ind w:right="14" w:firstLine="688"/>
        <w:jc w:val="both"/>
        <w:rPr>
          <w:szCs w:val="28"/>
        </w:rPr>
      </w:pPr>
      <w:r>
        <w:rPr>
          <w:szCs w:val="28"/>
        </w:rPr>
        <w:t xml:space="preserve">Актуальная редакция текста </w:t>
      </w:r>
      <w:r w:rsidRPr="00C07804">
        <w:rPr>
          <w:szCs w:val="28"/>
        </w:rPr>
        <w:t>Положени</w:t>
      </w:r>
      <w:r>
        <w:rPr>
          <w:szCs w:val="28"/>
        </w:rPr>
        <w:t>я</w:t>
      </w:r>
      <w:r w:rsidRPr="00C07804">
        <w:rPr>
          <w:szCs w:val="28"/>
        </w:rPr>
        <w:t xml:space="preserve"> об антимонопольном комплаенсе</w:t>
      </w:r>
      <w:r>
        <w:rPr>
          <w:szCs w:val="28"/>
        </w:rPr>
        <w:t xml:space="preserve"> размещена </w:t>
      </w:r>
      <w:r w:rsidRPr="002C2505">
        <w:rPr>
          <w:rFonts w:eastAsiaTheme="minorHAnsi"/>
          <w:szCs w:val="28"/>
          <w:lang w:eastAsia="en-US"/>
        </w:rPr>
        <w:t xml:space="preserve">на официальном сайте департамента в информационно-телекоммуникационной сети Интернет </w:t>
      </w:r>
      <w:r>
        <w:rPr>
          <w:rFonts w:eastAsiaTheme="minorHAnsi"/>
          <w:szCs w:val="28"/>
          <w:lang w:eastAsia="en-US"/>
        </w:rPr>
        <w:t xml:space="preserve">(раздел «Деятельность / Антимонопольный комплаенс», </w:t>
      </w:r>
      <w:hyperlink r:id="rId191" w:history="1">
        <w:r w:rsidRPr="00BC03BF">
          <w:rPr>
            <w:rStyle w:val="a3"/>
            <w:rFonts w:eastAsiaTheme="minorHAnsi"/>
            <w:szCs w:val="28"/>
            <w:lang w:eastAsia="en-US"/>
          </w:rPr>
          <w:t>https://tarif.nso.ru/page/491</w:t>
        </w:r>
      </w:hyperlink>
      <w:r>
        <w:rPr>
          <w:rFonts w:eastAsiaTheme="minorHAnsi"/>
          <w:szCs w:val="28"/>
          <w:lang w:eastAsia="en-US"/>
        </w:rPr>
        <w:t xml:space="preserve"> ).</w:t>
      </w:r>
    </w:p>
    <w:p w:rsidR="00DB0113" w:rsidRDefault="00DB0113" w:rsidP="00DB0113">
      <w:pPr>
        <w:spacing w:after="0" w:line="240" w:lineRule="auto"/>
        <w:ind w:right="14" w:firstLine="688"/>
        <w:jc w:val="both"/>
        <w:rPr>
          <w:szCs w:val="28"/>
        </w:rPr>
      </w:pPr>
      <w:r w:rsidRPr="00C07804">
        <w:rPr>
          <w:szCs w:val="28"/>
        </w:rPr>
        <w:t>Для достижения целей и задач антимонопольного комплаенса</w:t>
      </w:r>
      <w:r>
        <w:rPr>
          <w:szCs w:val="28"/>
        </w:rPr>
        <w:t xml:space="preserve">, определенных пунктами </w:t>
      </w:r>
      <w:r w:rsidRPr="00C07804">
        <w:t>4</w:t>
      </w:r>
      <w:r>
        <w:t xml:space="preserve">, </w:t>
      </w:r>
      <w:r w:rsidRPr="00C07804">
        <w:t xml:space="preserve">5 </w:t>
      </w:r>
      <w:r w:rsidRPr="00C07804">
        <w:rPr>
          <w:szCs w:val="28"/>
        </w:rPr>
        <w:t>Положения об антимонопольном комплаенсе</w:t>
      </w:r>
      <w:r>
        <w:rPr>
          <w:szCs w:val="28"/>
        </w:rPr>
        <w:t xml:space="preserve">, </w:t>
      </w:r>
      <w:r w:rsidRPr="00C07804">
        <w:rPr>
          <w:szCs w:val="28"/>
        </w:rPr>
        <w:t>в 2024 году в департаменте был реализован комплекс мероприятий</w:t>
      </w:r>
      <w:r>
        <w:rPr>
          <w:szCs w:val="28"/>
        </w:rPr>
        <w:t xml:space="preserve"> </w:t>
      </w:r>
      <w:r w:rsidRPr="00C07804">
        <w:rPr>
          <w:szCs w:val="28"/>
        </w:rPr>
        <w:t>по</w:t>
      </w:r>
      <w:r w:rsidRPr="00C07804">
        <w:t xml:space="preserve"> </w:t>
      </w:r>
      <w:r w:rsidRPr="00C07804">
        <w:lastRenderedPageBreak/>
        <w:t>выявлению</w:t>
      </w:r>
      <w:r>
        <w:t xml:space="preserve"> </w:t>
      </w:r>
      <w:r w:rsidRPr="00C07804">
        <w:t xml:space="preserve">рисков нарушения антимонопольного законодательства в деятельности департамента </w:t>
      </w:r>
      <w:r>
        <w:t>(</w:t>
      </w:r>
      <w:r w:rsidRPr="00C07804">
        <w:t>далее – комплаенс</w:t>
      </w:r>
      <w:r w:rsidRPr="00C07804">
        <w:rPr>
          <w:noProof/>
        </w:rPr>
        <w:drawing>
          <wp:inline distT="0" distB="0" distL="0" distR="0" wp14:anchorId="23C11628" wp14:editId="417BBD32">
            <wp:extent cx="15875" cy="8255"/>
            <wp:effectExtent l="0" t="0" r="0" b="0"/>
            <wp:docPr id="324"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45"/>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15875" cy="8255"/>
                    </a:xfrm>
                    <a:prstGeom prst="rect">
                      <a:avLst/>
                    </a:prstGeom>
                    <a:noFill/>
                    <a:ln>
                      <a:noFill/>
                    </a:ln>
                  </pic:spPr>
                </pic:pic>
              </a:graphicData>
            </a:graphic>
          </wp:inline>
        </w:drawing>
      </w:r>
      <w:r w:rsidRPr="00C07804">
        <w:rPr>
          <w:noProof/>
        </w:rPr>
        <w:t>-</w:t>
      </w:r>
      <w:r w:rsidRPr="00C07804">
        <w:t>риски)</w:t>
      </w:r>
      <w:r>
        <w:t xml:space="preserve"> и </w:t>
      </w:r>
      <w:r w:rsidRPr="00C07804">
        <w:t xml:space="preserve">определению вероятности </w:t>
      </w:r>
      <w:r>
        <w:t xml:space="preserve">их </w:t>
      </w:r>
      <w:r w:rsidRPr="00C07804">
        <w:t>возникновения</w:t>
      </w:r>
      <w:r>
        <w:t xml:space="preserve">. </w:t>
      </w:r>
    </w:p>
    <w:p w:rsidR="00DB0113" w:rsidRDefault="00DB0113" w:rsidP="00DB0113">
      <w:pPr>
        <w:spacing w:after="0" w:line="240" w:lineRule="auto"/>
        <w:ind w:right="14" w:firstLine="688"/>
        <w:jc w:val="both"/>
        <w:rPr>
          <w:szCs w:val="28"/>
        </w:rPr>
      </w:pPr>
      <w:r>
        <w:rPr>
          <w:szCs w:val="28"/>
        </w:rPr>
        <w:t xml:space="preserve">В рамках реализации вышеуказанных </w:t>
      </w:r>
      <w:r w:rsidRPr="00C07804">
        <w:rPr>
          <w:szCs w:val="28"/>
        </w:rPr>
        <w:t>мероприятий</w:t>
      </w:r>
      <w:r>
        <w:rPr>
          <w:szCs w:val="28"/>
        </w:rPr>
        <w:t xml:space="preserve"> </w:t>
      </w:r>
      <w:r w:rsidRPr="00C07804">
        <w:rPr>
          <w:szCs w:val="28"/>
        </w:rPr>
        <w:t>были утверждены ключевые показатели эффективности антимонопольного комплаенса в департаменте на 2024 год</w:t>
      </w:r>
      <w:r>
        <w:rPr>
          <w:szCs w:val="28"/>
        </w:rPr>
        <w:t xml:space="preserve"> (размещены </w:t>
      </w:r>
      <w:r w:rsidRPr="002C2505">
        <w:rPr>
          <w:rFonts w:eastAsiaTheme="minorHAnsi"/>
          <w:szCs w:val="28"/>
          <w:lang w:eastAsia="en-US"/>
        </w:rPr>
        <w:t>на официальном сайте департамента в информационно-телекоммуникационной сети Интернет</w:t>
      </w:r>
      <w:r>
        <w:rPr>
          <w:rFonts w:eastAsiaTheme="minorHAnsi"/>
          <w:szCs w:val="28"/>
          <w:lang w:eastAsia="en-US"/>
        </w:rPr>
        <w:t xml:space="preserve">, раздел «Деятельность / Антимонопольный комплаенс», </w:t>
      </w:r>
      <w:hyperlink r:id="rId193" w:history="1">
        <w:r w:rsidRPr="00BC03BF">
          <w:rPr>
            <w:rStyle w:val="a3"/>
            <w:rFonts w:eastAsiaTheme="minorHAnsi"/>
            <w:szCs w:val="28"/>
            <w:lang w:eastAsia="en-US"/>
          </w:rPr>
          <w:t>https://tarif.nso.ru/page/491</w:t>
        </w:r>
      </w:hyperlink>
      <w:r>
        <w:rPr>
          <w:rFonts w:eastAsiaTheme="minorHAnsi"/>
          <w:szCs w:val="28"/>
          <w:lang w:eastAsia="en-US"/>
        </w:rPr>
        <w:t xml:space="preserve"> ). </w:t>
      </w:r>
    </w:p>
    <w:p w:rsidR="00DB0113" w:rsidRPr="00C07804" w:rsidRDefault="00DB0113" w:rsidP="00DB0113">
      <w:pPr>
        <w:spacing w:after="0" w:line="240" w:lineRule="auto"/>
        <w:ind w:left="21" w:right="14" w:firstLine="688"/>
        <w:jc w:val="both"/>
        <w:rPr>
          <w:szCs w:val="28"/>
        </w:rPr>
      </w:pPr>
      <w:r w:rsidRPr="00C07804">
        <w:rPr>
          <w:szCs w:val="28"/>
        </w:rPr>
        <w:t>В целях выявления и оценки комплаенс-рисков</w:t>
      </w:r>
      <w:r>
        <w:rPr>
          <w:szCs w:val="28"/>
        </w:rPr>
        <w:t>,</w:t>
      </w:r>
      <w:r w:rsidRPr="00C07804">
        <w:rPr>
          <w:szCs w:val="28"/>
        </w:rPr>
        <w:t xml:space="preserve"> в 2024 году проведены мероприятия, предусмотренные пунктами 16-20 Положения об антимонопольном комплаенсе</w:t>
      </w:r>
      <w:r>
        <w:rPr>
          <w:szCs w:val="28"/>
        </w:rPr>
        <w:t>.</w:t>
      </w:r>
      <w:r w:rsidRPr="00C07804">
        <w:rPr>
          <w:szCs w:val="28"/>
        </w:rPr>
        <w:t xml:space="preserve"> </w:t>
      </w:r>
    </w:p>
    <w:p w:rsidR="00DB0113" w:rsidRPr="00C07804" w:rsidRDefault="00DB0113" w:rsidP="00DB0113">
      <w:pPr>
        <w:spacing w:after="0" w:line="240" w:lineRule="auto"/>
        <w:ind w:right="11" w:firstLine="688"/>
        <w:jc w:val="both"/>
      </w:pPr>
      <w:r w:rsidRPr="00C07804">
        <w:t xml:space="preserve">При проведении в 2024 году анализа нормативных правовых актов департамента, на официальном сайте департамента в </w:t>
      </w:r>
      <w:r w:rsidRPr="00C07804">
        <w:rPr>
          <w:noProof/>
        </w:rPr>
        <w:drawing>
          <wp:inline distT="0" distB="0" distL="0" distR="0" wp14:anchorId="4315F7A3" wp14:editId="3CCA0534">
            <wp:extent cx="8255" cy="24130"/>
            <wp:effectExtent l="0" t="0" r="0" b="0"/>
            <wp:docPr id="325"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72"/>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8255" cy="24130"/>
                    </a:xfrm>
                    <a:prstGeom prst="rect">
                      <a:avLst/>
                    </a:prstGeom>
                    <a:noFill/>
                    <a:ln>
                      <a:noFill/>
                    </a:ln>
                  </pic:spPr>
                </pic:pic>
              </a:graphicData>
            </a:graphic>
          </wp:inline>
        </w:drawing>
      </w:r>
      <w:r w:rsidRPr="00C07804">
        <w:t xml:space="preserve">информационно-телекоммуникационной сети Интернет размещались исчерпывающий перечень изданных в 2023 году нормативных правовых актов департамента (с приложением текстов включенных в </w:t>
      </w:r>
      <w:r w:rsidRPr="00C07804">
        <w:rPr>
          <w:noProof/>
        </w:rPr>
        <w:drawing>
          <wp:inline distT="0" distB="0" distL="0" distR="0" wp14:anchorId="2D365F54" wp14:editId="19F3DF47">
            <wp:extent cx="8255" cy="8255"/>
            <wp:effectExtent l="0" t="0" r="0" b="0"/>
            <wp:docPr id="326"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05"/>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t xml:space="preserve">него актов), а также уведомление о начале сбора замечаний </w:t>
      </w:r>
      <w:r w:rsidRPr="00C07804">
        <w:rPr>
          <w:noProof/>
        </w:rPr>
        <w:drawing>
          <wp:inline distT="0" distB="0" distL="0" distR="0" wp14:anchorId="3BC95E64" wp14:editId="3736F3A0">
            <wp:extent cx="8255" cy="8255"/>
            <wp:effectExtent l="0" t="0" r="0" b="0"/>
            <wp:docPr id="32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08"/>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t xml:space="preserve">и предложений организаций, граждан по такому перечню. Замечания, предложения от организаций и граждан в отношении изданных департаментом нормативных правовых актов (о наличии в них </w:t>
      </w:r>
      <w:r w:rsidRPr="00C07804">
        <w:rPr>
          <w:szCs w:val="28"/>
        </w:rPr>
        <w:t xml:space="preserve">положений, влекущих нарушения антимонопольного законодательства) </w:t>
      </w:r>
      <w:r w:rsidRPr="00C07804">
        <w:t xml:space="preserve">не поступили. </w:t>
      </w:r>
    </w:p>
    <w:p w:rsidR="00DB0113" w:rsidRPr="00C07804" w:rsidRDefault="00DB0113" w:rsidP="00DB0113">
      <w:pPr>
        <w:spacing w:after="0" w:line="240" w:lineRule="auto"/>
        <w:ind w:right="11" w:firstLine="688"/>
        <w:jc w:val="both"/>
      </w:pPr>
      <w:r w:rsidRPr="00C07804">
        <w:t>При проведении в 2024 году анализа проектов нормативных правовых актов департамента (на постоянной основе в течение года, по мере подготовки проектов):</w:t>
      </w:r>
    </w:p>
    <w:p w:rsidR="00DB0113" w:rsidRDefault="00DB0113" w:rsidP="00DB0113">
      <w:pPr>
        <w:spacing w:after="0" w:line="240" w:lineRule="auto"/>
        <w:ind w:right="11" w:firstLine="688"/>
        <w:jc w:val="both"/>
      </w:pPr>
      <w:r w:rsidRPr="00C07804">
        <w:t xml:space="preserve">-осуществлялось размещение на официальном сайте департамента в </w:t>
      </w:r>
      <w:r w:rsidRPr="00C07804">
        <w:rPr>
          <w:noProof/>
        </w:rPr>
        <w:drawing>
          <wp:inline distT="0" distB="0" distL="0" distR="0" wp14:anchorId="522D1E09" wp14:editId="27E6221A">
            <wp:extent cx="8255" cy="24130"/>
            <wp:effectExtent l="0" t="0" r="0" b="0"/>
            <wp:docPr id="328"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72"/>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8255" cy="24130"/>
                    </a:xfrm>
                    <a:prstGeom prst="rect">
                      <a:avLst/>
                    </a:prstGeom>
                    <a:noFill/>
                    <a:ln>
                      <a:noFill/>
                    </a:ln>
                  </pic:spPr>
                </pic:pic>
              </a:graphicData>
            </a:graphic>
          </wp:inline>
        </w:drawing>
      </w:r>
      <w:r w:rsidRPr="00C07804">
        <w:t xml:space="preserve">информационно-телекоммуникационной сети Интернет и в государственной информационной системе Новосибирской области «Электронная демократия Новосибирской области» проектов нормативных правовых актов департамента, а также обеспечивалась возможность направления организациями, гражданами замечаний и предложений по размещенным проектам нормативных правовых актов департамента (о наличии в них </w:t>
      </w:r>
      <w:r w:rsidRPr="00C07804">
        <w:rPr>
          <w:szCs w:val="28"/>
        </w:rPr>
        <w:t>положений, влекущих нарушения антимонопольного законодательства)</w:t>
      </w:r>
      <w:r>
        <w:rPr>
          <w:szCs w:val="28"/>
        </w:rPr>
        <w:t>. З</w:t>
      </w:r>
      <w:r w:rsidRPr="00C07804">
        <w:rPr>
          <w:szCs w:val="28"/>
        </w:rPr>
        <w:t xml:space="preserve">амечаний и предложений </w:t>
      </w:r>
      <w:r w:rsidRPr="00C07804">
        <w:t>не поступило</w:t>
      </w:r>
      <w:r>
        <w:t xml:space="preserve">; </w:t>
      </w:r>
    </w:p>
    <w:p w:rsidR="00DB0113" w:rsidRPr="00C07804" w:rsidRDefault="00DB0113" w:rsidP="00DB0113">
      <w:pPr>
        <w:spacing w:after="0" w:line="240" w:lineRule="auto"/>
        <w:ind w:left="21" w:right="14" w:firstLine="688"/>
        <w:jc w:val="both"/>
        <w:rPr>
          <w:szCs w:val="28"/>
        </w:rPr>
      </w:pPr>
      <w:r w:rsidRPr="00C07804">
        <w:rPr>
          <w:szCs w:val="28"/>
        </w:rPr>
        <w:t>-при проведении правовой и антикоррупционной экспертиз проектов нормативных правовых актов департаментом в 2024 году особое внимание уделялось вопросам недопущения ограничения конкуренции</w:t>
      </w:r>
      <w:r>
        <w:rPr>
          <w:szCs w:val="28"/>
        </w:rPr>
        <w:t>; по результатам их проведения п</w:t>
      </w:r>
      <w:r w:rsidRPr="00C07804">
        <w:rPr>
          <w:szCs w:val="28"/>
        </w:rPr>
        <w:t>роектов нормативных правовых актов департамента, ограничивающих конкуренцию либо свидетельствующих об иных формах нарушения антимонопольного законодательства, не выявлено.</w:t>
      </w:r>
    </w:p>
    <w:p w:rsidR="00DB0113" w:rsidRPr="00C07804" w:rsidRDefault="00DB0113" w:rsidP="00DB0113">
      <w:pPr>
        <w:spacing w:after="0" w:line="240" w:lineRule="auto"/>
        <w:ind w:left="28" w:right="14" w:firstLine="688"/>
        <w:jc w:val="both"/>
      </w:pPr>
      <w:r w:rsidRPr="00C07804">
        <w:t xml:space="preserve">В рамках проведения мониторинга и анализа практики применения департаментом </w:t>
      </w:r>
      <w:r w:rsidRPr="00C07804">
        <w:rPr>
          <w:noProof/>
        </w:rPr>
        <w:drawing>
          <wp:inline distT="0" distB="0" distL="0" distR="0" wp14:anchorId="42B70953" wp14:editId="02ED92BE">
            <wp:extent cx="8255" cy="8255"/>
            <wp:effectExtent l="0" t="0" r="0" b="0"/>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99"/>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t>в 2024 году антимонопольного законодательства (правоприменительн</w:t>
      </w:r>
      <w:r>
        <w:t>ой</w:t>
      </w:r>
      <w:r w:rsidRPr="00C07804">
        <w:t xml:space="preserve"> практик</w:t>
      </w:r>
      <w:r>
        <w:t>и</w:t>
      </w:r>
      <w:r w:rsidRPr="00C07804">
        <w:t>) осуществлялся сбор сведений о правоприменительной практике, в том числе:</w:t>
      </w:r>
    </w:p>
    <w:p w:rsidR="00DB0113" w:rsidRPr="00C07804" w:rsidRDefault="00DB0113" w:rsidP="00DB0113">
      <w:pPr>
        <w:spacing w:after="0" w:line="240" w:lineRule="auto"/>
        <w:ind w:left="28" w:right="14" w:firstLine="688"/>
        <w:jc w:val="both"/>
      </w:pPr>
      <w:r w:rsidRPr="00C07804">
        <w:lastRenderedPageBreak/>
        <w:t>-о наличии (об отсутствии) выявленных отделами департамента при осуществлении их функций в 2024 году рисков нарушения антимонопольного законодательства в деятельности департамента;</w:t>
      </w:r>
    </w:p>
    <w:p w:rsidR="00DB0113" w:rsidRPr="00C07804" w:rsidRDefault="00DB0113" w:rsidP="00DB0113">
      <w:pPr>
        <w:spacing w:after="0" w:line="240" w:lineRule="auto"/>
        <w:ind w:left="28" w:right="14" w:firstLine="688"/>
        <w:jc w:val="both"/>
      </w:pPr>
      <w:r w:rsidRPr="00C07804">
        <w:t xml:space="preserve">-о наличии размещенных в справочной </w:t>
      </w:r>
      <w:r w:rsidRPr="00C07804">
        <w:rPr>
          <w:noProof/>
        </w:rPr>
        <w:drawing>
          <wp:inline distT="0" distB="0" distL="0" distR="0" wp14:anchorId="6F23317A" wp14:editId="342E06D7">
            <wp:extent cx="8255" cy="24130"/>
            <wp:effectExtent l="0" t="0" r="0" b="0"/>
            <wp:docPr id="330"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10"/>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8255" cy="24130"/>
                    </a:xfrm>
                    <a:prstGeom prst="rect">
                      <a:avLst/>
                    </a:prstGeom>
                    <a:noFill/>
                    <a:ln>
                      <a:noFill/>
                    </a:ln>
                  </pic:spPr>
                </pic:pic>
              </a:graphicData>
            </a:graphic>
          </wp:inline>
        </w:drawing>
      </w:r>
      <w:r w:rsidRPr="00C07804">
        <w:t xml:space="preserve">правовой системе «Консультант» или на официальных сайтах ФАС России, УФАС по Новосибирской области в </w:t>
      </w:r>
      <w:r w:rsidRPr="00C07804">
        <w:rPr>
          <w:noProof/>
        </w:rPr>
        <w:drawing>
          <wp:inline distT="0" distB="0" distL="0" distR="0" wp14:anchorId="64C937B3" wp14:editId="166AC6D1">
            <wp:extent cx="8255" cy="8255"/>
            <wp:effectExtent l="0" t="0" r="0" b="0"/>
            <wp:docPr id="331"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84"/>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t>информационно-телекоммуникационной сети Интернет разъяснений антимонопольного органа о типовых нарушениях антимонопольного законодательства исполнительными органами власти (применительно к сферам деятельности департамента).</w:t>
      </w:r>
    </w:p>
    <w:p w:rsidR="00DB0113" w:rsidRPr="00C07804" w:rsidRDefault="00DB0113" w:rsidP="00DB0113">
      <w:pPr>
        <w:spacing w:after="0" w:line="240" w:lineRule="auto"/>
        <w:ind w:left="28" w:right="14" w:firstLine="688"/>
        <w:jc w:val="both"/>
      </w:pPr>
      <w:r w:rsidRPr="00C07804">
        <w:t>По результатам проведения мониторинга и анализа правоприменительной практики, в 2024 году не выявлены комплаенс-риски, изменения правоприменительной практики, проблемы правоприменения</w:t>
      </w:r>
      <w:r>
        <w:t xml:space="preserve"> и</w:t>
      </w:r>
      <w:r w:rsidRPr="00C07804">
        <w:t xml:space="preserve"> вышеуказанные разъяснения антимонопольного органа. </w:t>
      </w:r>
    </w:p>
    <w:p w:rsidR="00DB0113" w:rsidRPr="00C07804" w:rsidRDefault="00DB0113" w:rsidP="00DB0113">
      <w:pPr>
        <w:spacing w:after="0" w:line="240" w:lineRule="auto"/>
        <w:ind w:left="21" w:right="14" w:firstLine="688"/>
        <w:jc w:val="both"/>
        <w:rPr>
          <w:szCs w:val="28"/>
        </w:rPr>
      </w:pPr>
      <w:r w:rsidRPr="00C07804">
        <w:rPr>
          <w:szCs w:val="28"/>
        </w:rPr>
        <w:t xml:space="preserve">Нарушения антимонопольного законодательства в деятельности </w:t>
      </w:r>
      <w:r w:rsidRPr="00C07804">
        <w:rPr>
          <w:noProof/>
          <w:szCs w:val="28"/>
        </w:rPr>
        <w:drawing>
          <wp:inline distT="0" distB="0" distL="0" distR="0" wp14:anchorId="1959EBE9" wp14:editId="29BC1506">
            <wp:extent cx="8255" cy="15875"/>
            <wp:effectExtent l="0" t="0" r="0" b="0"/>
            <wp:docPr id="33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84"/>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8255" cy="15875"/>
                    </a:xfrm>
                    <a:prstGeom prst="rect">
                      <a:avLst/>
                    </a:prstGeom>
                    <a:noFill/>
                    <a:ln>
                      <a:noFill/>
                    </a:ln>
                  </pic:spPr>
                </pic:pic>
              </a:graphicData>
            </a:graphic>
          </wp:inline>
        </w:drawing>
      </w:r>
      <w:r w:rsidRPr="00C07804">
        <w:rPr>
          <w:szCs w:val="28"/>
        </w:rPr>
        <w:t xml:space="preserve">департамента за последние </w:t>
      </w:r>
      <w:r>
        <w:rPr>
          <w:szCs w:val="28"/>
        </w:rPr>
        <w:t>три</w:t>
      </w:r>
      <w:r w:rsidRPr="00C07804">
        <w:rPr>
          <w:szCs w:val="28"/>
        </w:rPr>
        <w:t xml:space="preserve"> года не выявлены: </w:t>
      </w:r>
    </w:p>
    <w:p w:rsidR="00DB0113" w:rsidRPr="00C07804" w:rsidRDefault="00DB0113" w:rsidP="00DB0113">
      <w:pPr>
        <w:spacing w:after="0" w:line="240" w:lineRule="auto"/>
        <w:ind w:left="21" w:right="14" w:firstLine="688"/>
        <w:jc w:val="both"/>
        <w:rPr>
          <w:szCs w:val="28"/>
        </w:rPr>
      </w:pPr>
      <w:r w:rsidRPr="00C07804">
        <w:rPr>
          <w:szCs w:val="28"/>
        </w:rPr>
        <w:t xml:space="preserve">-соответствующие предостережения, предупреждения, жалобы в отношении департамента не </w:t>
      </w:r>
      <w:r w:rsidRPr="00C07804">
        <w:rPr>
          <w:noProof/>
          <w:szCs w:val="28"/>
        </w:rPr>
        <w:drawing>
          <wp:inline distT="0" distB="0" distL="0" distR="0" wp14:anchorId="2F7F56AE" wp14:editId="432D2056">
            <wp:extent cx="8255" cy="8255"/>
            <wp:effectExtent l="0" t="0" r="0" b="0"/>
            <wp:docPr id="333"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3"/>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Pr="00C07804">
        <w:rPr>
          <w:szCs w:val="28"/>
        </w:rPr>
        <w:t xml:space="preserve">поступали; </w:t>
      </w:r>
    </w:p>
    <w:p w:rsidR="00DB0113" w:rsidRPr="00C07804" w:rsidRDefault="00DB0113" w:rsidP="00DB0113">
      <w:pPr>
        <w:spacing w:after="0" w:line="240" w:lineRule="auto"/>
        <w:ind w:left="21" w:right="14" w:firstLine="688"/>
        <w:jc w:val="both"/>
        <w:rPr>
          <w:szCs w:val="28"/>
        </w:rPr>
      </w:pPr>
      <w:r w:rsidRPr="00C07804">
        <w:rPr>
          <w:szCs w:val="28"/>
        </w:rPr>
        <w:t xml:space="preserve">-дела о нарушениях антимонопольного законодательства в отношении департамента </w:t>
      </w:r>
      <w:r w:rsidRPr="00C07804">
        <w:t xml:space="preserve">антимонопольным органом </w:t>
      </w:r>
      <w:r w:rsidRPr="00C07804">
        <w:rPr>
          <w:szCs w:val="28"/>
        </w:rPr>
        <w:t xml:space="preserve">не возбуждались. </w:t>
      </w:r>
    </w:p>
    <w:p w:rsidR="00DB0113" w:rsidRPr="00C07804" w:rsidRDefault="00DB0113" w:rsidP="00DB0113">
      <w:pPr>
        <w:spacing w:after="0" w:line="240" w:lineRule="auto"/>
        <w:ind w:right="-6" w:firstLine="688"/>
        <w:jc w:val="both"/>
      </w:pPr>
      <w:r w:rsidRPr="00C07804">
        <w:t xml:space="preserve">До руководителей отделов департамента в 2024 году доводилась информация: </w:t>
      </w:r>
    </w:p>
    <w:p w:rsidR="00DB0113" w:rsidRPr="00C07804" w:rsidRDefault="00DB0113" w:rsidP="00DB0113">
      <w:pPr>
        <w:spacing w:after="0" w:line="240" w:lineRule="auto"/>
        <w:ind w:right="-6" w:firstLine="688"/>
        <w:jc w:val="both"/>
      </w:pPr>
      <w:r>
        <w:t>-</w:t>
      </w:r>
      <w:r w:rsidRPr="00C07804">
        <w:t xml:space="preserve"> о </w:t>
      </w:r>
      <w:r>
        <w:t>внесении</w:t>
      </w:r>
      <w:r w:rsidRPr="00C07804">
        <w:t xml:space="preserve"> </w:t>
      </w:r>
      <w:r w:rsidRPr="00C07804">
        <w:rPr>
          <w:szCs w:val="28"/>
        </w:rPr>
        <w:t xml:space="preserve">приказом руководителя департамента </w:t>
      </w:r>
      <w:r w:rsidRPr="00C07804">
        <w:t xml:space="preserve">от 27.12.2023 № 27 </w:t>
      </w:r>
      <w:r>
        <w:t xml:space="preserve">изменений в </w:t>
      </w:r>
      <w:r w:rsidRPr="00C07804">
        <w:rPr>
          <w:szCs w:val="28"/>
        </w:rPr>
        <w:t>Положени</w:t>
      </w:r>
      <w:r>
        <w:rPr>
          <w:szCs w:val="28"/>
        </w:rPr>
        <w:t>е</w:t>
      </w:r>
      <w:r w:rsidRPr="00C07804">
        <w:rPr>
          <w:szCs w:val="28"/>
        </w:rPr>
        <w:t xml:space="preserve"> об антимонопольном комплаенсе; </w:t>
      </w:r>
    </w:p>
    <w:p w:rsidR="00DB0113" w:rsidRDefault="00DB0113" w:rsidP="00DB0113">
      <w:pPr>
        <w:spacing w:after="0" w:line="240" w:lineRule="auto"/>
        <w:ind w:right="-6" w:firstLine="688"/>
        <w:jc w:val="both"/>
      </w:pPr>
      <w:r>
        <w:t>-</w:t>
      </w:r>
      <w:r w:rsidRPr="00C07804">
        <w:t> о</w:t>
      </w:r>
      <w:r>
        <w:t xml:space="preserve">б </w:t>
      </w:r>
      <w:r w:rsidRPr="00C07804">
        <w:t xml:space="preserve">изменениях антимонопольного законодательства в 2024 году </w:t>
      </w:r>
      <w:r>
        <w:t xml:space="preserve">(принятия </w:t>
      </w:r>
      <w:r w:rsidRPr="00C07804">
        <w:t>Федеральн</w:t>
      </w:r>
      <w:r>
        <w:t>ых</w:t>
      </w:r>
      <w:r w:rsidRPr="00C07804">
        <w:t xml:space="preserve"> закон</w:t>
      </w:r>
      <w:r>
        <w:t>ов</w:t>
      </w:r>
      <w:r w:rsidRPr="00C07804">
        <w:t xml:space="preserve"> от 22.04.2024 № 94-ФЗ </w:t>
      </w:r>
      <w:r>
        <w:t xml:space="preserve">и </w:t>
      </w:r>
      <w:r w:rsidRPr="00C07804">
        <w:t>от 14.10.2024 № 344-ФЗ</w:t>
      </w:r>
      <w:r>
        <w:t xml:space="preserve">, которыми внесены изменения в </w:t>
      </w:r>
      <w:r w:rsidRPr="00C07804">
        <w:rPr>
          <w:szCs w:val="28"/>
          <w:shd w:val="clear" w:color="auto" w:fill="FFFFFF"/>
        </w:rPr>
        <w:t>Федеральн</w:t>
      </w:r>
      <w:r>
        <w:rPr>
          <w:szCs w:val="28"/>
          <w:shd w:val="clear" w:color="auto" w:fill="FFFFFF"/>
        </w:rPr>
        <w:t>ый</w:t>
      </w:r>
      <w:r w:rsidRPr="00C07804">
        <w:rPr>
          <w:szCs w:val="28"/>
          <w:shd w:val="clear" w:color="auto" w:fill="FFFFFF"/>
        </w:rPr>
        <w:t xml:space="preserve"> закон от 26.07.2006 № 135-ФЗ «О защите конкуренции»</w:t>
      </w:r>
      <w:r>
        <w:rPr>
          <w:szCs w:val="28"/>
          <w:shd w:val="clear" w:color="auto" w:fill="FFFFFF"/>
        </w:rPr>
        <w:t xml:space="preserve">); </w:t>
      </w:r>
    </w:p>
    <w:p w:rsidR="00DB0113" w:rsidRDefault="00DB0113" w:rsidP="00DB0113">
      <w:pPr>
        <w:spacing w:after="0" w:line="240" w:lineRule="auto"/>
        <w:ind w:right="-6" w:firstLine="688"/>
        <w:jc w:val="both"/>
      </w:pPr>
      <w:r>
        <w:t>-</w:t>
      </w:r>
      <w:r w:rsidRPr="00C07804">
        <w:t xml:space="preserve"> о разъяснении Конституционным Судом Российской Федерации в постановлении от 04.07.2024 № 35-П конституционно-правового смысла положений части 1 статьи 15 </w:t>
      </w:r>
      <w:r w:rsidRPr="00C07804">
        <w:rPr>
          <w:szCs w:val="28"/>
          <w:shd w:val="clear" w:color="auto" w:fill="FFFFFF"/>
        </w:rPr>
        <w:t>Федеральн</w:t>
      </w:r>
      <w:r>
        <w:rPr>
          <w:szCs w:val="28"/>
          <w:shd w:val="clear" w:color="auto" w:fill="FFFFFF"/>
        </w:rPr>
        <w:t>ого</w:t>
      </w:r>
      <w:r w:rsidRPr="00C07804">
        <w:rPr>
          <w:szCs w:val="28"/>
          <w:shd w:val="clear" w:color="auto" w:fill="FFFFFF"/>
        </w:rPr>
        <w:t xml:space="preserve"> закон</w:t>
      </w:r>
      <w:r>
        <w:rPr>
          <w:szCs w:val="28"/>
          <w:shd w:val="clear" w:color="auto" w:fill="FFFFFF"/>
        </w:rPr>
        <w:t>а</w:t>
      </w:r>
      <w:r w:rsidRPr="00C07804">
        <w:rPr>
          <w:szCs w:val="28"/>
          <w:shd w:val="clear" w:color="auto" w:fill="FFFFFF"/>
        </w:rPr>
        <w:t xml:space="preserve"> от 26.07.2006 № 135-ФЗ «О</w:t>
      </w:r>
      <w:r>
        <w:rPr>
          <w:szCs w:val="28"/>
          <w:shd w:val="clear" w:color="auto" w:fill="FFFFFF"/>
        </w:rPr>
        <w:t> </w:t>
      </w:r>
      <w:r w:rsidRPr="00C07804">
        <w:rPr>
          <w:szCs w:val="28"/>
          <w:shd w:val="clear" w:color="auto" w:fill="FFFFFF"/>
        </w:rPr>
        <w:t>защите конкуренции»</w:t>
      </w:r>
      <w:r>
        <w:rPr>
          <w:szCs w:val="28"/>
          <w:shd w:val="clear" w:color="auto" w:fill="FFFFFF"/>
        </w:rPr>
        <w:t>.</w:t>
      </w:r>
    </w:p>
    <w:p w:rsidR="00DB0113" w:rsidRDefault="00DB0113" w:rsidP="00DB0113">
      <w:pPr>
        <w:spacing w:after="0" w:line="240" w:lineRule="auto"/>
        <w:ind w:right="-6" w:firstLine="688"/>
        <w:jc w:val="both"/>
        <w:rPr>
          <w:szCs w:val="28"/>
        </w:rPr>
      </w:pPr>
      <w:r w:rsidRPr="00C07804">
        <w:rPr>
          <w:szCs w:val="28"/>
        </w:rPr>
        <w:t xml:space="preserve">В связи с тем, что в 2024 году </w:t>
      </w:r>
      <w:r w:rsidRPr="00C07804">
        <w:t xml:space="preserve">комплаенс-риски </w:t>
      </w:r>
      <w:r>
        <w:t xml:space="preserve">департаментом </w:t>
      </w:r>
      <w:r w:rsidRPr="00C07804">
        <w:t>не выявл</w:t>
      </w:r>
      <w:r>
        <w:t>ялись</w:t>
      </w:r>
      <w:r w:rsidRPr="00C07804">
        <w:t xml:space="preserve">, </w:t>
      </w:r>
      <w:r>
        <w:t xml:space="preserve">на основании </w:t>
      </w:r>
      <w:r w:rsidRPr="00C07804">
        <w:rPr>
          <w:szCs w:val="28"/>
        </w:rPr>
        <w:t>пункт</w:t>
      </w:r>
      <w:r>
        <w:rPr>
          <w:szCs w:val="28"/>
        </w:rPr>
        <w:t>ов</w:t>
      </w:r>
      <w:r w:rsidRPr="00C07804">
        <w:rPr>
          <w:szCs w:val="28"/>
        </w:rPr>
        <w:t xml:space="preserve"> 24-29 Положения об антимонопольном комплаенсе </w:t>
      </w:r>
      <w:r w:rsidRPr="00C07804">
        <w:t xml:space="preserve">мероприятия по снижению комплаенс-рисков департаментом </w:t>
      </w:r>
      <w:r w:rsidRPr="00C07804">
        <w:rPr>
          <w:szCs w:val="28"/>
        </w:rPr>
        <w:t xml:space="preserve">в 2024 году </w:t>
      </w:r>
      <w:r w:rsidRPr="00C07804">
        <w:t>не разрабатывались</w:t>
      </w:r>
      <w:r>
        <w:t>.</w:t>
      </w:r>
      <w:r w:rsidRPr="00C07804">
        <w:rPr>
          <w:szCs w:val="28"/>
        </w:rPr>
        <w:t xml:space="preserve"> </w:t>
      </w:r>
    </w:p>
    <w:p w:rsidR="00DB0113" w:rsidRDefault="00DB0113" w:rsidP="00DB0113">
      <w:pPr>
        <w:spacing w:after="0" w:line="240" w:lineRule="auto"/>
        <w:ind w:right="-2" w:firstLine="709"/>
        <w:jc w:val="both"/>
        <w:rPr>
          <w:szCs w:val="28"/>
        </w:rPr>
      </w:pPr>
      <w:r>
        <w:rPr>
          <w:szCs w:val="28"/>
        </w:rPr>
        <w:t xml:space="preserve">На 2024 год были </w:t>
      </w:r>
      <w:r w:rsidRPr="00C07804">
        <w:rPr>
          <w:szCs w:val="28"/>
        </w:rPr>
        <w:t>запланированы</w:t>
      </w:r>
      <w:r>
        <w:rPr>
          <w:szCs w:val="28"/>
        </w:rPr>
        <w:t xml:space="preserve"> (</w:t>
      </w:r>
      <w:r w:rsidRPr="00C07804">
        <w:rPr>
          <w:szCs w:val="28"/>
        </w:rPr>
        <w:t>утверждены руководителем департамента 27.12.2023</w:t>
      </w:r>
      <w:r>
        <w:rPr>
          <w:szCs w:val="28"/>
        </w:rPr>
        <w:t>)</w:t>
      </w:r>
      <w:r w:rsidRPr="00C07804">
        <w:rPr>
          <w:szCs w:val="28"/>
        </w:rPr>
        <w:t xml:space="preserve"> на </w:t>
      </w:r>
      <w:r w:rsidRPr="00C07804">
        <w:rPr>
          <w:noProof/>
          <w:szCs w:val="28"/>
        </w:rPr>
        <w:drawing>
          <wp:inline distT="0" distB="0" distL="0" distR="0" wp14:anchorId="353E55E4" wp14:editId="3371CCB8">
            <wp:extent cx="15875" cy="15875"/>
            <wp:effectExtent l="0" t="0" r="0" b="0"/>
            <wp:docPr id="33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01"/>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15875" cy="15875"/>
                    </a:xfrm>
                    <a:prstGeom prst="rect">
                      <a:avLst/>
                    </a:prstGeom>
                    <a:noFill/>
                    <a:ln>
                      <a:noFill/>
                    </a:ln>
                  </pic:spPr>
                </pic:pic>
              </a:graphicData>
            </a:graphic>
          </wp:inline>
        </w:drawing>
      </w:r>
      <w:r w:rsidRPr="00C07804">
        <w:rPr>
          <w:szCs w:val="28"/>
        </w:rPr>
        <w:t>нулевом уровне</w:t>
      </w:r>
      <w:r>
        <w:rPr>
          <w:szCs w:val="28"/>
        </w:rPr>
        <w:t xml:space="preserve"> следующие к</w:t>
      </w:r>
      <w:r w:rsidRPr="00C07804">
        <w:rPr>
          <w:szCs w:val="28"/>
        </w:rPr>
        <w:t>лючевые показатели эффективности антимонопольного комплаенса в департаменте</w:t>
      </w:r>
      <w:r>
        <w:rPr>
          <w:szCs w:val="28"/>
        </w:rPr>
        <w:t xml:space="preserve">: </w:t>
      </w:r>
    </w:p>
    <w:p w:rsidR="00DB0113" w:rsidRDefault="00DB0113" w:rsidP="00DB0113">
      <w:pPr>
        <w:spacing w:after="0" w:line="240" w:lineRule="auto"/>
        <w:ind w:right="-2" w:firstLine="709"/>
        <w:jc w:val="both"/>
      </w:pPr>
      <w:r>
        <w:t>-к</w:t>
      </w:r>
      <w:r w:rsidRPr="00C07804">
        <w:t>оличество проектов нормативных правовых актов департамента, в которых выявлены риски нарушения антимонопольного законодательства</w:t>
      </w:r>
      <w:r>
        <w:t>;</w:t>
      </w:r>
    </w:p>
    <w:p w:rsidR="00DB0113" w:rsidRDefault="00DB0113" w:rsidP="00DB0113">
      <w:pPr>
        <w:spacing w:after="0" w:line="240" w:lineRule="auto"/>
        <w:ind w:right="-2" w:firstLine="709"/>
        <w:jc w:val="both"/>
      </w:pPr>
      <w:r>
        <w:t>-к</w:t>
      </w:r>
      <w:r w:rsidRPr="00C07804">
        <w:t>оличество нормативных правовых актов департамента, в которых выявлены нарушения антимонопольного законодательства</w:t>
      </w:r>
      <w:r>
        <w:t>;</w:t>
      </w:r>
    </w:p>
    <w:p w:rsidR="00DB0113" w:rsidRDefault="00DB0113" w:rsidP="00DB0113">
      <w:pPr>
        <w:spacing w:after="0" w:line="240" w:lineRule="auto"/>
        <w:ind w:right="-2" w:firstLine="709"/>
        <w:jc w:val="both"/>
        <w:rPr>
          <w:szCs w:val="28"/>
        </w:rPr>
      </w:pPr>
      <w:r>
        <w:t>-к</w:t>
      </w:r>
      <w:r w:rsidRPr="00C07804">
        <w:t>оличество выявленных нарушений антимонопольного законодательства в деятельности департамента (наличие предостережений, предупреждений, штрафов, жалоб, возбужденных дел)</w:t>
      </w:r>
      <w:r>
        <w:t>.</w:t>
      </w:r>
    </w:p>
    <w:p w:rsidR="00DB0113" w:rsidRDefault="00DB0113" w:rsidP="00DB0113">
      <w:pPr>
        <w:spacing w:after="0" w:line="240" w:lineRule="auto"/>
        <w:ind w:right="-2" w:firstLine="709"/>
        <w:jc w:val="both"/>
        <w:rPr>
          <w:szCs w:val="28"/>
        </w:rPr>
      </w:pPr>
      <w:r>
        <w:rPr>
          <w:szCs w:val="28"/>
        </w:rPr>
        <w:lastRenderedPageBreak/>
        <w:t>Согласно проведенной о</w:t>
      </w:r>
      <w:r w:rsidRPr="00C07804">
        <w:rPr>
          <w:szCs w:val="28"/>
        </w:rPr>
        <w:t>ценк</w:t>
      </w:r>
      <w:r>
        <w:rPr>
          <w:szCs w:val="28"/>
        </w:rPr>
        <w:t>е</w:t>
      </w:r>
      <w:r w:rsidRPr="00C07804">
        <w:rPr>
          <w:szCs w:val="28"/>
        </w:rPr>
        <w:t xml:space="preserve"> достижения </w:t>
      </w:r>
      <w:r>
        <w:rPr>
          <w:szCs w:val="28"/>
        </w:rPr>
        <w:t>в</w:t>
      </w:r>
      <w:r w:rsidRPr="00C07804">
        <w:rPr>
          <w:szCs w:val="28"/>
        </w:rPr>
        <w:t xml:space="preserve"> 2024 год</w:t>
      </w:r>
      <w:r>
        <w:rPr>
          <w:szCs w:val="28"/>
        </w:rPr>
        <w:t>у</w:t>
      </w:r>
      <w:r w:rsidRPr="00C07804">
        <w:rPr>
          <w:szCs w:val="28"/>
        </w:rPr>
        <w:t xml:space="preserve"> </w:t>
      </w:r>
      <w:r>
        <w:rPr>
          <w:szCs w:val="28"/>
        </w:rPr>
        <w:t xml:space="preserve">вышеуказанных </w:t>
      </w:r>
      <w:r w:rsidRPr="00C07804">
        <w:rPr>
          <w:szCs w:val="28"/>
        </w:rPr>
        <w:t>показателей</w:t>
      </w:r>
      <w:r>
        <w:rPr>
          <w:szCs w:val="28"/>
        </w:rPr>
        <w:t xml:space="preserve">, утвержденные на 2024 год </w:t>
      </w:r>
      <w:r w:rsidRPr="00C07804">
        <w:rPr>
          <w:szCs w:val="28"/>
        </w:rPr>
        <w:t>ключевые показатели эффективности антимонопольного комплаенса в департаменте достигнуты</w:t>
      </w:r>
      <w:r>
        <w:rPr>
          <w:szCs w:val="28"/>
        </w:rPr>
        <w:t xml:space="preserve"> - </w:t>
      </w:r>
      <w:r w:rsidRPr="00C07804">
        <w:rPr>
          <w:szCs w:val="28"/>
        </w:rPr>
        <w:t xml:space="preserve">нарушения антимонопольного законодательства </w:t>
      </w:r>
      <w:r w:rsidRPr="00C07804">
        <w:t>в деятельности департамента</w:t>
      </w:r>
      <w:r w:rsidRPr="00C07804">
        <w:rPr>
          <w:szCs w:val="28"/>
        </w:rPr>
        <w:t xml:space="preserve"> </w:t>
      </w:r>
      <w:r>
        <w:rPr>
          <w:szCs w:val="28"/>
        </w:rPr>
        <w:t xml:space="preserve">(признаки таких нарушений) в 2024 году </w:t>
      </w:r>
      <w:r w:rsidRPr="00C07804">
        <w:rPr>
          <w:szCs w:val="28"/>
        </w:rPr>
        <w:t>не выявлены</w:t>
      </w:r>
    </w:p>
    <w:p w:rsidR="00DB0113" w:rsidRPr="00906DC6" w:rsidRDefault="00DB0113" w:rsidP="00184C22">
      <w:pPr>
        <w:pStyle w:val="4"/>
      </w:pPr>
      <w:bookmarkStart w:id="146" w:name="_Toc193810594"/>
      <w:r w:rsidRPr="00906DC6">
        <w:t>3.3. Региональный государственный контроль (надзор) в области регулируемых государством цен (тарифов)</w:t>
      </w:r>
      <w:bookmarkEnd w:id="145"/>
      <w:r w:rsidRPr="00906DC6">
        <w:t xml:space="preserve"> (далее – государственный контроль (надзор).</w:t>
      </w:r>
      <w:bookmarkEnd w:id="146"/>
    </w:p>
    <w:p w:rsidR="00DB0113" w:rsidRPr="002C2505" w:rsidRDefault="00DB0113" w:rsidP="00DB0113">
      <w:pPr>
        <w:pStyle w:val="ConsPlusNormal"/>
        <w:ind w:firstLine="708"/>
        <w:jc w:val="both"/>
        <w:rPr>
          <w:rFonts w:ascii="Times New Roman" w:hAnsi="Times New Roman" w:cs="Times New Roman"/>
          <w:sz w:val="28"/>
          <w:szCs w:val="28"/>
        </w:rPr>
      </w:pPr>
      <w:r w:rsidRPr="002C2505">
        <w:rPr>
          <w:rFonts w:ascii="Times New Roman" w:hAnsi="Times New Roman" w:cs="Times New Roman"/>
          <w:sz w:val="28"/>
          <w:szCs w:val="28"/>
        </w:rPr>
        <w:t xml:space="preserve">В соответствии с </w:t>
      </w:r>
      <w:r>
        <w:rPr>
          <w:rFonts w:ascii="Times New Roman" w:eastAsiaTheme="minorHAnsi" w:hAnsi="Times New Roman" w:cs="Times New Roman"/>
          <w:sz w:val="28"/>
          <w:szCs w:val="28"/>
          <w:lang w:eastAsia="en-US"/>
        </w:rPr>
        <w:t>П</w:t>
      </w:r>
      <w:r w:rsidRPr="005B30EA">
        <w:rPr>
          <w:rFonts w:ascii="Times New Roman" w:eastAsiaTheme="minorHAnsi" w:hAnsi="Times New Roman" w:cs="Times New Roman"/>
          <w:sz w:val="28"/>
          <w:szCs w:val="28"/>
          <w:lang w:eastAsia="en-US"/>
        </w:rPr>
        <w:t xml:space="preserve">остановлением № 384-п </w:t>
      </w:r>
      <w:r w:rsidRPr="002C2505">
        <w:rPr>
          <w:rFonts w:ascii="Times New Roman" w:hAnsi="Times New Roman" w:cs="Times New Roman"/>
          <w:sz w:val="28"/>
          <w:szCs w:val="28"/>
        </w:rPr>
        <w:t>департаментом осуществляется</w:t>
      </w:r>
      <w:r>
        <w:rPr>
          <w:rFonts w:ascii="Times New Roman" w:hAnsi="Times New Roman" w:cs="Times New Roman"/>
          <w:sz w:val="28"/>
          <w:szCs w:val="28"/>
        </w:rPr>
        <w:t xml:space="preserve"> </w:t>
      </w:r>
      <w:r w:rsidRPr="005B30EA">
        <w:rPr>
          <w:rFonts w:ascii="Times New Roman" w:hAnsi="Times New Roman" w:cs="Times New Roman"/>
          <w:sz w:val="28"/>
          <w:szCs w:val="28"/>
        </w:rPr>
        <w:t>государственн</w:t>
      </w:r>
      <w:r>
        <w:rPr>
          <w:rFonts w:ascii="Times New Roman" w:hAnsi="Times New Roman" w:cs="Times New Roman"/>
          <w:sz w:val="28"/>
          <w:szCs w:val="28"/>
        </w:rPr>
        <w:t>ый</w:t>
      </w:r>
      <w:r w:rsidRPr="005B30EA">
        <w:rPr>
          <w:rFonts w:ascii="Times New Roman" w:hAnsi="Times New Roman" w:cs="Times New Roman"/>
          <w:sz w:val="28"/>
          <w:szCs w:val="28"/>
        </w:rPr>
        <w:t xml:space="preserve"> контрол</w:t>
      </w:r>
      <w:r>
        <w:rPr>
          <w:rFonts w:ascii="Times New Roman" w:hAnsi="Times New Roman" w:cs="Times New Roman"/>
          <w:sz w:val="28"/>
          <w:szCs w:val="28"/>
        </w:rPr>
        <w:t>ь</w:t>
      </w:r>
      <w:r w:rsidRPr="005B30EA">
        <w:rPr>
          <w:rFonts w:ascii="Times New Roman" w:hAnsi="Times New Roman" w:cs="Times New Roman"/>
          <w:sz w:val="28"/>
          <w:szCs w:val="28"/>
        </w:rPr>
        <w:t xml:space="preserve"> (надзор)</w:t>
      </w:r>
      <w:r w:rsidRPr="002C2505">
        <w:rPr>
          <w:rFonts w:ascii="Times New Roman" w:hAnsi="Times New Roman" w:cs="Times New Roman"/>
          <w:sz w:val="28"/>
          <w:szCs w:val="28"/>
        </w:rPr>
        <w:t>, предусматривающий следующие восемь видов контроля (надзора):</w:t>
      </w:r>
    </w:p>
    <w:p w:rsidR="00DB0113" w:rsidRPr="002C2505" w:rsidRDefault="00DB0113" w:rsidP="00DB0113">
      <w:pPr>
        <w:pStyle w:val="ConsPlusNormal"/>
        <w:tabs>
          <w:tab w:val="left" w:pos="284"/>
        </w:tabs>
        <w:ind w:firstLine="709"/>
        <w:jc w:val="both"/>
        <w:rPr>
          <w:rFonts w:ascii="Times New Roman" w:hAnsi="Times New Roman" w:cs="Times New Roman"/>
          <w:sz w:val="28"/>
          <w:szCs w:val="28"/>
        </w:rPr>
      </w:pPr>
      <w:r w:rsidRPr="002C2505">
        <w:rPr>
          <w:rFonts w:ascii="Times New Roman" w:hAnsi="Times New Roman" w:cs="Times New Roman"/>
          <w:sz w:val="28"/>
          <w:szCs w:val="28"/>
        </w:rPr>
        <w:t>-контроль (надзор) в сферах естественных монополий;</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szCs w:val="28"/>
        </w:rPr>
        <w:t xml:space="preserve">-контроль (надзор) </w:t>
      </w:r>
      <w:r w:rsidRPr="002C2505">
        <w:rPr>
          <w:rFonts w:eastAsiaTheme="minorHAnsi"/>
          <w:szCs w:val="28"/>
          <w:lang w:eastAsia="en-US"/>
        </w:rPr>
        <w:t>в области регулирования тарифов в сфере обращения с твердыми коммунальными отходами;</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rFonts w:eastAsiaTheme="minorHAnsi"/>
          <w:szCs w:val="28"/>
          <w:lang w:eastAsia="en-US"/>
        </w:rPr>
        <w:t>-</w:t>
      </w:r>
      <w:r w:rsidRPr="002C2505">
        <w:rPr>
          <w:szCs w:val="28"/>
        </w:rPr>
        <w:t xml:space="preserve">контроль (надзор) </w:t>
      </w:r>
      <w:r w:rsidRPr="002C2505">
        <w:rPr>
          <w:rFonts w:eastAsiaTheme="minorHAnsi"/>
          <w:szCs w:val="28"/>
          <w:lang w:eastAsia="en-US"/>
        </w:rPr>
        <w:t>за установлением и (или) применением регулируемых государством цен (тарифов) в области газоснабжения;</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rFonts w:eastAsiaTheme="minorHAnsi"/>
          <w:szCs w:val="28"/>
          <w:lang w:eastAsia="en-US"/>
        </w:rPr>
        <w:t>-</w:t>
      </w:r>
      <w:r w:rsidRPr="002C2505">
        <w:rPr>
          <w:szCs w:val="28"/>
        </w:rPr>
        <w:t>контроль (надзор)</w:t>
      </w:r>
      <w:r w:rsidRPr="002C2505">
        <w:rPr>
          <w:rFonts w:eastAsiaTheme="minorHAnsi"/>
          <w:szCs w:val="28"/>
          <w:lang w:eastAsia="en-US"/>
        </w:rPr>
        <w:t xml:space="preserve"> за регулируемыми государством ценами (тарифами) в электроэнергетике;</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rFonts w:eastAsiaTheme="minorHAnsi"/>
          <w:szCs w:val="28"/>
          <w:lang w:eastAsia="en-US"/>
        </w:rPr>
        <w:t>-</w:t>
      </w:r>
      <w:r w:rsidRPr="002C2505">
        <w:rPr>
          <w:szCs w:val="28"/>
        </w:rPr>
        <w:t xml:space="preserve">контроль (надзор) </w:t>
      </w:r>
      <w:r w:rsidRPr="002C2505">
        <w:rPr>
          <w:rFonts w:eastAsiaTheme="minorHAnsi"/>
          <w:szCs w:val="28"/>
          <w:lang w:eastAsia="en-US"/>
        </w:rPr>
        <w:t>в области регулирования цен (тарифов) в сфере теплоснабжения;</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rFonts w:eastAsiaTheme="minorHAnsi"/>
          <w:szCs w:val="28"/>
          <w:lang w:eastAsia="en-US"/>
        </w:rPr>
        <w:t>-</w:t>
      </w:r>
      <w:r w:rsidRPr="002C2505">
        <w:rPr>
          <w:szCs w:val="28"/>
        </w:rPr>
        <w:t xml:space="preserve">контроль (надзор) </w:t>
      </w:r>
      <w:r w:rsidRPr="002C2505">
        <w:rPr>
          <w:rFonts w:eastAsiaTheme="minorHAnsi"/>
          <w:szCs w:val="28"/>
          <w:lang w:eastAsia="en-US"/>
        </w:rPr>
        <w:t>в области регулирования тарифов в сфере водоснабжения и водоотведения;</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szCs w:val="28"/>
        </w:rPr>
        <w:t xml:space="preserve">-контроль (надзор) </w:t>
      </w:r>
      <w:r w:rsidRPr="002C2505">
        <w:rPr>
          <w:rFonts w:eastAsiaTheme="minorHAnsi"/>
          <w:szCs w:val="28"/>
          <w:lang w:eastAsia="en-US"/>
        </w:rPr>
        <w:t>за применением цен на лекарственные препараты, включенные в перечень жизненно необходимых и важнейших лекарственных препаратов;</w:t>
      </w:r>
    </w:p>
    <w:p w:rsidR="00DB0113" w:rsidRPr="002C2505" w:rsidRDefault="00DB0113" w:rsidP="00DB0113">
      <w:pPr>
        <w:autoSpaceDE w:val="0"/>
        <w:autoSpaceDN w:val="0"/>
        <w:adjustRightInd w:val="0"/>
        <w:spacing w:after="0" w:line="240" w:lineRule="auto"/>
        <w:ind w:firstLine="709"/>
        <w:jc w:val="both"/>
        <w:rPr>
          <w:rFonts w:eastAsiaTheme="minorHAnsi"/>
          <w:szCs w:val="28"/>
          <w:lang w:eastAsia="en-US"/>
        </w:rPr>
      </w:pPr>
      <w:r w:rsidRPr="002C2505">
        <w:rPr>
          <w:szCs w:val="28"/>
        </w:rPr>
        <w:t xml:space="preserve">-контроль (надзор) </w:t>
      </w:r>
      <w:r w:rsidRPr="002C2505">
        <w:rPr>
          <w:rFonts w:eastAsiaTheme="minorHAnsi"/>
          <w:szCs w:val="28"/>
          <w:lang w:eastAsia="en-US"/>
        </w:rPr>
        <w:t>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w:t>
      </w:r>
    </w:p>
    <w:p w:rsidR="00DB0113" w:rsidRDefault="00DB0113" w:rsidP="00DB0113">
      <w:pPr>
        <w:autoSpaceDE w:val="0"/>
        <w:autoSpaceDN w:val="0"/>
        <w:adjustRightInd w:val="0"/>
        <w:spacing w:after="0" w:line="240" w:lineRule="auto"/>
        <w:ind w:firstLine="709"/>
        <w:jc w:val="both"/>
        <w:rPr>
          <w:szCs w:val="28"/>
        </w:rPr>
      </w:pPr>
      <w:r w:rsidRPr="002C2505">
        <w:rPr>
          <w:rFonts w:eastAsiaTheme="minorHAnsi"/>
          <w:szCs w:val="28"/>
          <w:lang w:eastAsia="en-US"/>
        </w:rPr>
        <w:t xml:space="preserve">Предмет </w:t>
      </w:r>
      <w:r w:rsidRPr="002C2505">
        <w:rPr>
          <w:szCs w:val="28"/>
        </w:rPr>
        <w:t xml:space="preserve">государственного контроля (надзора) </w:t>
      </w:r>
      <w:r>
        <w:rPr>
          <w:szCs w:val="28"/>
        </w:rPr>
        <w:t xml:space="preserve">и обязательные требования, оценка соблюдения которых осуществляется в рамках </w:t>
      </w:r>
      <w:r w:rsidRPr="002C2505">
        <w:rPr>
          <w:szCs w:val="28"/>
        </w:rPr>
        <w:t>государственного контроля (надзора)</w:t>
      </w:r>
      <w:r>
        <w:rPr>
          <w:szCs w:val="28"/>
        </w:rPr>
        <w:t xml:space="preserve">, определены </w:t>
      </w:r>
      <w:r w:rsidRPr="002C2505">
        <w:rPr>
          <w:szCs w:val="28"/>
        </w:rPr>
        <w:t>пунктом 4 Положения о региональном государственном контроле (надзоре) в области государственного регулирования цен (тарифов), утвержденного Постановлением № 384-п (далее – Положение № 384-п)</w:t>
      </w:r>
    </w:p>
    <w:p w:rsidR="00DB0113" w:rsidRPr="002C2505" w:rsidRDefault="00DB0113" w:rsidP="00DB0113">
      <w:pPr>
        <w:autoSpaceDE w:val="0"/>
        <w:autoSpaceDN w:val="0"/>
        <w:adjustRightInd w:val="0"/>
        <w:spacing w:after="0" w:line="240" w:lineRule="auto"/>
        <w:ind w:firstLine="709"/>
        <w:jc w:val="both"/>
        <w:rPr>
          <w:szCs w:val="28"/>
        </w:rPr>
      </w:pPr>
      <w:r w:rsidRPr="002C2505">
        <w:rPr>
          <w:szCs w:val="28"/>
        </w:rPr>
        <w:t>В 202</w:t>
      </w:r>
      <w:r>
        <w:rPr>
          <w:szCs w:val="28"/>
        </w:rPr>
        <w:t>4</w:t>
      </w:r>
      <w:r w:rsidRPr="002C2505">
        <w:rPr>
          <w:szCs w:val="28"/>
        </w:rPr>
        <w:t xml:space="preserve"> году государственный контроль (надзор) осуществлялся департаментом:</w:t>
      </w:r>
    </w:p>
    <w:p w:rsidR="00DB0113" w:rsidRPr="002C2505" w:rsidRDefault="00DB0113" w:rsidP="00DB0113">
      <w:pPr>
        <w:autoSpaceDE w:val="0"/>
        <w:autoSpaceDN w:val="0"/>
        <w:adjustRightInd w:val="0"/>
        <w:spacing w:after="0" w:line="240" w:lineRule="auto"/>
        <w:ind w:firstLine="709"/>
        <w:jc w:val="both"/>
        <w:rPr>
          <w:szCs w:val="28"/>
        </w:rPr>
      </w:pPr>
      <w:r w:rsidRPr="002C2505">
        <w:rPr>
          <w:szCs w:val="28"/>
        </w:rPr>
        <w:t xml:space="preserve">1) в соответствии с </w:t>
      </w:r>
      <w:r>
        <w:rPr>
          <w:szCs w:val="28"/>
        </w:rPr>
        <w:t xml:space="preserve">требованиями </w:t>
      </w:r>
      <w:r w:rsidRPr="002C2505">
        <w:rPr>
          <w:szCs w:val="28"/>
        </w:rPr>
        <w:t>Федеральн</w:t>
      </w:r>
      <w:r>
        <w:rPr>
          <w:szCs w:val="28"/>
        </w:rPr>
        <w:t>ого</w:t>
      </w:r>
      <w:r w:rsidRPr="002C2505">
        <w:rPr>
          <w:szCs w:val="28"/>
        </w:rPr>
        <w:t xml:space="preserve"> закон</w:t>
      </w:r>
      <w:r>
        <w:rPr>
          <w:szCs w:val="28"/>
        </w:rPr>
        <w:t>а</w:t>
      </w:r>
      <w:r w:rsidRPr="002C2505">
        <w:rPr>
          <w:szCs w:val="28"/>
        </w:rPr>
        <w:t xml:space="preserve"> от 31.07.2020 № 248-ФЗ «О государственном контроле (надзоре) и муниципальном контроле в Российской Федерации» (далее – Закон № 248-ФЗ), </w:t>
      </w:r>
      <w:r w:rsidRPr="002C2505">
        <w:rPr>
          <w:rFonts w:eastAsiaTheme="minorHAnsi"/>
          <w:szCs w:val="28"/>
          <w:lang w:eastAsia="en-US"/>
        </w:rPr>
        <w:t>постановлени</w:t>
      </w:r>
      <w:r>
        <w:rPr>
          <w:rFonts w:eastAsiaTheme="minorHAnsi"/>
          <w:szCs w:val="28"/>
          <w:lang w:eastAsia="en-US"/>
        </w:rPr>
        <w:t>я</w:t>
      </w:r>
      <w:r w:rsidRPr="002C2505">
        <w:rPr>
          <w:rFonts w:eastAsiaTheme="minorHAnsi"/>
          <w:szCs w:val="28"/>
          <w:lang w:eastAsia="en-US"/>
        </w:rPr>
        <w:t xml:space="preserve"> Правительства </w:t>
      </w:r>
      <w:r w:rsidRPr="002C2505">
        <w:rPr>
          <w:szCs w:val="28"/>
        </w:rPr>
        <w:t>Российской Федерации</w:t>
      </w:r>
      <w:r w:rsidRPr="002C2505">
        <w:rPr>
          <w:rFonts w:eastAsiaTheme="minorHAnsi"/>
          <w:szCs w:val="28"/>
          <w:lang w:eastAsia="en-US"/>
        </w:rPr>
        <w:t xml:space="preserve"> от 10.03.2022 № 336 «Об особенностях организации и осуществления государственного контроля (надзора), муниципального контроля» (</w:t>
      </w:r>
      <w:r w:rsidRPr="002C2505">
        <w:rPr>
          <w:szCs w:val="28"/>
        </w:rPr>
        <w:t>далее – Постановление № 336)</w:t>
      </w:r>
      <w:r w:rsidRPr="002C2505">
        <w:rPr>
          <w:rFonts w:eastAsiaTheme="minorHAnsi"/>
          <w:szCs w:val="28"/>
          <w:lang w:eastAsia="en-US"/>
        </w:rPr>
        <w:t xml:space="preserve"> и </w:t>
      </w:r>
      <w:r w:rsidRPr="002C2505">
        <w:rPr>
          <w:szCs w:val="28"/>
        </w:rPr>
        <w:t>Постановлени</w:t>
      </w:r>
      <w:r>
        <w:rPr>
          <w:szCs w:val="28"/>
        </w:rPr>
        <w:t>я</w:t>
      </w:r>
      <w:r w:rsidRPr="002C2505">
        <w:rPr>
          <w:szCs w:val="28"/>
        </w:rPr>
        <w:t xml:space="preserve"> № 384-п</w:t>
      </w:r>
      <w:r>
        <w:rPr>
          <w:szCs w:val="28"/>
        </w:rPr>
        <w:t>;</w:t>
      </w:r>
    </w:p>
    <w:p w:rsidR="00DB0113" w:rsidRDefault="00DB0113" w:rsidP="00DB0113">
      <w:pPr>
        <w:autoSpaceDE w:val="0"/>
        <w:autoSpaceDN w:val="0"/>
        <w:adjustRightInd w:val="0"/>
        <w:spacing w:after="0" w:line="240" w:lineRule="auto"/>
        <w:ind w:firstLine="709"/>
        <w:jc w:val="both"/>
        <w:rPr>
          <w:szCs w:val="28"/>
        </w:rPr>
      </w:pPr>
      <w:r>
        <w:rPr>
          <w:szCs w:val="28"/>
        </w:rPr>
        <w:lastRenderedPageBreak/>
        <w:t xml:space="preserve">2) в отношении </w:t>
      </w:r>
      <w:r w:rsidRPr="003220AB">
        <w:rPr>
          <w:szCs w:val="28"/>
        </w:rPr>
        <w:t>1069</w:t>
      </w:r>
      <w:r>
        <w:rPr>
          <w:szCs w:val="28"/>
        </w:rPr>
        <w:t xml:space="preserve"> регулируемых организаций (в 2023 году – в отношении 1175 регулируемых организаций). При этом, зачастую, одна и та же регулируемая организация осуществляла регулируемые виды деятельности в нескольких сферах регулирования и, соответственно, в отношении таких организаций осуществлялись несколько видов государственного контроля (надзора).</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Положением № 384-п:</w:t>
      </w:r>
    </w:p>
    <w:p w:rsidR="00DB0113" w:rsidRDefault="00DB0113" w:rsidP="00DB0113">
      <w:pPr>
        <w:pStyle w:val="ConsPlusNormal"/>
        <w:ind w:firstLine="709"/>
        <w:jc w:val="both"/>
        <w:rPr>
          <w:rFonts w:ascii="Times New Roman" w:hAnsi="Times New Roman" w:cs="Times New Roman"/>
          <w:sz w:val="28"/>
          <w:szCs w:val="28"/>
        </w:rPr>
      </w:pPr>
      <w:r w:rsidRPr="00801E70">
        <w:rPr>
          <w:rFonts w:ascii="Times New Roman" w:hAnsi="Times New Roman" w:cs="Times New Roman"/>
          <w:sz w:val="28"/>
          <w:szCs w:val="28"/>
        </w:rPr>
        <w:t xml:space="preserve">-плановые контрольные (надзорные) мероприятия </w:t>
      </w:r>
      <w:r w:rsidRPr="00AF3344">
        <w:rPr>
          <w:rFonts w:ascii="Times New Roman" w:hAnsi="Times New Roman" w:cs="Times New Roman"/>
          <w:sz w:val="28"/>
          <w:szCs w:val="28"/>
        </w:rPr>
        <w:t>департаментом не проводятся, в связи с чем</w:t>
      </w:r>
      <w:r w:rsidRPr="00801E70">
        <w:rPr>
          <w:rFonts w:ascii="Times New Roman" w:hAnsi="Times New Roman" w:cs="Times New Roman"/>
          <w:sz w:val="28"/>
          <w:szCs w:val="28"/>
        </w:rPr>
        <w:t xml:space="preserve"> отнесение объектов контроля к категориям риска причинения вреда (ущерба) в рамках осуществления видов государственного контроля (надзора) департаментом не осуществляется</w:t>
      </w:r>
      <w:r>
        <w:rPr>
          <w:rFonts w:ascii="Times New Roman" w:hAnsi="Times New Roman" w:cs="Times New Roman"/>
          <w:sz w:val="28"/>
          <w:szCs w:val="28"/>
        </w:rPr>
        <w:t>;</w:t>
      </w:r>
    </w:p>
    <w:p w:rsidR="00DB0113" w:rsidRDefault="00DB0113" w:rsidP="00DB0113">
      <w:pPr>
        <w:autoSpaceDE w:val="0"/>
        <w:autoSpaceDN w:val="0"/>
        <w:adjustRightInd w:val="0"/>
        <w:spacing w:after="0" w:line="240" w:lineRule="auto"/>
        <w:ind w:firstLine="709"/>
        <w:jc w:val="both"/>
        <w:rPr>
          <w:bCs/>
          <w:iCs/>
          <w:szCs w:val="28"/>
        </w:rPr>
      </w:pPr>
      <w:r>
        <w:rPr>
          <w:szCs w:val="28"/>
        </w:rPr>
        <w:t xml:space="preserve">-государственный контроль (надзор) осуществляется департаментом посредством проведения следующих внеплановых контрольных (надзорных) мероприятий: документарная проверка; выездная проверка; </w:t>
      </w:r>
      <w:r w:rsidRPr="004F1D75">
        <w:rPr>
          <w:bCs/>
          <w:iCs/>
          <w:szCs w:val="28"/>
        </w:rPr>
        <w:t>наблюдение за соблюдением обязате</w:t>
      </w:r>
      <w:r>
        <w:rPr>
          <w:bCs/>
          <w:iCs/>
          <w:szCs w:val="28"/>
        </w:rPr>
        <w:t>льных требований.</w:t>
      </w:r>
    </w:p>
    <w:p w:rsidR="00DB0113" w:rsidRDefault="00DB0113" w:rsidP="00DB0113">
      <w:pPr>
        <w:autoSpaceDE w:val="0"/>
        <w:autoSpaceDN w:val="0"/>
        <w:adjustRightInd w:val="0"/>
        <w:spacing w:after="0" w:line="240" w:lineRule="auto"/>
        <w:ind w:firstLine="709"/>
        <w:jc w:val="both"/>
        <w:rPr>
          <w:szCs w:val="28"/>
        </w:rPr>
      </w:pPr>
      <w:r>
        <w:rPr>
          <w:szCs w:val="28"/>
        </w:rPr>
        <w:t xml:space="preserve">В соответствии с Законом № 248-ФЗ и </w:t>
      </w:r>
      <w:r w:rsidRPr="002C2505">
        <w:rPr>
          <w:szCs w:val="28"/>
        </w:rPr>
        <w:t>Постановление</w:t>
      </w:r>
      <w:r>
        <w:rPr>
          <w:szCs w:val="28"/>
        </w:rPr>
        <w:t>м</w:t>
      </w:r>
      <w:r w:rsidRPr="002C2505">
        <w:rPr>
          <w:szCs w:val="28"/>
        </w:rPr>
        <w:t xml:space="preserve"> № 336</w:t>
      </w:r>
      <w:r>
        <w:rPr>
          <w:szCs w:val="28"/>
        </w:rPr>
        <w:t xml:space="preserve"> основаниями для проведения департаментом в рамках государственного контроля (надзора) в 2024 году внеплановых проверок являлись:</w:t>
      </w:r>
    </w:p>
    <w:p w:rsidR="00DB0113" w:rsidRDefault="00DB0113" w:rsidP="00DB0113">
      <w:pPr>
        <w:autoSpaceDE w:val="0"/>
        <w:autoSpaceDN w:val="0"/>
        <w:adjustRightInd w:val="0"/>
        <w:spacing w:after="0" w:line="240" w:lineRule="auto"/>
        <w:ind w:firstLine="709"/>
        <w:jc w:val="both"/>
        <w:rPr>
          <w:szCs w:val="28"/>
        </w:rPr>
      </w:pPr>
      <w:r>
        <w:rPr>
          <w:szCs w:val="28"/>
        </w:rPr>
        <w:t>1)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DB0113" w:rsidRDefault="00DB0113" w:rsidP="00DB0113">
      <w:pPr>
        <w:autoSpaceDE w:val="0"/>
        <w:autoSpaceDN w:val="0"/>
        <w:adjustRightInd w:val="0"/>
        <w:spacing w:after="0" w:line="240" w:lineRule="auto"/>
        <w:ind w:firstLine="709"/>
        <w:jc w:val="both"/>
        <w:rPr>
          <w:szCs w:val="28"/>
        </w:rPr>
      </w:pPr>
      <w:r>
        <w:rPr>
          <w:szCs w:val="28"/>
        </w:rPr>
        <w:t>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DB0113" w:rsidRDefault="00DB0113" w:rsidP="00DB0113">
      <w:pPr>
        <w:autoSpaceDE w:val="0"/>
        <w:autoSpaceDN w:val="0"/>
        <w:adjustRightInd w:val="0"/>
        <w:spacing w:after="0" w:line="240" w:lineRule="auto"/>
        <w:ind w:firstLine="709"/>
        <w:jc w:val="both"/>
        <w:rPr>
          <w:szCs w:val="28"/>
        </w:rPr>
      </w:pPr>
      <w:r>
        <w:rPr>
          <w:szCs w:val="28"/>
        </w:rPr>
        <w:t>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B0113" w:rsidRDefault="00DB0113" w:rsidP="00DB0113">
      <w:pPr>
        <w:autoSpaceDE w:val="0"/>
        <w:autoSpaceDN w:val="0"/>
        <w:adjustRightInd w:val="0"/>
        <w:spacing w:after="0" w:line="240" w:lineRule="auto"/>
        <w:ind w:firstLine="709"/>
        <w:jc w:val="both"/>
        <w:rPr>
          <w:szCs w:val="28"/>
        </w:rPr>
      </w:pPr>
      <w:r>
        <w:rPr>
          <w:szCs w:val="28"/>
        </w:rPr>
        <w:t xml:space="preserve">4)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201" w:history="1">
        <w:r w:rsidRPr="00E36FCE">
          <w:rPr>
            <w:szCs w:val="28"/>
          </w:rPr>
          <w:t>частью 1 статьи 95</w:t>
        </w:r>
      </w:hyperlink>
      <w:r>
        <w:rPr>
          <w:szCs w:val="28"/>
        </w:rPr>
        <w:t xml:space="preserve"> Закона № 248-ФЗ. </w:t>
      </w:r>
    </w:p>
    <w:p w:rsidR="00DB0113" w:rsidRDefault="00DB0113" w:rsidP="00DB0113">
      <w:pPr>
        <w:autoSpaceDE w:val="0"/>
        <w:autoSpaceDN w:val="0"/>
        <w:adjustRightInd w:val="0"/>
        <w:spacing w:after="0" w:line="240" w:lineRule="auto"/>
        <w:ind w:firstLine="709"/>
        <w:jc w:val="both"/>
        <w:rPr>
          <w:szCs w:val="28"/>
        </w:rPr>
      </w:pPr>
      <w:r w:rsidRPr="00180FF3">
        <w:rPr>
          <w:szCs w:val="28"/>
        </w:rPr>
        <w:t>Индикаторы риска нарушения обязательных требований, используемы</w:t>
      </w:r>
      <w:r>
        <w:rPr>
          <w:szCs w:val="28"/>
        </w:rPr>
        <w:t>е</w:t>
      </w:r>
      <w:r w:rsidRPr="00180FF3">
        <w:rPr>
          <w:szCs w:val="28"/>
        </w:rPr>
        <w:t xml:space="preserve"> при осуществлении государственного контроля (надзора) (далее – индикаторы риска), утверждены </w:t>
      </w:r>
      <w:r>
        <w:rPr>
          <w:szCs w:val="28"/>
        </w:rPr>
        <w:t>П</w:t>
      </w:r>
      <w:r w:rsidRPr="00180FF3">
        <w:rPr>
          <w:szCs w:val="28"/>
        </w:rPr>
        <w:t>остановлением № 384-п.</w:t>
      </w:r>
      <w:r>
        <w:rPr>
          <w:szCs w:val="28"/>
        </w:rPr>
        <w:t xml:space="preserve"> </w:t>
      </w:r>
    </w:p>
    <w:p w:rsidR="00DB0113" w:rsidRPr="00180FF3" w:rsidRDefault="00DB0113" w:rsidP="00DB0113">
      <w:pPr>
        <w:autoSpaceDE w:val="0"/>
        <w:autoSpaceDN w:val="0"/>
        <w:adjustRightInd w:val="0"/>
        <w:spacing w:after="0" w:line="240" w:lineRule="auto"/>
        <w:ind w:firstLine="709"/>
        <w:jc w:val="both"/>
        <w:rPr>
          <w:szCs w:val="28"/>
        </w:rPr>
      </w:pPr>
      <w:r>
        <w:rPr>
          <w:szCs w:val="28"/>
        </w:rPr>
        <w:t>До</w:t>
      </w:r>
      <w:r w:rsidRPr="00180FF3">
        <w:rPr>
          <w:bCs/>
          <w:iCs/>
          <w:szCs w:val="28"/>
        </w:rPr>
        <w:t xml:space="preserve"> 0</w:t>
      </w:r>
      <w:r>
        <w:rPr>
          <w:bCs/>
          <w:iCs/>
          <w:szCs w:val="28"/>
        </w:rPr>
        <w:t>6</w:t>
      </w:r>
      <w:r w:rsidRPr="00180FF3">
        <w:rPr>
          <w:bCs/>
          <w:iCs/>
          <w:szCs w:val="28"/>
        </w:rPr>
        <w:t>.11.2024 действовали следующие индикаторы</w:t>
      </w:r>
      <w:r>
        <w:rPr>
          <w:bCs/>
          <w:iCs/>
          <w:szCs w:val="28"/>
        </w:rPr>
        <w:t xml:space="preserve"> риска</w:t>
      </w:r>
      <w:r w:rsidRPr="00180FF3">
        <w:rPr>
          <w:bCs/>
          <w:iCs/>
          <w:szCs w:val="28"/>
        </w:rPr>
        <w:t>:</w:t>
      </w:r>
    </w:p>
    <w:p w:rsidR="00DB0113" w:rsidRPr="00180FF3" w:rsidRDefault="00DB0113" w:rsidP="00DB0113">
      <w:pPr>
        <w:pStyle w:val="ConsPlusNormal"/>
        <w:ind w:firstLine="709"/>
        <w:jc w:val="both"/>
        <w:rPr>
          <w:rFonts w:ascii="Times New Roman" w:hAnsi="Times New Roman" w:cs="Times New Roman"/>
          <w:bCs/>
          <w:i/>
          <w:iCs/>
          <w:sz w:val="28"/>
          <w:szCs w:val="28"/>
        </w:rPr>
      </w:pPr>
      <w:r w:rsidRPr="00180FF3">
        <w:rPr>
          <w:rFonts w:ascii="Times New Roman" w:hAnsi="Times New Roman" w:cs="Times New Roman"/>
          <w:bCs/>
          <w:i/>
          <w:iCs/>
          <w:sz w:val="28"/>
          <w:szCs w:val="28"/>
        </w:rPr>
        <w:t xml:space="preserve">«выявление в представленных организацией, цены (тарифы) на товары (работы, услуги) которой регулируются департаментом, отчетных данных о реализации инвестиционных программ двух и более фактов невыполнения в течение года мероприятий утвержденных инвестиционных программ (в том числе в части: несоответствия фактического состава реализуемых мероприятий утвержденному составу мероприятий в соответствии с инвестиционной программой; несоблюдения сроков реализации мероприятий, предусмотренных инвестиционной программой; нарушений, касающихся формирования (определения) стоимости реализации мероприятий инвестиционной программы; отклонения фактических объемов </w:t>
      </w:r>
      <w:r w:rsidRPr="00180FF3">
        <w:rPr>
          <w:rFonts w:ascii="Times New Roman" w:hAnsi="Times New Roman" w:cs="Times New Roman"/>
          <w:bCs/>
          <w:i/>
          <w:iCs/>
          <w:sz w:val="28"/>
          <w:szCs w:val="28"/>
        </w:rPr>
        <w:lastRenderedPageBreak/>
        <w:t>финансирования мероприятий инвестиционной программы от плановых объемов, предусмотренных инвестиционной программой, составляющие в совокупности не менее чем 20% плановых объемов финансирования соответствующей инвестиционной программы за счет средств, учитываемых при установлении регулируемых цен (тарифов)».</w:t>
      </w:r>
    </w:p>
    <w:p w:rsidR="00DB0113" w:rsidRPr="00180FF3" w:rsidRDefault="00DB0113" w:rsidP="00DB0113">
      <w:pPr>
        <w:autoSpaceDE w:val="0"/>
        <w:autoSpaceDN w:val="0"/>
        <w:adjustRightInd w:val="0"/>
        <w:spacing w:after="0" w:line="240" w:lineRule="auto"/>
        <w:ind w:firstLine="709"/>
        <w:jc w:val="both"/>
        <w:rPr>
          <w:szCs w:val="28"/>
        </w:rPr>
      </w:pPr>
      <w:r w:rsidRPr="00180FF3">
        <w:rPr>
          <w:szCs w:val="28"/>
        </w:rPr>
        <w:t xml:space="preserve">Постановлением Правительства Новосибирской области от 06.11.2024 № 507-п </w:t>
      </w:r>
      <w:r w:rsidRPr="00180FF3">
        <w:rPr>
          <w:bCs/>
          <w:iCs/>
          <w:szCs w:val="28"/>
        </w:rPr>
        <w:t xml:space="preserve">во исполнение представления прокуратуры Новосибирской области об устранении нарушений законодательства в сфере государственного контроля (надзора) вышеуказанные индикаторы риска были отменены и </w:t>
      </w:r>
      <w:r>
        <w:rPr>
          <w:bCs/>
          <w:iCs/>
          <w:szCs w:val="28"/>
        </w:rPr>
        <w:t>утверждены</w:t>
      </w:r>
      <w:r w:rsidRPr="00180FF3">
        <w:rPr>
          <w:bCs/>
          <w:iCs/>
          <w:szCs w:val="28"/>
        </w:rPr>
        <w:t xml:space="preserve"> следующие индикаторы риска, действующие с 0</w:t>
      </w:r>
      <w:r>
        <w:rPr>
          <w:bCs/>
          <w:iCs/>
          <w:szCs w:val="28"/>
        </w:rPr>
        <w:t>7</w:t>
      </w:r>
      <w:r w:rsidRPr="00180FF3">
        <w:rPr>
          <w:bCs/>
          <w:iCs/>
          <w:szCs w:val="28"/>
        </w:rPr>
        <w:t>.11.2024:</w:t>
      </w:r>
    </w:p>
    <w:p w:rsidR="00DB0113" w:rsidRPr="00180FF3" w:rsidRDefault="00DB0113" w:rsidP="00DB0113">
      <w:pPr>
        <w:autoSpaceDE w:val="0"/>
        <w:autoSpaceDN w:val="0"/>
        <w:adjustRightInd w:val="0"/>
        <w:spacing w:after="0" w:line="240" w:lineRule="auto"/>
        <w:ind w:firstLine="709"/>
        <w:jc w:val="both"/>
        <w:rPr>
          <w:i/>
          <w:szCs w:val="28"/>
        </w:rPr>
      </w:pPr>
      <w:r w:rsidRPr="00180FF3">
        <w:rPr>
          <w:i/>
          <w:szCs w:val="28"/>
        </w:rPr>
        <w:t>«расхождение более чем на 20% данных о фактических объемах товаров (работ, услуг), поставленных (выполненных, оказанных) в прошедшем году по регулируемым ценам (тарифам), представленных в заявлении регулируемой организации об установлении цены (тарифа) на очередной период регулирования и в информации, раскрытой регулируемой организацией путем ее опубликования (размещения) в соответствии с утвержденными Правительством Российской Федерации стандартами раскрытия информации в регулируемых сферах деятельности;</w:t>
      </w:r>
    </w:p>
    <w:p w:rsidR="00DB0113" w:rsidRPr="00180FF3" w:rsidRDefault="00DB0113" w:rsidP="00DB0113">
      <w:pPr>
        <w:autoSpaceDE w:val="0"/>
        <w:autoSpaceDN w:val="0"/>
        <w:adjustRightInd w:val="0"/>
        <w:spacing w:after="0" w:line="240" w:lineRule="auto"/>
        <w:ind w:firstLine="709"/>
        <w:jc w:val="both"/>
        <w:rPr>
          <w:i/>
          <w:szCs w:val="28"/>
        </w:rPr>
      </w:pPr>
      <w:r w:rsidRPr="00180FF3">
        <w:rPr>
          <w:i/>
          <w:szCs w:val="28"/>
        </w:rPr>
        <w:t>расхождение более чем на 20% данных о фактической необходимой валовой выручке от регулируемых видов деятельности в прошедшем году, представленных в заявлении регулируемой организации об установлении цены (тарифа) на очередной период регулирования и в информации, раскрытой регулируемой организацией путем ее опубликования (размещения) в соответствии с утвержденными Правительством Российской Федерации стандартами раскрытия информации в регулируемых сферах деятельности.».</w:t>
      </w:r>
    </w:p>
    <w:p w:rsidR="00DB0113" w:rsidRDefault="00DB0113" w:rsidP="00DB0113">
      <w:pPr>
        <w:autoSpaceDE w:val="0"/>
        <w:autoSpaceDN w:val="0"/>
        <w:adjustRightInd w:val="0"/>
        <w:spacing w:after="0" w:line="240" w:lineRule="auto"/>
        <w:ind w:firstLine="709"/>
        <w:jc w:val="both"/>
        <w:rPr>
          <w:color w:val="000000"/>
        </w:rPr>
      </w:pPr>
      <w:r>
        <w:rPr>
          <w:rFonts w:eastAsia="Calibri"/>
          <w:szCs w:val="28"/>
        </w:rPr>
        <w:t xml:space="preserve">Постановлением Правительства </w:t>
      </w:r>
      <w:r>
        <w:rPr>
          <w:szCs w:val="28"/>
        </w:rPr>
        <w:t>Российской Федерации от</w:t>
      </w:r>
      <w:r>
        <w:rPr>
          <w:rFonts w:eastAsia="Calibri"/>
          <w:szCs w:val="28"/>
        </w:rPr>
        <w:t xml:space="preserve"> </w:t>
      </w:r>
      <w:r w:rsidRPr="00355224">
        <w:rPr>
          <w:rFonts w:eastAsia="Calibri"/>
          <w:szCs w:val="28"/>
        </w:rPr>
        <w:t xml:space="preserve">14.12.2023 </w:t>
      </w:r>
      <w:r>
        <w:rPr>
          <w:rFonts w:eastAsia="Calibri"/>
          <w:szCs w:val="28"/>
        </w:rPr>
        <w:t>№ </w:t>
      </w:r>
      <w:r w:rsidRPr="00355224">
        <w:rPr>
          <w:rFonts w:eastAsia="Calibri"/>
          <w:szCs w:val="28"/>
        </w:rPr>
        <w:t>2140</w:t>
      </w:r>
      <w:r>
        <w:rPr>
          <w:rFonts w:eastAsia="Calibri"/>
          <w:szCs w:val="28"/>
        </w:rPr>
        <w:t xml:space="preserve"> были продлены на 2024 год введенные с 10.03.2022 </w:t>
      </w:r>
      <w:r w:rsidRPr="008E546B">
        <w:rPr>
          <w:rFonts w:eastAsia="Calibri"/>
          <w:szCs w:val="28"/>
        </w:rPr>
        <w:t>Постановление</w:t>
      </w:r>
      <w:r>
        <w:rPr>
          <w:rFonts w:eastAsia="Calibri"/>
          <w:szCs w:val="28"/>
        </w:rPr>
        <w:t>м № 336</w:t>
      </w:r>
      <w:r w:rsidRPr="008E546B">
        <w:rPr>
          <w:rFonts w:eastAsia="Calibri"/>
          <w:szCs w:val="28"/>
        </w:rPr>
        <w:t xml:space="preserve"> </w:t>
      </w:r>
      <w:r>
        <w:rPr>
          <w:rFonts w:eastAsia="Calibri"/>
          <w:szCs w:val="28"/>
        </w:rPr>
        <w:t xml:space="preserve">особенности организации и осуществления видов государственного контроля (надзора), </w:t>
      </w:r>
      <w:r>
        <w:rPr>
          <w:rFonts w:eastAsiaTheme="minorHAnsi"/>
          <w:szCs w:val="28"/>
          <w:lang w:eastAsia="en-US"/>
        </w:rPr>
        <w:t xml:space="preserve">порядок организации и осуществления которых регулируется Законом </w:t>
      </w:r>
      <w:r>
        <w:rPr>
          <w:szCs w:val="28"/>
        </w:rPr>
        <w:t xml:space="preserve">№ 248-ФЗ, </w:t>
      </w:r>
      <w:r>
        <w:rPr>
          <w:rFonts w:eastAsia="Calibri"/>
          <w:szCs w:val="28"/>
        </w:rPr>
        <w:t xml:space="preserve">предусматривающие (с учетом компетенции департамента) мораторий на проведение проверок юридических лиц и индивидуальных предпринимателей и возбуждение дел об административных правонарушениях. Но, при этом, в отличие от 2022 года, в 2023-2024 годах указанным постановлением Правительства </w:t>
      </w:r>
      <w:r>
        <w:rPr>
          <w:szCs w:val="28"/>
        </w:rPr>
        <w:t>Российской Федерации</w:t>
      </w:r>
      <w:r>
        <w:rPr>
          <w:rFonts w:eastAsia="Calibri"/>
          <w:szCs w:val="28"/>
        </w:rPr>
        <w:t xml:space="preserve"> уже была предоставлена возможность проведения внеплановых проверок </w:t>
      </w:r>
      <w:r w:rsidRPr="00E218CC">
        <w:rPr>
          <w:color w:val="000000"/>
        </w:rPr>
        <w:t xml:space="preserve">при выявлении индикаторов риска </w:t>
      </w:r>
      <w:r>
        <w:rPr>
          <w:color w:val="000000"/>
        </w:rPr>
        <w:t xml:space="preserve">нарушения обязательных требований </w:t>
      </w:r>
      <w:r w:rsidRPr="00180FF3">
        <w:rPr>
          <w:color w:val="000000"/>
        </w:rPr>
        <w:t xml:space="preserve">(при условии согласования </w:t>
      </w:r>
      <w:r>
        <w:rPr>
          <w:color w:val="000000"/>
        </w:rPr>
        <w:t xml:space="preserve">их проведения </w:t>
      </w:r>
      <w:r w:rsidRPr="00180FF3">
        <w:rPr>
          <w:color w:val="000000"/>
        </w:rPr>
        <w:t>с органами прокуратуры).</w:t>
      </w:r>
    </w:p>
    <w:p w:rsidR="00DB0113" w:rsidRDefault="00DB0113" w:rsidP="00DB0113">
      <w:pPr>
        <w:autoSpaceDE w:val="0"/>
        <w:autoSpaceDN w:val="0"/>
        <w:adjustRightInd w:val="0"/>
        <w:spacing w:after="0" w:line="240" w:lineRule="auto"/>
        <w:ind w:firstLine="567"/>
        <w:jc w:val="both"/>
        <w:rPr>
          <w:szCs w:val="28"/>
        </w:rPr>
      </w:pPr>
      <w:r>
        <w:rPr>
          <w:color w:val="000000"/>
        </w:rPr>
        <w:t xml:space="preserve">В связи с введенным Постановлением № 336 мораторием на проведение проверок и возбуждение дел об административных правонарушениях контрольными (надзорными) органами, в 2022-2024 годах при выявлении фактов совершения контролируемыми лицами административных правонарушений департамент вынужден был принимать исключительно профилактические меры – объявлять в установленном порядке </w:t>
      </w:r>
      <w:r>
        <w:rPr>
          <w:color w:val="000000"/>
        </w:rPr>
        <w:lastRenderedPageBreak/>
        <w:t xml:space="preserve">предостережения </w:t>
      </w:r>
      <w:r>
        <w:rPr>
          <w:szCs w:val="28"/>
        </w:rPr>
        <w:t xml:space="preserve">о недопустимости нарушения обязательных требований и предлагать принять меры по обеспечению соблюдения обязательных требований. </w:t>
      </w:r>
    </w:p>
    <w:p w:rsidR="00DB0113" w:rsidRPr="00DD5423" w:rsidRDefault="00DB0113" w:rsidP="00DB0113">
      <w:pPr>
        <w:pStyle w:val="ConsPlusNormal"/>
        <w:ind w:firstLine="539"/>
        <w:jc w:val="center"/>
        <w:rPr>
          <w:rFonts w:ascii="Times New Roman" w:hAnsi="Times New Roman" w:cs="Times New Roman"/>
          <w:color w:val="000000"/>
          <w:sz w:val="16"/>
          <w:szCs w:val="16"/>
        </w:rPr>
      </w:pPr>
    </w:p>
    <w:p w:rsidR="00DB0113" w:rsidRPr="00E83F6C" w:rsidRDefault="00DB0113" w:rsidP="00DB0113">
      <w:pPr>
        <w:pStyle w:val="ConsPlusNormal"/>
        <w:ind w:firstLine="539"/>
        <w:jc w:val="center"/>
        <w:rPr>
          <w:rFonts w:ascii="Times New Roman" w:hAnsi="Times New Roman" w:cs="Times New Roman"/>
          <w:color w:val="000000"/>
          <w:sz w:val="28"/>
        </w:rPr>
      </w:pPr>
      <w:r w:rsidRPr="00E83F6C">
        <w:rPr>
          <w:rFonts w:ascii="Times New Roman" w:hAnsi="Times New Roman" w:cs="Times New Roman"/>
          <w:color w:val="000000"/>
          <w:sz w:val="28"/>
        </w:rPr>
        <w:t>Статистические показатели осуществления департаментом государственного контроля (надзора) за 2024 год</w:t>
      </w:r>
      <w:r>
        <w:rPr>
          <w:rFonts w:ascii="Times New Roman" w:hAnsi="Times New Roman" w:cs="Times New Roman"/>
          <w:color w:val="000000"/>
          <w:sz w:val="28"/>
        </w:rPr>
        <w:t xml:space="preserve"> (в сравнении с показателями за </w:t>
      </w:r>
      <w:r w:rsidRPr="00E83F6C">
        <w:rPr>
          <w:rFonts w:ascii="Times New Roman" w:hAnsi="Times New Roman" w:cs="Times New Roman"/>
          <w:color w:val="000000"/>
          <w:sz w:val="28"/>
        </w:rPr>
        <w:t>202</w:t>
      </w:r>
      <w:r>
        <w:rPr>
          <w:rFonts w:ascii="Times New Roman" w:hAnsi="Times New Roman" w:cs="Times New Roman"/>
          <w:color w:val="000000"/>
          <w:sz w:val="28"/>
        </w:rPr>
        <w:t>3 год)</w:t>
      </w:r>
      <w:r w:rsidRPr="00E83F6C">
        <w:rPr>
          <w:rFonts w:ascii="Times New Roman" w:hAnsi="Times New Roman" w:cs="Times New Roman"/>
          <w:color w:val="000000"/>
          <w:sz w:val="28"/>
        </w:rPr>
        <w:t>:</w:t>
      </w:r>
    </w:p>
    <w:tbl>
      <w:tblPr>
        <w:tblW w:w="852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5103"/>
        <w:gridCol w:w="15"/>
        <w:gridCol w:w="1686"/>
        <w:gridCol w:w="15"/>
        <w:gridCol w:w="1686"/>
        <w:gridCol w:w="15"/>
      </w:tblGrid>
      <w:tr w:rsidR="00DB0113" w:rsidRPr="008D2286" w:rsidTr="00184C22">
        <w:trPr>
          <w:trHeight w:val="179"/>
        </w:trPr>
        <w:tc>
          <w:tcPr>
            <w:tcW w:w="5118" w:type="dxa"/>
            <w:gridSpan w:val="2"/>
            <w:shd w:val="clear" w:color="auto" w:fill="auto"/>
            <w:hideMark/>
          </w:tcPr>
          <w:p w:rsidR="00DB0113" w:rsidRPr="007B069D" w:rsidRDefault="00DB0113" w:rsidP="00D3301F">
            <w:pPr>
              <w:spacing w:after="0" w:line="240" w:lineRule="auto"/>
              <w:rPr>
                <w:rFonts w:eastAsia="Calibri"/>
                <w:b/>
                <w:color w:val="000000"/>
                <w:sz w:val="22"/>
                <w:lang w:eastAsia="en-US"/>
              </w:rPr>
            </w:pPr>
            <w:r w:rsidRPr="007B069D">
              <w:rPr>
                <w:rFonts w:eastAsia="Calibri"/>
                <w:b/>
                <w:color w:val="000000"/>
                <w:sz w:val="22"/>
                <w:szCs w:val="22"/>
                <w:lang w:eastAsia="en-US"/>
              </w:rPr>
              <w:t>Наименование показателя</w:t>
            </w:r>
          </w:p>
        </w:tc>
        <w:tc>
          <w:tcPr>
            <w:tcW w:w="1701" w:type="dxa"/>
            <w:gridSpan w:val="2"/>
            <w:shd w:val="clear" w:color="auto" w:fill="auto"/>
            <w:noWrap/>
          </w:tcPr>
          <w:p w:rsidR="00DB0113" w:rsidRPr="007B069D" w:rsidRDefault="00DB0113" w:rsidP="00D3301F">
            <w:pPr>
              <w:spacing w:after="0" w:line="240" w:lineRule="auto"/>
              <w:rPr>
                <w:rFonts w:eastAsia="Calibri"/>
                <w:b/>
                <w:bCs/>
                <w:color w:val="000000"/>
                <w:sz w:val="22"/>
                <w:lang w:eastAsia="en-US"/>
              </w:rPr>
            </w:pPr>
            <w:r w:rsidRPr="007B069D">
              <w:rPr>
                <w:rFonts w:eastAsia="Calibri"/>
                <w:b/>
                <w:bCs/>
                <w:color w:val="000000"/>
                <w:sz w:val="22"/>
                <w:szCs w:val="22"/>
                <w:lang w:eastAsia="en-US"/>
              </w:rPr>
              <w:t>2023 год</w:t>
            </w:r>
          </w:p>
        </w:tc>
        <w:tc>
          <w:tcPr>
            <w:tcW w:w="1701" w:type="dxa"/>
            <w:gridSpan w:val="2"/>
          </w:tcPr>
          <w:p w:rsidR="00DB0113" w:rsidRPr="007B069D" w:rsidRDefault="00DB0113" w:rsidP="00D3301F">
            <w:pPr>
              <w:spacing w:after="0" w:line="240" w:lineRule="auto"/>
              <w:rPr>
                <w:rFonts w:eastAsia="Calibri"/>
                <w:b/>
                <w:bCs/>
                <w:color w:val="000000"/>
                <w:sz w:val="22"/>
                <w:highlight w:val="yellow"/>
                <w:lang w:eastAsia="en-US"/>
              </w:rPr>
            </w:pPr>
            <w:r w:rsidRPr="007B069D">
              <w:rPr>
                <w:rFonts w:eastAsia="Calibri"/>
                <w:b/>
                <w:bCs/>
                <w:color w:val="000000"/>
                <w:sz w:val="22"/>
                <w:szCs w:val="22"/>
                <w:lang w:eastAsia="en-US"/>
              </w:rPr>
              <w:t>2024 год</w:t>
            </w:r>
          </w:p>
        </w:tc>
      </w:tr>
      <w:tr w:rsidR="00DB0113" w:rsidRPr="008D2286" w:rsidTr="00184C22">
        <w:trPr>
          <w:trHeight w:val="375"/>
        </w:trPr>
        <w:tc>
          <w:tcPr>
            <w:tcW w:w="5118" w:type="dxa"/>
            <w:gridSpan w:val="2"/>
            <w:shd w:val="clear" w:color="auto" w:fill="auto"/>
            <w:vAlign w:val="center"/>
            <w:hideMark/>
          </w:tcPr>
          <w:p w:rsidR="00DB0113" w:rsidRPr="008D2286" w:rsidRDefault="00DB0113" w:rsidP="00DB0113">
            <w:pPr>
              <w:numPr>
                <w:ilvl w:val="0"/>
                <w:numId w:val="8"/>
              </w:numPr>
              <w:tabs>
                <w:tab w:val="left" w:pos="0"/>
                <w:tab w:val="left" w:pos="49"/>
              </w:tabs>
              <w:spacing w:after="0" w:line="240" w:lineRule="auto"/>
              <w:ind w:left="49" w:firstLine="0"/>
              <w:jc w:val="both"/>
              <w:rPr>
                <w:rFonts w:eastAsia="Calibri"/>
                <w:bCs/>
                <w:color w:val="000000"/>
                <w:sz w:val="22"/>
                <w:lang w:eastAsia="en-US"/>
              </w:rPr>
            </w:pPr>
            <w:r w:rsidRPr="008D2286">
              <w:rPr>
                <w:rFonts w:eastAsia="Calibri"/>
                <w:bCs/>
                <w:i/>
                <w:color w:val="000000"/>
                <w:sz w:val="22"/>
                <w:szCs w:val="22"/>
                <w:lang w:eastAsia="en-US"/>
              </w:rPr>
              <w:t>Количество контролируемых лиц</w:t>
            </w:r>
            <w:r w:rsidRPr="008D2286">
              <w:rPr>
                <w:rFonts w:eastAsia="Calibri"/>
                <w:bCs/>
                <w:color w:val="000000"/>
                <w:sz w:val="22"/>
                <w:szCs w:val="22"/>
                <w:lang w:eastAsia="en-US"/>
              </w:rPr>
              <w:t>:</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1175</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1069</w:t>
            </w:r>
          </w:p>
        </w:tc>
      </w:tr>
      <w:tr w:rsidR="00DB0113" w:rsidRPr="008D2286" w:rsidTr="00184C22">
        <w:trPr>
          <w:trHeight w:val="231"/>
        </w:trPr>
        <w:tc>
          <w:tcPr>
            <w:tcW w:w="5118" w:type="dxa"/>
            <w:gridSpan w:val="2"/>
            <w:shd w:val="clear" w:color="auto" w:fill="auto"/>
            <w:vAlign w:val="center"/>
            <w:hideMark/>
          </w:tcPr>
          <w:p w:rsidR="00DB0113" w:rsidRPr="008D2286" w:rsidRDefault="00DB0113" w:rsidP="00DB0113">
            <w:pPr>
              <w:numPr>
                <w:ilvl w:val="0"/>
                <w:numId w:val="8"/>
              </w:numPr>
              <w:tabs>
                <w:tab w:val="left" w:pos="0"/>
                <w:tab w:val="left" w:pos="49"/>
              </w:tabs>
              <w:spacing w:after="0" w:line="240" w:lineRule="auto"/>
              <w:ind w:left="49" w:firstLine="0"/>
              <w:jc w:val="both"/>
              <w:rPr>
                <w:rFonts w:eastAsia="Calibri"/>
                <w:bCs/>
                <w:color w:val="000000"/>
                <w:sz w:val="22"/>
                <w:lang w:eastAsia="en-US"/>
              </w:rPr>
            </w:pPr>
            <w:r w:rsidRPr="008D2286">
              <w:rPr>
                <w:rFonts w:eastAsia="Calibri"/>
                <w:bCs/>
                <w:i/>
                <w:color w:val="000000"/>
                <w:sz w:val="22"/>
                <w:szCs w:val="22"/>
                <w:lang w:eastAsia="en-US"/>
              </w:rPr>
              <w:t>Количество проведенных проверок</w:t>
            </w:r>
            <w:r w:rsidRPr="008D2286">
              <w:rPr>
                <w:rFonts w:eastAsia="Calibri"/>
                <w:bCs/>
                <w:color w:val="000000"/>
                <w:sz w:val="22"/>
                <w:szCs w:val="22"/>
                <w:lang w:eastAsia="en-US"/>
              </w:rPr>
              <w:t>, из них:</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2</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B0113">
            <w:pPr>
              <w:numPr>
                <w:ilvl w:val="1"/>
                <w:numId w:val="8"/>
              </w:numPr>
              <w:tabs>
                <w:tab w:val="left" w:pos="0"/>
                <w:tab w:val="left" w:pos="49"/>
              </w:tabs>
              <w:spacing w:after="0" w:line="240" w:lineRule="auto"/>
              <w:ind w:left="49" w:firstLine="0"/>
              <w:jc w:val="both"/>
              <w:rPr>
                <w:rFonts w:eastAsia="Calibri"/>
                <w:color w:val="000000"/>
                <w:sz w:val="22"/>
                <w:lang w:eastAsia="en-US"/>
              </w:rPr>
            </w:pPr>
            <w:r w:rsidRPr="008D2286">
              <w:rPr>
                <w:rFonts w:eastAsia="Calibri"/>
                <w:color w:val="000000"/>
                <w:sz w:val="22"/>
                <w:szCs w:val="22"/>
                <w:lang w:eastAsia="en-US"/>
              </w:rPr>
              <w:t>плановые</w:t>
            </w:r>
          </w:p>
        </w:tc>
        <w:tc>
          <w:tcPr>
            <w:tcW w:w="1701" w:type="dxa"/>
            <w:gridSpan w:val="2"/>
            <w:shd w:val="clear" w:color="auto" w:fill="auto"/>
            <w:noWrap/>
          </w:tcPr>
          <w:p w:rsidR="00DB0113" w:rsidRPr="008D2286" w:rsidRDefault="00DB0113" w:rsidP="00D3301F">
            <w:pPr>
              <w:spacing w:after="0" w:line="240" w:lineRule="auto"/>
              <w:rPr>
                <w:rFonts w:eastAsia="Calibri"/>
                <w:color w:val="000000"/>
                <w:sz w:val="22"/>
                <w:lang w:eastAsia="en-US"/>
              </w:rPr>
            </w:pPr>
            <w:r w:rsidRPr="008D2286">
              <w:rPr>
                <w:rFonts w:eastAsia="Calibri"/>
                <w:color w:val="000000"/>
                <w:sz w:val="22"/>
                <w:szCs w:val="22"/>
                <w:lang w:eastAsia="en-US"/>
              </w:rPr>
              <w:t>0</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B0113">
            <w:pPr>
              <w:numPr>
                <w:ilvl w:val="1"/>
                <w:numId w:val="8"/>
              </w:numPr>
              <w:tabs>
                <w:tab w:val="left" w:pos="0"/>
                <w:tab w:val="left" w:pos="49"/>
                <w:tab w:val="left" w:pos="758"/>
              </w:tabs>
              <w:spacing w:after="0" w:line="240" w:lineRule="auto"/>
              <w:ind w:left="49" w:firstLine="0"/>
              <w:jc w:val="both"/>
              <w:rPr>
                <w:rFonts w:eastAsia="Calibri"/>
                <w:color w:val="000000"/>
                <w:sz w:val="22"/>
                <w:lang w:eastAsia="en-US"/>
              </w:rPr>
            </w:pPr>
            <w:r w:rsidRPr="008D2286">
              <w:rPr>
                <w:rFonts w:eastAsia="Calibri"/>
                <w:color w:val="000000"/>
                <w:sz w:val="22"/>
                <w:szCs w:val="22"/>
                <w:lang w:eastAsia="en-US"/>
              </w:rPr>
              <w:t>внеплановые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2</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B0113">
            <w:pPr>
              <w:numPr>
                <w:ilvl w:val="1"/>
                <w:numId w:val="8"/>
              </w:numPr>
              <w:tabs>
                <w:tab w:val="left" w:pos="0"/>
                <w:tab w:val="left" w:pos="49"/>
                <w:tab w:val="left" w:pos="758"/>
              </w:tabs>
              <w:spacing w:after="0" w:line="240" w:lineRule="auto"/>
              <w:ind w:left="49" w:firstLine="0"/>
              <w:jc w:val="both"/>
              <w:rPr>
                <w:rFonts w:eastAsia="Calibri"/>
                <w:color w:val="000000"/>
                <w:sz w:val="22"/>
                <w:lang w:eastAsia="en-US"/>
              </w:rPr>
            </w:pPr>
            <w:r w:rsidRPr="008D2286">
              <w:rPr>
                <w:rFonts w:eastAsia="Calibri"/>
                <w:color w:val="000000"/>
                <w:sz w:val="22"/>
                <w:szCs w:val="22"/>
                <w:lang w:eastAsia="en-US"/>
              </w:rPr>
              <w:t>выездные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B0113">
            <w:pPr>
              <w:numPr>
                <w:ilvl w:val="1"/>
                <w:numId w:val="8"/>
              </w:numPr>
              <w:tabs>
                <w:tab w:val="left" w:pos="0"/>
                <w:tab w:val="left" w:pos="49"/>
                <w:tab w:val="left" w:pos="758"/>
              </w:tabs>
              <w:spacing w:after="0" w:line="240" w:lineRule="auto"/>
              <w:ind w:left="49" w:firstLine="0"/>
              <w:jc w:val="both"/>
              <w:rPr>
                <w:rFonts w:eastAsia="Calibri"/>
                <w:color w:val="000000"/>
                <w:sz w:val="22"/>
                <w:lang w:eastAsia="en-US"/>
              </w:rPr>
            </w:pPr>
            <w:r w:rsidRPr="008D2286">
              <w:rPr>
                <w:rFonts w:eastAsia="Calibri"/>
                <w:color w:val="000000"/>
                <w:sz w:val="22"/>
                <w:szCs w:val="22"/>
                <w:lang w:eastAsia="en-US"/>
              </w:rPr>
              <w:t>документарные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2</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50"/>
        </w:trPr>
        <w:tc>
          <w:tcPr>
            <w:tcW w:w="5118" w:type="dxa"/>
            <w:gridSpan w:val="2"/>
            <w:shd w:val="clear" w:color="auto" w:fill="auto"/>
            <w:vAlign w:val="center"/>
            <w:hideMark/>
          </w:tcPr>
          <w:p w:rsidR="00DB0113" w:rsidRPr="008D2286" w:rsidRDefault="00DB0113" w:rsidP="00DB0113">
            <w:pPr>
              <w:numPr>
                <w:ilvl w:val="0"/>
                <w:numId w:val="8"/>
              </w:numPr>
              <w:tabs>
                <w:tab w:val="left" w:pos="0"/>
                <w:tab w:val="left" w:pos="49"/>
              </w:tabs>
              <w:spacing w:after="0" w:line="240" w:lineRule="auto"/>
              <w:ind w:left="49" w:firstLine="0"/>
              <w:jc w:val="both"/>
              <w:rPr>
                <w:rFonts w:eastAsia="Calibri"/>
                <w:bCs/>
                <w:i/>
                <w:color w:val="000000"/>
                <w:sz w:val="22"/>
                <w:lang w:eastAsia="en-US"/>
              </w:rPr>
            </w:pPr>
            <w:r w:rsidRPr="008D2286">
              <w:rPr>
                <w:rFonts w:eastAsia="Calibri"/>
                <w:bCs/>
                <w:i/>
                <w:color w:val="000000"/>
                <w:sz w:val="22"/>
                <w:szCs w:val="22"/>
                <w:lang w:eastAsia="en-US"/>
              </w:rPr>
              <w:t>Количество выданных предписаний:</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B0113">
            <w:pPr>
              <w:numPr>
                <w:ilvl w:val="1"/>
                <w:numId w:val="8"/>
              </w:numPr>
              <w:tabs>
                <w:tab w:val="left" w:pos="0"/>
                <w:tab w:val="left" w:pos="49"/>
                <w:tab w:val="left" w:pos="758"/>
              </w:tabs>
              <w:spacing w:after="0" w:line="240" w:lineRule="auto"/>
              <w:ind w:left="49" w:firstLine="0"/>
              <w:jc w:val="both"/>
              <w:rPr>
                <w:rFonts w:eastAsia="Calibri"/>
                <w:color w:val="000000"/>
                <w:sz w:val="22"/>
                <w:lang w:eastAsia="en-US"/>
              </w:rPr>
            </w:pPr>
            <w:r w:rsidRPr="008D2286">
              <w:rPr>
                <w:rFonts w:eastAsia="Calibri"/>
                <w:bCs/>
                <w:color w:val="000000"/>
                <w:sz w:val="22"/>
                <w:szCs w:val="22"/>
                <w:lang w:eastAsia="en-US"/>
              </w:rPr>
              <w:t xml:space="preserve">из них </w:t>
            </w:r>
            <w:r w:rsidRPr="008D2286">
              <w:rPr>
                <w:rFonts w:eastAsia="Calibri"/>
                <w:color w:val="000000"/>
                <w:sz w:val="22"/>
                <w:szCs w:val="22"/>
                <w:lang w:eastAsia="en-US"/>
              </w:rPr>
              <w:t>исполнено</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771"/>
        </w:trPr>
        <w:tc>
          <w:tcPr>
            <w:tcW w:w="5118" w:type="dxa"/>
            <w:gridSpan w:val="2"/>
            <w:shd w:val="clear" w:color="auto" w:fill="auto"/>
            <w:vAlign w:val="center"/>
            <w:hideMark/>
          </w:tcPr>
          <w:p w:rsidR="00DB0113" w:rsidRPr="008D2286" w:rsidRDefault="00DB0113" w:rsidP="00DB0113">
            <w:pPr>
              <w:numPr>
                <w:ilvl w:val="0"/>
                <w:numId w:val="8"/>
              </w:numPr>
              <w:tabs>
                <w:tab w:val="left" w:pos="0"/>
                <w:tab w:val="left" w:pos="49"/>
              </w:tabs>
              <w:spacing w:after="0" w:line="240" w:lineRule="auto"/>
              <w:ind w:left="49" w:firstLine="0"/>
              <w:jc w:val="both"/>
              <w:rPr>
                <w:rFonts w:eastAsia="Calibri"/>
                <w:bCs/>
                <w:i/>
                <w:color w:val="000000"/>
                <w:sz w:val="22"/>
                <w:lang w:eastAsia="en-US"/>
              </w:rPr>
            </w:pPr>
            <w:r w:rsidRPr="008D2286">
              <w:rPr>
                <w:rFonts w:eastAsia="Calibri"/>
                <w:bCs/>
                <w:i/>
                <w:color w:val="000000"/>
                <w:sz w:val="22"/>
                <w:szCs w:val="22"/>
                <w:lang w:eastAsia="en-US"/>
              </w:rPr>
              <w:t xml:space="preserve">Количество проверок, проводимых органами прокуратуры, в которых работники департамента приняли участие в качестве специалистов </w:t>
            </w:r>
          </w:p>
        </w:tc>
        <w:tc>
          <w:tcPr>
            <w:tcW w:w="1701" w:type="dxa"/>
            <w:gridSpan w:val="2"/>
            <w:shd w:val="clear" w:color="auto" w:fill="auto"/>
            <w:noWrap/>
          </w:tcPr>
          <w:p w:rsidR="00DB0113" w:rsidRPr="008D2286" w:rsidRDefault="00DB0113" w:rsidP="00D3301F">
            <w:pPr>
              <w:spacing w:after="0" w:line="240" w:lineRule="auto"/>
              <w:rPr>
                <w:rFonts w:eastAsia="Calibri"/>
                <w:color w:val="000000"/>
                <w:sz w:val="22"/>
                <w:lang w:eastAsia="en-US"/>
              </w:rPr>
            </w:pPr>
            <w:r w:rsidRPr="008D2286">
              <w:rPr>
                <w:rFonts w:eastAsia="Calibri"/>
                <w:color w:val="000000"/>
                <w:sz w:val="22"/>
                <w:szCs w:val="22"/>
                <w:lang w:eastAsia="en-US"/>
              </w:rPr>
              <w:t>18</w:t>
            </w:r>
          </w:p>
        </w:tc>
        <w:tc>
          <w:tcPr>
            <w:tcW w:w="1701" w:type="dxa"/>
            <w:gridSpan w:val="2"/>
          </w:tcPr>
          <w:p w:rsidR="00DB0113" w:rsidRPr="008D2286" w:rsidRDefault="00DB0113" w:rsidP="00D3301F">
            <w:pPr>
              <w:spacing w:after="0" w:line="240" w:lineRule="auto"/>
              <w:rPr>
                <w:rFonts w:eastAsia="Calibri"/>
                <w:color w:val="000000"/>
                <w:sz w:val="22"/>
                <w:lang w:eastAsia="en-US"/>
              </w:rPr>
            </w:pPr>
            <w:r w:rsidRPr="00B70072">
              <w:rPr>
                <w:rFonts w:eastAsia="Calibri"/>
                <w:color w:val="000000"/>
                <w:sz w:val="22"/>
                <w:szCs w:val="22"/>
                <w:lang w:eastAsia="en-US"/>
              </w:rPr>
              <w:t>1</w:t>
            </w:r>
            <w:r>
              <w:rPr>
                <w:rFonts w:eastAsia="Calibri"/>
                <w:color w:val="000000"/>
                <w:sz w:val="22"/>
                <w:szCs w:val="22"/>
                <w:lang w:eastAsia="en-US"/>
              </w:rPr>
              <w:t>2</w:t>
            </w:r>
          </w:p>
        </w:tc>
      </w:tr>
      <w:tr w:rsidR="00DB0113" w:rsidRPr="008D2286" w:rsidTr="00184C22">
        <w:trPr>
          <w:trHeight w:val="50"/>
        </w:trPr>
        <w:tc>
          <w:tcPr>
            <w:tcW w:w="6819" w:type="dxa"/>
            <w:gridSpan w:val="4"/>
            <w:shd w:val="clear" w:color="auto" w:fill="auto"/>
            <w:vAlign w:val="center"/>
          </w:tcPr>
          <w:p w:rsidR="00DB0113" w:rsidRPr="008D2286" w:rsidRDefault="00DB0113" w:rsidP="00D3301F">
            <w:pPr>
              <w:tabs>
                <w:tab w:val="left" w:pos="0"/>
                <w:tab w:val="left" w:pos="49"/>
              </w:tabs>
              <w:spacing w:after="0" w:line="240" w:lineRule="auto"/>
              <w:ind w:left="49"/>
              <w:jc w:val="both"/>
              <w:rPr>
                <w:rFonts w:eastAsia="Calibri"/>
                <w:bCs/>
                <w:color w:val="000000"/>
                <w:sz w:val="22"/>
                <w:lang w:eastAsia="en-US"/>
              </w:rPr>
            </w:pPr>
            <w:r w:rsidRPr="008D2286">
              <w:rPr>
                <w:rFonts w:eastAsia="Calibri"/>
                <w:bCs/>
                <w:color w:val="000000"/>
                <w:sz w:val="22"/>
                <w:szCs w:val="22"/>
                <w:lang w:eastAsia="en-US"/>
              </w:rPr>
              <w:t>5. </w:t>
            </w:r>
            <w:r w:rsidRPr="008D2286">
              <w:rPr>
                <w:rFonts w:eastAsia="Calibri"/>
                <w:i/>
                <w:color w:val="000000"/>
                <w:sz w:val="22"/>
                <w:szCs w:val="22"/>
                <w:lang w:eastAsia="en-US"/>
              </w:rPr>
              <w:t>Мероприятия без взаимодействия с контролируемыми лицами:</w:t>
            </w:r>
          </w:p>
        </w:tc>
        <w:tc>
          <w:tcPr>
            <w:tcW w:w="1701" w:type="dxa"/>
            <w:gridSpan w:val="2"/>
          </w:tcPr>
          <w:p w:rsidR="00DB0113" w:rsidRPr="008D2286" w:rsidRDefault="00DB0113" w:rsidP="00DB0113">
            <w:pPr>
              <w:numPr>
                <w:ilvl w:val="0"/>
                <w:numId w:val="8"/>
              </w:numPr>
              <w:tabs>
                <w:tab w:val="left" w:pos="0"/>
                <w:tab w:val="left" w:pos="49"/>
              </w:tabs>
              <w:spacing w:after="0" w:line="240" w:lineRule="auto"/>
              <w:ind w:left="-977" w:firstLine="0"/>
              <w:jc w:val="both"/>
              <w:rPr>
                <w:rFonts w:eastAsia="Calibri"/>
                <w:bCs/>
                <w:i/>
                <w:color w:val="000000"/>
                <w:sz w:val="22"/>
                <w:lang w:eastAsia="en-US"/>
              </w:rPr>
            </w:pPr>
          </w:p>
        </w:tc>
      </w:tr>
      <w:tr w:rsidR="00DB0113" w:rsidRPr="008D2286" w:rsidTr="00184C22">
        <w:trPr>
          <w:trHeight w:val="698"/>
        </w:trPr>
        <w:tc>
          <w:tcPr>
            <w:tcW w:w="5118" w:type="dxa"/>
            <w:gridSpan w:val="2"/>
            <w:shd w:val="clear" w:color="auto" w:fill="auto"/>
            <w:vAlign w:val="center"/>
            <w:hideMark/>
          </w:tcPr>
          <w:p w:rsidR="00DB0113" w:rsidRPr="00910D3B" w:rsidRDefault="00DB0113" w:rsidP="00D3301F">
            <w:pPr>
              <w:tabs>
                <w:tab w:val="left" w:pos="0"/>
                <w:tab w:val="left" w:pos="49"/>
                <w:tab w:val="left" w:pos="758"/>
              </w:tabs>
              <w:spacing w:after="0" w:line="240" w:lineRule="auto"/>
              <w:ind w:left="49"/>
              <w:jc w:val="both"/>
              <w:rPr>
                <w:rFonts w:eastAsia="Calibri"/>
                <w:color w:val="000000"/>
                <w:sz w:val="22"/>
                <w:lang w:eastAsia="en-US"/>
              </w:rPr>
            </w:pPr>
            <w:r w:rsidRPr="00910D3B">
              <w:rPr>
                <w:rFonts w:eastAsia="Calibri"/>
                <w:color w:val="000000"/>
                <w:sz w:val="22"/>
                <w:szCs w:val="22"/>
                <w:lang w:eastAsia="en-US"/>
              </w:rPr>
              <w:t xml:space="preserve">5.1. Количество мероприятий без взаимодействия с контролируемыми лицами </w:t>
            </w:r>
            <w:r>
              <w:rPr>
                <w:rFonts w:eastAsia="Calibri"/>
                <w:color w:val="000000"/>
                <w:sz w:val="22"/>
                <w:szCs w:val="22"/>
                <w:lang w:eastAsia="en-US"/>
              </w:rPr>
              <w:t>(принято решений/проведено мероприятий)</w:t>
            </w:r>
          </w:p>
        </w:tc>
        <w:tc>
          <w:tcPr>
            <w:tcW w:w="1701" w:type="dxa"/>
            <w:gridSpan w:val="2"/>
            <w:shd w:val="clear" w:color="auto" w:fill="auto"/>
            <w:noWrap/>
          </w:tcPr>
          <w:p w:rsidR="00DB0113" w:rsidRPr="00DE77B0" w:rsidRDefault="00DB0113" w:rsidP="00D3301F">
            <w:pPr>
              <w:spacing w:after="0" w:line="240" w:lineRule="auto"/>
              <w:rPr>
                <w:rFonts w:eastAsia="Calibri"/>
                <w:sz w:val="22"/>
                <w:lang w:eastAsia="en-US"/>
              </w:rPr>
            </w:pPr>
            <w:r w:rsidRPr="00DE77B0">
              <w:rPr>
                <w:rFonts w:eastAsia="Calibri"/>
                <w:sz w:val="22"/>
                <w:szCs w:val="22"/>
                <w:lang w:eastAsia="en-US"/>
              </w:rPr>
              <w:t>63/6642</w:t>
            </w:r>
          </w:p>
        </w:tc>
        <w:tc>
          <w:tcPr>
            <w:tcW w:w="1701" w:type="dxa"/>
            <w:gridSpan w:val="2"/>
          </w:tcPr>
          <w:p w:rsidR="00DB0113" w:rsidRPr="00DE77B0" w:rsidRDefault="00DB0113" w:rsidP="00D3301F">
            <w:pPr>
              <w:spacing w:after="0" w:line="240" w:lineRule="auto"/>
              <w:rPr>
                <w:rFonts w:eastAsia="Calibri"/>
                <w:sz w:val="22"/>
                <w:lang w:eastAsia="en-US"/>
              </w:rPr>
            </w:pPr>
            <w:r w:rsidRPr="00DE77B0">
              <w:rPr>
                <w:rFonts w:eastAsia="Calibri"/>
                <w:sz w:val="22"/>
                <w:szCs w:val="22"/>
                <w:lang w:eastAsia="en-US"/>
              </w:rPr>
              <w:t>159/7352</w:t>
            </w:r>
          </w:p>
        </w:tc>
      </w:tr>
      <w:tr w:rsidR="00DB0113" w:rsidRPr="008D2286" w:rsidTr="00184C22">
        <w:trPr>
          <w:trHeight w:val="745"/>
        </w:trPr>
        <w:tc>
          <w:tcPr>
            <w:tcW w:w="5118" w:type="dxa"/>
            <w:gridSpan w:val="2"/>
            <w:shd w:val="clear" w:color="auto" w:fill="auto"/>
            <w:vAlign w:val="center"/>
          </w:tcPr>
          <w:p w:rsidR="00DB0113" w:rsidRPr="008D2286" w:rsidRDefault="00DB0113" w:rsidP="00D3301F">
            <w:pPr>
              <w:spacing w:after="0" w:line="240" w:lineRule="auto"/>
              <w:ind w:left="51"/>
              <w:contextualSpacing/>
              <w:jc w:val="both"/>
              <w:rPr>
                <w:rFonts w:eastAsia="Calibri"/>
                <w:color w:val="000000"/>
                <w:sz w:val="22"/>
                <w:lang w:eastAsia="en-US"/>
              </w:rPr>
            </w:pPr>
            <w:r w:rsidRPr="008D2286">
              <w:rPr>
                <w:rFonts w:eastAsia="Calibri"/>
                <w:color w:val="000000"/>
                <w:sz w:val="22"/>
                <w:szCs w:val="22"/>
                <w:lang w:eastAsia="en-US"/>
              </w:rPr>
              <w:t>5.2. Количество постановлений о назначении административных наказаний по результатам мероприятий без взаимодействия с контролируемыми лицами</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0</w:t>
            </w:r>
          </w:p>
        </w:tc>
        <w:tc>
          <w:tcPr>
            <w:tcW w:w="1701" w:type="dxa"/>
            <w:gridSpan w:val="2"/>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0</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3301F">
            <w:pPr>
              <w:tabs>
                <w:tab w:val="left" w:pos="0"/>
                <w:tab w:val="left" w:pos="49"/>
              </w:tabs>
              <w:spacing w:after="0" w:line="240" w:lineRule="auto"/>
              <w:ind w:left="49"/>
              <w:contextualSpacing/>
              <w:jc w:val="both"/>
              <w:rPr>
                <w:rFonts w:eastAsia="Calibri"/>
                <w:bCs/>
                <w:color w:val="000000"/>
                <w:sz w:val="22"/>
                <w:lang w:eastAsia="en-US"/>
              </w:rPr>
            </w:pPr>
            <w:r w:rsidRPr="008D2286">
              <w:rPr>
                <w:rFonts w:eastAsia="Calibri"/>
                <w:bCs/>
                <w:i/>
                <w:color w:val="000000"/>
                <w:sz w:val="22"/>
                <w:szCs w:val="22"/>
                <w:lang w:eastAsia="en-US"/>
              </w:rPr>
              <w:t>6. Постановления по делам об административных правонарушениях о привлечении к административной ответственности</w:t>
            </w:r>
            <w:r w:rsidRPr="008D2286">
              <w:rPr>
                <w:rFonts w:eastAsia="Calibri"/>
                <w:bCs/>
                <w:color w:val="000000"/>
                <w:sz w:val="22"/>
                <w:szCs w:val="22"/>
                <w:lang w:eastAsia="en-US"/>
              </w:rPr>
              <w:t>:</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30</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30</w:t>
            </w:r>
          </w:p>
        </w:tc>
      </w:tr>
      <w:tr w:rsidR="00DB0113" w:rsidRPr="008D2286" w:rsidTr="00184C22">
        <w:trPr>
          <w:trHeight w:val="262"/>
        </w:trPr>
        <w:tc>
          <w:tcPr>
            <w:tcW w:w="5118" w:type="dxa"/>
            <w:gridSpan w:val="2"/>
            <w:shd w:val="clear" w:color="auto" w:fill="auto"/>
            <w:vAlign w:val="center"/>
            <w:hideMark/>
          </w:tcPr>
          <w:p w:rsidR="00DB0113" w:rsidRPr="008D2286" w:rsidRDefault="00DB0113" w:rsidP="00D3301F">
            <w:pPr>
              <w:tabs>
                <w:tab w:val="left" w:pos="0"/>
                <w:tab w:val="left" w:pos="49"/>
              </w:tabs>
              <w:spacing w:after="0" w:line="240" w:lineRule="auto"/>
              <w:ind w:left="49"/>
              <w:jc w:val="both"/>
              <w:rPr>
                <w:rFonts w:eastAsia="Calibri"/>
                <w:color w:val="000000"/>
                <w:sz w:val="22"/>
                <w:lang w:eastAsia="en-US"/>
              </w:rPr>
            </w:pPr>
            <w:r w:rsidRPr="008D2286">
              <w:rPr>
                <w:rFonts w:eastAsia="Calibri"/>
                <w:color w:val="000000"/>
                <w:sz w:val="22"/>
                <w:szCs w:val="22"/>
                <w:lang w:eastAsia="en-US"/>
              </w:rPr>
              <w:t xml:space="preserve">6.1. в том числе по делам, возбужденным департаментом </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3</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trHeight w:val="475"/>
        </w:trPr>
        <w:tc>
          <w:tcPr>
            <w:tcW w:w="5118" w:type="dxa"/>
            <w:gridSpan w:val="2"/>
            <w:shd w:val="clear" w:color="auto" w:fill="auto"/>
            <w:vAlign w:val="center"/>
            <w:hideMark/>
          </w:tcPr>
          <w:p w:rsidR="00DB0113" w:rsidRPr="008D2286" w:rsidRDefault="00DB0113" w:rsidP="00D3301F">
            <w:pPr>
              <w:tabs>
                <w:tab w:val="left" w:pos="0"/>
                <w:tab w:val="left" w:pos="49"/>
              </w:tabs>
              <w:spacing w:after="0" w:line="240" w:lineRule="auto"/>
              <w:ind w:left="49"/>
              <w:contextualSpacing/>
              <w:jc w:val="both"/>
              <w:rPr>
                <w:rFonts w:eastAsia="Calibri"/>
                <w:color w:val="000000"/>
                <w:sz w:val="22"/>
                <w:lang w:eastAsia="en-US"/>
              </w:rPr>
            </w:pPr>
            <w:r w:rsidRPr="008D2286">
              <w:rPr>
                <w:rFonts w:eastAsia="Calibri"/>
                <w:color w:val="000000"/>
                <w:sz w:val="22"/>
                <w:szCs w:val="22"/>
                <w:lang w:eastAsia="en-US"/>
              </w:rPr>
              <w:t>6.2. в том числе по делам, возбужденным органами прокуратуры</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27</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30</w:t>
            </w:r>
          </w:p>
        </w:tc>
      </w:tr>
      <w:tr w:rsidR="00DB0113" w:rsidRPr="008D2286" w:rsidTr="00184C22">
        <w:trPr>
          <w:trHeight w:val="529"/>
        </w:trPr>
        <w:tc>
          <w:tcPr>
            <w:tcW w:w="5118" w:type="dxa"/>
            <w:gridSpan w:val="2"/>
            <w:shd w:val="clear" w:color="auto" w:fill="auto"/>
            <w:vAlign w:val="center"/>
            <w:hideMark/>
          </w:tcPr>
          <w:p w:rsidR="00DB0113" w:rsidRPr="008D2286" w:rsidRDefault="00DB0113" w:rsidP="00D3301F">
            <w:pPr>
              <w:tabs>
                <w:tab w:val="left" w:pos="0"/>
                <w:tab w:val="left" w:pos="49"/>
              </w:tabs>
              <w:spacing w:after="0" w:line="240" w:lineRule="auto"/>
              <w:ind w:left="49"/>
              <w:jc w:val="both"/>
              <w:rPr>
                <w:rFonts w:eastAsia="Calibri"/>
                <w:color w:val="000000"/>
                <w:sz w:val="22"/>
                <w:lang w:eastAsia="en-US"/>
              </w:rPr>
            </w:pPr>
            <w:r w:rsidRPr="008D2286">
              <w:rPr>
                <w:rFonts w:eastAsia="Calibri"/>
                <w:i/>
                <w:color w:val="000000"/>
                <w:sz w:val="22"/>
                <w:szCs w:val="22"/>
                <w:lang w:eastAsia="en-US"/>
              </w:rPr>
              <w:t>7. Общая сумма административных штрафов по делам об административных правонарушениях, тыс. рублей</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55</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290</w:t>
            </w:r>
          </w:p>
        </w:tc>
      </w:tr>
      <w:tr w:rsidR="00DB0113" w:rsidRPr="008D2286" w:rsidTr="00184C22">
        <w:trPr>
          <w:trHeight w:val="114"/>
        </w:trPr>
        <w:tc>
          <w:tcPr>
            <w:tcW w:w="6819" w:type="dxa"/>
            <w:gridSpan w:val="4"/>
            <w:shd w:val="clear" w:color="auto" w:fill="auto"/>
            <w:vAlign w:val="center"/>
          </w:tcPr>
          <w:p w:rsidR="00DB0113" w:rsidRPr="008D2286" w:rsidRDefault="00DB0113" w:rsidP="00D3301F">
            <w:pPr>
              <w:spacing w:after="0" w:line="240" w:lineRule="auto"/>
              <w:ind w:left="49"/>
              <w:contextualSpacing/>
              <w:jc w:val="both"/>
              <w:rPr>
                <w:rFonts w:eastAsia="Calibri"/>
                <w:i/>
                <w:color w:val="000000"/>
                <w:sz w:val="22"/>
                <w:lang w:eastAsia="en-US"/>
              </w:rPr>
            </w:pPr>
            <w:r w:rsidRPr="008D2286">
              <w:rPr>
                <w:rFonts w:eastAsia="Calibri"/>
                <w:i/>
                <w:color w:val="000000"/>
                <w:sz w:val="22"/>
                <w:szCs w:val="22"/>
                <w:lang w:eastAsia="en-US"/>
              </w:rPr>
              <w:t>8. Структура нарушений по отраслям:</w:t>
            </w:r>
          </w:p>
        </w:tc>
        <w:tc>
          <w:tcPr>
            <w:tcW w:w="1701" w:type="dxa"/>
            <w:gridSpan w:val="2"/>
          </w:tcPr>
          <w:p w:rsidR="00DB0113" w:rsidRPr="008D2286" w:rsidRDefault="00DB0113" w:rsidP="00DB0113">
            <w:pPr>
              <w:numPr>
                <w:ilvl w:val="0"/>
                <w:numId w:val="8"/>
              </w:numPr>
              <w:spacing w:after="0" w:line="240" w:lineRule="auto"/>
              <w:ind w:left="-977" w:firstLine="0"/>
              <w:jc w:val="both"/>
              <w:rPr>
                <w:rFonts w:eastAsia="Calibri"/>
                <w:i/>
                <w:color w:val="000000"/>
                <w:sz w:val="22"/>
                <w:highlight w:val="yellow"/>
                <w:lang w:eastAsia="en-US"/>
              </w:rPr>
            </w:pPr>
          </w:p>
        </w:tc>
      </w:tr>
      <w:tr w:rsidR="00DB0113" w:rsidRPr="008D2286" w:rsidTr="00184C22">
        <w:trPr>
          <w:trHeight w:val="176"/>
        </w:trPr>
        <w:tc>
          <w:tcPr>
            <w:tcW w:w="5118" w:type="dxa"/>
            <w:gridSpan w:val="2"/>
            <w:shd w:val="clear" w:color="auto" w:fill="auto"/>
            <w:vAlign w:val="center"/>
            <w:hideMark/>
          </w:tcPr>
          <w:p w:rsidR="00DB0113" w:rsidRPr="008D2286" w:rsidRDefault="00DB0113" w:rsidP="00D3301F">
            <w:pPr>
              <w:tabs>
                <w:tab w:val="left" w:pos="0"/>
              </w:tabs>
              <w:spacing w:after="0" w:line="240" w:lineRule="auto"/>
              <w:ind w:left="49"/>
              <w:jc w:val="both"/>
              <w:rPr>
                <w:rFonts w:eastAsia="Calibri"/>
                <w:color w:val="000000"/>
                <w:sz w:val="22"/>
                <w:lang w:eastAsia="en-US"/>
              </w:rPr>
            </w:pPr>
            <w:r w:rsidRPr="008D2286">
              <w:rPr>
                <w:rFonts w:eastAsia="Calibri"/>
                <w:color w:val="000000"/>
                <w:sz w:val="22"/>
                <w:szCs w:val="22"/>
                <w:lang w:eastAsia="en-US"/>
              </w:rPr>
              <w:t>8.1. Электроэнергетика</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2</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r>
              <w:rPr>
                <w:rFonts w:eastAsia="Calibri"/>
                <w:sz w:val="22"/>
                <w:szCs w:val="22"/>
                <w:lang w:eastAsia="en-US"/>
              </w:rPr>
              <w:t>4</w:t>
            </w:r>
          </w:p>
        </w:tc>
      </w:tr>
      <w:tr w:rsidR="00DB0113" w:rsidRPr="008D2286" w:rsidTr="00184C22">
        <w:trPr>
          <w:trHeight w:val="76"/>
        </w:trPr>
        <w:tc>
          <w:tcPr>
            <w:tcW w:w="5118" w:type="dxa"/>
            <w:gridSpan w:val="2"/>
            <w:shd w:val="clear" w:color="auto" w:fill="auto"/>
            <w:vAlign w:val="center"/>
            <w:hideMark/>
          </w:tcPr>
          <w:p w:rsidR="00DB0113" w:rsidRPr="008D2286" w:rsidRDefault="00DB0113" w:rsidP="00D3301F">
            <w:pPr>
              <w:spacing w:after="0" w:line="240" w:lineRule="auto"/>
              <w:ind w:left="49"/>
              <w:jc w:val="both"/>
              <w:rPr>
                <w:rFonts w:eastAsia="Calibri"/>
                <w:color w:val="000000"/>
                <w:sz w:val="22"/>
                <w:lang w:eastAsia="en-US"/>
              </w:rPr>
            </w:pPr>
            <w:r w:rsidRPr="008D2286">
              <w:rPr>
                <w:rFonts w:eastAsia="Calibri"/>
                <w:color w:val="000000"/>
                <w:sz w:val="22"/>
                <w:szCs w:val="22"/>
                <w:lang w:eastAsia="en-US"/>
              </w:rPr>
              <w:t>8.2. Теплоснабжение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8</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5</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3301F">
            <w:pPr>
              <w:spacing w:after="0" w:line="240" w:lineRule="auto"/>
              <w:ind w:left="49"/>
              <w:jc w:val="both"/>
              <w:rPr>
                <w:rFonts w:eastAsia="Calibri"/>
                <w:color w:val="000000"/>
                <w:sz w:val="22"/>
                <w:lang w:eastAsia="en-US"/>
              </w:rPr>
            </w:pPr>
            <w:r w:rsidRPr="008D2286">
              <w:rPr>
                <w:rFonts w:eastAsia="Calibri"/>
                <w:color w:val="000000"/>
                <w:sz w:val="22"/>
                <w:szCs w:val="22"/>
                <w:lang w:eastAsia="en-US"/>
              </w:rPr>
              <w:t>8.3. Газоснабжение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3301F">
            <w:pPr>
              <w:spacing w:after="0" w:line="240" w:lineRule="auto"/>
              <w:ind w:left="49"/>
              <w:jc w:val="both"/>
              <w:rPr>
                <w:rFonts w:eastAsia="Calibri"/>
                <w:color w:val="000000"/>
                <w:sz w:val="22"/>
                <w:lang w:eastAsia="en-US"/>
              </w:rPr>
            </w:pPr>
            <w:r w:rsidRPr="008D2286">
              <w:rPr>
                <w:rFonts w:eastAsia="Calibri"/>
                <w:color w:val="000000"/>
                <w:sz w:val="22"/>
                <w:szCs w:val="22"/>
                <w:lang w:eastAsia="en-US"/>
              </w:rPr>
              <w:t xml:space="preserve">8.4. Водоснабжение и водоотведение </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18</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7</w:t>
            </w:r>
          </w:p>
        </w:tc>
      </w:tr>
      <w:tr w:rsidR="00DB0113" w:rsidRPr="008D2286" w:rsidTr="00184C22">
        <w:trPr>
          <w:trHeight w:val="60"/>
        </w:trPr>
        <w:tc>
          <w:tcPr>
            <w:tcW w:w="5118" w:type="dxa"/>
            <w:gridSpan w:val="2"/>
            <w:shd w:val="clear" w:color="auto" w:fill="auto"/>
            <w:vAlign w:val="center"/>
            <w:hideMark/>
          </w:tcPr>
          <w:p w:rsidR="00DB0113" w:rsidRPr="008D2286" w:rsidRDefault="00DB0113" w:rsidP="00D3301F">
            <w:pPr>
              <w:spacing w:after="0" w:line="240" w:lineRule="auto"/>
              <w:ind w:left="49"/>
              <w:jc w:val="both"/>
              <w:rPr>
                <w:rFonts w:eastAsia="Calibri"/>
                <w:color w:val="000000"/>
                <w:sz w:val="22"/>
                <w:lang w:eastAsia="en-US"/>
              </w:rPr>
            </w:pPr>
            <w:r w:rsidRPr="008D2286">
              <w:rPr>
                <w:rFonts w:eastAsia="Calibri"/>
                <w:color w:val="000000"/>
                <w:sz w:val="22"/>
                <w:szCs w:val="22"/>
                <w:lang w:eastAsia="en-US"/>
              </w:rPr>
              <w:t>8.5. Транспортные услуги</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2</w:t>
            </w:r>
          </w:p>
        </w:tc>
      </w:tr>
      <w:tr w:rsidR="00DB0113" w:rsidRPr="008D2286" w:rsidTr="00184C22">
        <w:trPr>
          <w:trHeight w:val="50"/>
        </w:trPr>
        <w:tc>
          <w:tcPr>
            <w:tcW w:w="5118" w:type="dxa"/>
            <w:gridSpan w:val="2"/>
            <w:shd w:val="clear" w:color="auto" w:fill="auto"/>
            <w:vAlign w:val="center"/>
            <w:hideMark/>
          </w:tcPr>
          <w:p w:rsidR="00DB0113" w:rsidRPr="008D2286" w:rsidRDefault="00DB0113" w:rsidP="00D3301F">
            <w:pPr>
              <w:spacing w:after="0" w:line="240" w:lineRule="auto"/>
              <w:ind w:left="49"/>
              <w:contextualSpacing/>
              <w:jc w:val="both"/>
              <w:rPr>
                <w:rFonts w:eastAsia="Calibri"/>
                <w:color w:val="000000"/>
                <w:sz w:val="22"/>
                <w:lang w:eastAsia="en-US"/>
              </w:rPr>
            </w:pPr>
            <w:r w:rsidRPr="008D2286">
              <w:rPr>
                <w:rFonts w:eastAsia="Calibri"/>
                <w:color w:val="000000"/>
                <w:sz w:val="22"/>
                <w:szCs w:val="22"/>
                <w:lang w:eastAsia="en-US"/>
              </w:rPr>
              <w:t> 8.6. Прочее</w:t>
            </w:r>
          </w:p>
        </w:tc>
        <w:tc>
          <w:tcPr>
            <w:tcW w:w="1701" w:type="dxa"/>
            <w:gridSpan w:val="2"/>
            <w:shd w:val="clear" w:color="auto" w:fill="auto"/>
            <w:noWrap/>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1</w:t>
            </w:r>
          </w:p>
        </w:tc>
      </w:tr>
      <w:tr w:rsidR="00DB0113" w:rsidRPr="008D2286" w:rsidTr="00184C22">
        <w:trPr>
          <w:trHeight w:val="212"/>
        </w:trPr>
        <w:tc>
          <w:tcPr>
            <w:tcW w:w="5118" w:type="dxa"/>
            <w:gridSpan w:val="2"/>
            <w:shd w:val="clear" w:color="auto" w:fill="auto"/>
            <w:vAlign w:val="center"/>
            <w:hideMark/>
          </w:tcPr>
          <w:p w:rsidR="00DB0113" w:rsidRPr="008D2286" w:rsidRDefault="00DB0113" w:rsidP="00D3301F">
            <w:pPr>
              <w:spacing w:after="0" w:line="240" w:lineRule="auto"/>
              <w:ind w:left="34"/>
              <w:jc w:val="both"/>
              <w:rPr>
                <w:rFonts w:eastAsia="Calibri"/>
                <w:i/>
                <w:color w:val="000000"/>
                <w:sz w:val="22"/>
                <w:lang w:eastAsia="en-US"/>
              </w:rPr>
            </w:pPr>
            <w:r w:rsidRPr="008D2286">
              <w:rPr>
                <w:rFonts w:eastAsia="Calibri"/>
                <w:i/>
                <w:color w:val="000000"/>
                <w:sz w:val="22"/>
                <w:szCs w:val="22"/>
                <w:lang w:eastAsia="en-US"/>
              </w:rPr>
              <w:t xml:space="preserve">9. Количество выданных </w:t>
            </w:r>
            <w:r w:rsidRPr="008D2286">
              <w:rPr>
                <w:rFonts w:eastAsia="Calibri"/>
                <w:bCs/>
                <w:i/>
                <w:color w:val="000000"/>
                <w:sz w:val="22"/>
                <w:szCs w:val="22"/>
                <w:lang w:eastAsia="en-US"/>
              </w:rPr>
              <w:t>представлений</w:t>
            </w:r>
            <w:r w:rsidRPr="008D2286">
              <w:rPr>
                <w:rFonts w:eastAsia="Calibri"/>
                <w:i/>
                <w:color w:val="000000"/>
                <w:sz w:val="22"/>
                <w:szCs w:val="22"/>
                <w:lang w:eastAsia="en-US"/>
              </w:rPr>
              <w:t xml:space="preserve"> об устранении причин и условий, способствовавших совершению административного правонарушения</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1</w:t>
            </w:r>
          </w:p>
        </w:tc>
        <w:tc>
          <w:tcPr>
            <w:tcW w:w="1701" w:type="dxa"/>
            <w:gridSpan w:val="2"/>
          </w:tcPr>
          <w:p w:rsidR="00DB0113" w:rsidRPr="008D2286" w:rsidRDefault="00DB0113" w:rsidP="00D3301F">
            <w:pPr>
              <w:spacing w:after="0" w:line="240" w:lineRule="auto"/>
              <w:rPr>
                <w:rFonts w:eastAsia="Calibri"/>
                <w:sz w:val="22"/>
                <w:lang w:eastAsia="en-US"/>
              </w:rPr>
            </w:pPr>
            <w:r w:rsidRPr="008D2286">
              <w:rPr>
                <w:rFonts w:eastAsia="Calibri"/>
                <w:sz w:val="22"/>
                <w:szCs w:val="22"/>
                <w:lang w:eastAsia="en-US"/>
              </w:rPr>
              <w:t>0</w:t>
            </w:r>
          </w:p>
        </w:tc>
      </w:tr>
      <w:tr w:rsidR="00DB0113" w:rsidRPr="008D2286" w:rsidTr="00184C22">
        <w:trPr>
          <w:gridAfter w:val="1"/>
          <w:wAfter w:w="15" w:type="dxa"/>
          <w:trHeight w:val="540"/>
        </w:trPr>
        <w:tc>
          <w:tcPr>
            <w:tcW w:w="5103" w:type="dxa"/>
            <w:shd w:val="clear" w:color="auto" w:fill="auto"/>
            <w:vAlign w:val="center"/>
          </w:tcPr>
          <w:p w:rsidR="00DB0113" w:rsidRPr="008D2286" w:rsidRDefault="00DB0113" w:rsidP="00D3301F">
            <w:pPr>
              <w:spacing w:after="0" w:line="240" w:lineRule="auto"/>
              <w:ind w:left="34"/>
              <w:jc w:val="both"/>
              <w:rPr>
                <w:rFonts w:eastAsia="Calibri"/>
                <w:i/>
                <w:color w:val="000000"/>
                <w:sz w:val="22"/>
                <w:lang w:eastAsia="en-US"/>
              </w:rPr>
            </w:pPr>
            <w:r w:rsidRPr="008D2286">
              <w:rPr>
                <w:rFonts w:eastAsia="Calibri"/>
                <w:i/>
                <w:color w:val="000000"/>
                <w:sz w:val="22"/>
                <w:szCs w:val="22"/>
                <w:lang w:eastAsia="en-US"/>
              </w:rPr>
              <w:t>10. Количество постановлений, по результатам рассмотрения которых назначено наказание в виде предупреждения</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23</w:t>
            </w:r>
          </w:p>
        </w:tc>
        <w:tc>
          <w:tcPr>
            <w:tcW w:w="1701" w:type="dxa"/>
            <w:gridSpan w:val="2"/>
          </w:tcPr>
          <w:p w:rsidR="00DB0113" w:rsidRPr="008D2286" w:rsidRDefault="00DB0113" w:rsidP="00D3301F">
            <w:pPr>
              <w:spacing w:after="0" w:line="240" w:lineRule="auto"/>
              <w:rPr>
                <w:rFonts w:eastAsia="Calibri"/>
                <w:sz w:val="22"/>
                <w:lang w:eastAsia="en-US"/>
              </w:rPr>
            </w:pPr>
            <w:r>
              <w:rPr>
                <w:rFonts w:eastAsia="Calibri"/>
                <w:sz w:val="22"/>
                <w:szCs w:val="22"/>
                <w:lang w:eastAsia="en-US"/>
              </w:rPr>
              <w:t>23</w:t>
            </w:r>
          </w:p>
        </w:tc>
      </w:tr>
      <w:tr w:rsidR="00DB0113" w:rsidRPr="008D2286" w:rsidTr="00184C22">
        <w:trPr>
          <w:gridAfter w:val="1"/>
          <w:wAfter w:w="15" w:type="dxa"/>
          <w:trHeight w:val="540"/>
        </w:trPr>
        <w:tc>
          <w:tcPr>
            <w:tcW w:w="5103" w:type="dxa"/>
            <w:shd w:val="clear" w:color="auto" w:fill="auto"/>
            <w:vAlign w:val="center"/>
          </w:tcPr>
          <w:p w:rsidR="00DB0113" w:rsidRPr="008D2286" w:rsidRDefault="00DB0113" w:rsidP="00D3301F">
            <w:pPr>
              <w:spacing w:after="0" w:line="240" w:lineRule="auto"/>
              <w:ind w:left="34"/>
              <w:jc w:val="both"/>
              <w:rPr>
                <w:rFonts w:eastAsia="Calibri"/>
                <w:i/>
                <w:color w:val="000000"/>
                <w:sz w:val="22"/>
                <w:lang w:eastAsia="en-US"/>
              </w:rPr>
            </w:pPr>
            <w:r w:rsidRPr="008D2286">
              <w:rPr>
                <w:rFonts w:eastAsia="Calibri"/>
                <w:i/>
                <w:color w:val="000000"/>
                <w:sz w:val="22"/>
                <w:szCs w:val="22"/>
                <w:lang w:eastAsia="en-US"/>
              </w:rPr>
              <w:t>11. Количество предостережений о недопустимости нарушения обязательных требований</w:t>
            </w:r>
          </w:p>
        </w:tc>
        <w:tc>
          <w:tcPr>
            <w:tcW w:w="1701" w:type="dxa"/>
            <w:gridSpan w:val="2"/>
            <w:shd w:val="clear" w:color="auto" w:fill="auto"/>
            <w:noWrap/>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477</w:t>
            </w:r>
          </w:p>
        </w:tc>
        <w:tc>
          <w:tcPr>
            <w:tcW w:w="1701" w:type="dxa"/>
            <w:gridSpan w:val="2"/>
          </w:tcPr>
          <w:p w:rsidR="00DB0113" w:rsidRPr="008D2286" w:rsidRDefault="00DB0113" w:rsidP="00D3301F">
            <w:pPr>
              <w:spacing w:after="0" w:line="240" w:lineRule="auto"/>
              <w:rPr>
                <w:rFonts w:eastAsia="Calibri"/>
                <w:sz w:val="22"/>
                <w:highlight w:val="yellow"/>
                <w:lang w:eastAsia="en-US"/>
              </w:rPr>
            </w:pPr>
            <w:r w:rsidRPr="008D2286">
              <w:rPr>
                <w:rFonts w:eastAsia="Calibri"/>
                <w:sz w:val="22"/>
                <w:szCs w:val="22"/>
                <w:lang w:eastAsia="en-US"/>
              </w:rPr>
              <w:t>422</w:t>
            </w:r>
          </w:p>
        </w:tc>
      </w:tr>
    </w:tbl>
    <w:p w:rsidR="00DB0113" w:rsidRPr="00337218" w:rsidRDefault="00DB0113" w:rsidP="00DB0113">
      <w:pPr>
        <w:autoSpaceDE w:val="0"/>
        <w:autoSpaceDN w:val="0"/>
        <w:adjustRightInd w:val="0"/>
        <w:spacing w:after="0" w:line="240" w:lineRule="auto"/>
        <w:ind w:firstLine="709"/>
        <w:jc w:val="both"/>
        <w:rPr>
          <w:szCs w:val="28"/>
        </w:rPr>
      </w:pPr>
      <w:r w:rsidRPr="00FA105E">
        <w:rPr>
          <w:i/>
          <w:color w:val="000000"/>
        </w:rPr>
        <w:lastRenderedPageBreak/>
        <w:t>Проверки.</w:t>
      </w:r>
      <w:r>
        <w:rPr>
          <w:i/>
          <w:color w:val="000000"/>
        </w:rPr>
        <w:t xml:space="preserve"> </w:t>
      </w:r>
      <w:r w:rsidRPr="007B0B0A">
        <w:rPr>
          <w:szCs w:val="28"/>
        </w:rPr>
        <w:t xml:space="preserve">В 2024 году </w:t>
      </w:r>
      <w:r>
        <w:rPr>
          <w:szCs w:val="28"/>
        </w:rPr>
        <w:t xml:space="preserve">в рамках осуществления </w:t>
      </w:r>
      <w:r w:rsidRPr="00A0345F">
        <w:rPr>
          <w:rFonts w:eastAsia="Calibri"/>
          <w:szCs w:val="28"/>
        </w:rPr>
        <w:t xml:space="preserve">государственного контроля (надзора) </w:t>
      </w:r>
      <w:r w:rsidRPr="00A0345F">
        <w:rPr>
          <w:szCs w:val="28"/>
        </w:rPr>
        <w:t>проверки</w:t>
      </w:r>
      <w:r w:rsidRPr="007B0B0A">
        <w:rPr>
          <w:szCs w:val="28"/>
        </w:rPr>
        <w:t xml:space="preserve"> департаментом не проводились.</w:t>
      </w:r>
      <w:r>
        <w:rPr>
          <w:szCs w:val="28"/>
        </w:rPr>
        <w:t xml:space="preserve"> </w:t>
      </w:r>
    </w:p>
    <w:p w:rsidR="00DB0113" w:rsidRPr="00FA105E" w:rsidRDefault="00DB0113" w:rsidP="00DB0113">
      <w:pPr>
        <w:pStyle w:val="ConsPlusNormal"/>
        <w:ind w:firstLine="709"/>
        <w:jc w:val="both"/>
        <w:rPr>
          <w:rFonts w:ascii="Times New Roman" w:hAnsi="Times New Roman" w:cs="Times New Roman"/>
          <w:bCs/>
          <w:i/>
          <w:iCs/>
          <w:sz w:val="28"/>
          <w:szCs w:val="28"/>
        </w:rPr>
      </w:pPr>
      <w:r w:rsidRPr="00FA105E">
        <w:rPr>
          <w:rFonts w:ascii="Times New Roman" w:hAnsi="Times New Roman" w:cs="Times New Roman"/>
          <w:bCs/>
          <w:i/>
          <w:iCs/>
          <w:sz w:val="28"/>
          <w:szCs w:val="28"/>
        </w:rPr>
        <w:t>Контрольные (надзорные) мероприятия без взаимодействия с контролируемыми лицами</w:t>
      </w:r>
      <w:r>
        <w:rPr>
          <w:rFonts w:ascii="Times New Roman" w:hAnsi="Times New Roman" w:cs="Times New Roman"/>
          <w:bCs/>
          <w:i/>
          <w:iCs/>
          <w:sz w:val="28"/>
          <w:szCs w:val="28"/>
        </w:rPr>
        <w:t xml:space="preserve"> (н</w:t>
      </w:r>
      <w:r w:rsidRPr="00FA105E">
        <w:rPr>
          <w:rFonts w:ascii="Times New Roman" w:hAnsi="Times New Roman" w:cs="Times New Roman"/>
          <w:bCs/>
          <w:i/>
          <w:iCs/>
          <w:sz w:val="28"/>
          <w:szCs w:val="28"/>
        </w:rPr>
        <w:t>аблюдение за соблюдением обязательных требований</w:t>
      </w:r>
      <w:r>
        <w:rPr>
          <w:rFonts w:ascii="Times New Roman" w:hAnsi="Times New Roman" w:cs="Times New Roman"/>
          <w:bCs/>
          <w:i/>
          <w:iCs/>
          <w:sz w:val="28"/>
          <w:szCs w:val="28"/>
        </w:rPr>
        <w:t>)</w:t>
      </w:r>
      <w:r w:rsidRPr="00FA105E">
        <w:rPr>
          <w:rFonts w:ascii="Times New Roman" w:hAnsi="Times New Roman" w:cs="Times New Roman"/>
          <w:bCs/>
          <w:i/>
          <w:iCs/>
          <w:sz w:val="28"/>
          <w:szCs w:val="28"/>
        </w:rPr>
        <w:t>.</w:t>
      </w:r>
    </w:p>
    <w:p w:rsidR="00DB0113" w:rsidRDefault="00DB0113" w:rsidP="00DB0113">
      <w:pPr>
        <w:autoSpaceDE w:val="0"/>
        <w:autoSpaceDN w:val="0"/>
        <w:adjustRightInd w:val="0"/>
        <w:spacing w:after="0" w:line="240" w:lineRule="auto"/>
        <w:ind w:firstLine="709"/>
        <w:jc w:val="both"/>
        <w:rPr>
          <w:szCs w:val="28"/>
        </w:rPr>
      </w:pPr>
      <w:r>
        <w:rPr>
          <w:szCs w:val="28"/>
        </w:rPr>
        <w:t xml:space="preserve">В соответствии с </w:t>
      </w:r>
      <w:r w:rsidRPr="00180FF3">
        <w:rPr>
          <w:szCs w:val="28"/>
        </w:rPr>
        <w:t>Положение</w:t>
      </w:r>
      <w:r>
        <w:rPr>
          <w:szCs w:val="28"/>
        </w:rPr>
        <w:t>м</w:t>
      </w:r>
      <w:r w:rsidRPr="00180FF3">
        <w:rPr>
          <w:szCs w:val="28"/>
        </w:rPr>
        <w:t xml:space="preserve"> № 384-п</w:t>
      </w:r>
      <w:r>
        <w:rPr>
          <w:szCs w:val="28"/>
        </w:rPr>
        <w:t xml:space="preserve"> наблюдение за соблюдением обязательных требований проводится департаментом на постоянной основе без взаимодействия с контролируемыми лицами путем сбора, анализа данных об объектах контроля (надзора), имеющихся у департамента,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данных, содержащихся в государственных и муниципальных информационных системах, данных из информационно-телекоммуникационной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DB0113" w:rsidRDefault="00DB0113" w:rsidP="00DB0113">
      <w:pPr>
        <w:autoSpaceDE w:val="0"/>
        <w:autoSpaceDN w:val="0"/>
        <w:adjustRightInd w:val="0"/>
        <w:spacing w:after="0" w:line="240" w:lineRule="auto"/>
        <w:ind w:firstLine="709"/>
        <w:jc w:val="both"/>
        <w:rPr>
          <w:szCs w:val="28"/>
        </w:rPr>
      </w:pPr>
      <w:r>
        <w:rPr>
          <w:szCs w:val="28"/>
        </w:rPr>
        <w:t xml:space="preserve">В 2024 году департаментом проведено наблюдение за соблюдением следующих обязательных требований: </w:t>
      </w:r>
    </w:p>
    <w:p w:rsidR="00DB0113" w:rsidRPr="001F2B01" w:rsidRDefault="00DB0113" w:rsidP="00DB0113">
      <w:pPr>
        <w:pStyle w:val="ConsPlusNormal"/>
        <w:ind w:firstLine="567"/>
        <w:jc w:val="both"/>
        <w:rPr>
          <w:rFonts w:ascii="Times New Roman" w:hAnsi="Times New Roman" w:cs="Times New Roman"/>
          <w:bCs/>
          <w:sz w:val="28"/>
          <w:szCs w:val="28"/>
        </w:rPr>
      </w:pPr>
      <w:r w:rsidRPr="001F2B01">
        <w:rPr>
          <w:rFonts w:ascii="Times New Roman" w:hAnsi="Times New Roman" w:cs="Times New Roman"/>
          <w:bCs/>
          <w:sz w:val="28"/>
          <w:szCs w:val="28"/>
        </w:rPr>
        <w:t xml:space="preserve">1) за соблюдением регулируемыми организациями обязательных требований о раскрытии информации в соответствии со стандартами раскрытия информации; </w:t>
      </w:r>
    </w:p>
    <w:p w:rsidR="00DB0113" w:rsidRPr="00B934D5" w:rsidRDefault="00DB0113" w:rsidP="00DB0113">
      <w:pPr>
        <w:pStyle w:val="ConsPlusNormal"/>
        <w:ind w:firstLine="567"/>
        <w:jc w:val="both"/>
        <w:rPr>
          <w:rFonts w:ascii="Times New Roman" w:hAnsi="Times New Roman" w:cs="Times New Roman"/>
          <w:sz w:val="28"/>
          <w:szCs w:val="28"/>
        </w:rPr>
      </w:pPr>
      <w:r>
        <w:rPr>
          <w:rFonts w:ascii="Times New Roman" w:hAnsi="Times New Roman" w:cs="Times New Roman"/>
          <w:bCs/>
          <w:sz w:val="28"/>
          <w:szCs w:val="28"/>
        </w:rPr>
        <w:t>2) </w:t>
      </w:r>
      <w:r w:rsidRPr="00B934D5">
        <w:rPr>
          <w:rFonts w:ascii="Times New Roman" w:hAnsi="Times New Roman" w:cs="Times New Roman"/>
          <w:bCs/>
          <w:sz w:val="28"/>
          <w:szCs w:val="28"/>
        </w:rPr>
        <w:t xml:space="preserve">за соблюдением </w:t>
      </w:r>
      <w:r>
        <w:rPr>
          <w:rFonts w:ascii="Times New Roman" w:hAnsi="Times New Roman" w:cs="Times New Roman"/>
          <w:bCs/>
          <w:sz w:val="28"/>
          <w:szCs w:val="28"/>
        </w:rPr>
        <w:t xml:space="preserve">регулируемыми организациями </w:t>
      </w:r>
      <w:r w:rsidRPr="00B934D5">
        <w:rPr>
          <w:rFonts w:ascii="Times New Roman" w:hAnsi="Times New Roman" w:cs="Times New Roman"/>
          <w:sz w:val="28"/>
          <w:szCs w:val="28"/>
        </w:rPr>
        <w:t>обязательных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w:t>
      </w:r>
      <w:r>
        <w:rPr>
          <w:rFonts w:ascii="Times New Roman" w:hAnsi="Times New Roman" w:cs="Times New Roman"/>
          <w:sz w:val="28"/>
          <w:szCs w:val="28"/>
        </w:rPr>
        <w:t>;</w:t>
      </w:r>
    </w:p>
    <w:p w:rsidR="00DB0113" w:rsidRPr="00943AAB" w:rsidRDefault="00DB0113" w:rsidP="00DB0113">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3</w:t>
      </w:r>
      <w:r w:rsidRPr="0027736F">
        <w:rPr>
          <w:rFonts w:ascii="Times New Roman" w:hAnsi="Times New Roman" w:cs="Times New Roman"/>
          <w:sz w:val="28"/>
          <w:szCs w:val="28"/>
        </w:rPr>
        <w:t>) </w:t>
      </w:r>
      <w:r w:rsidRPr="00943AAB">
        <w:rPr>
          <w:rFonts w:ascii="Times New Roman" w:hAnsi="Times New Roman" w:cs="Times New Roman"/>
          <w:bCs/>
          <w:sz w:val="28"/>
          <w:szCs w:val="28"/>
        </w:rPr>
        <w:t xml:space="preserve">за соблюдением </w:t>
      </w:r>
      <w:r>
        <w:rPr>
          <w:rFonts w:ascii="Times New Roman" w:hAnsi="Times New Roman" w:cs="Times New Roman"/>
          <w:bCs/>
          <w:sz w:val="28"/>
          <w:szCs w:val="28"/>
        </w:rPr>
        <w:t xml:space="preserve">теплоснабжающими </w:t>
      </w:r>
      <w:r w:rsidRPr="00943AAB">
        <w:rPr>
          <w:rFonts w:ascii="Times New Roman" w:hAnsi="Times New Roman" w:cs="Times New Roman"/>
          <w:sz w:val="28"/>
          <w:szCs w:val="28"/>
        </w:rPr>
        <w:t>организациями обязательных требований о выполнении утвержденных департаментом инвестицион</w:t>
      </w:r>
      <w:r>
        <w:rPr>
          <w:rFonts w:ascii="Times New Roman" w:hAnsi="Times New Roman" w:cs="Times New Roman"/>
          <w:sz w:val="28"/>
          <w:szCs w:val="28"/>
        </w:rPr>
        <w:t>ных программ;</w:t>
      </w:r>
      <w:r w:rsidRPr="00943AAB">
        <w:rPr>
          <w:rFonts w:ascii="Times New Roman" w:hAnsi="Times New Roman" w:cs="Times New Roman"/>
          <w:sz w:val="28"/>
          <w:szCs w:val="28"/>
        </w:rPr>
        <w:t xml:space="preserve"> </w:t>
      </w:r>
    </w:p>
    <w:p w:rsidR="00DB0113" w:rsidRDefault="00DB0113" w:rsidP="00DB0113">
      <w:pPr>
        <w:spacing w:after="0" w:line="240" w:lineRule="auto"/>
        <w:ind w:firstLine="567"/>
        <w:jc w:val="both"/>
        <w:rPr>
          <w:rFonts w:eastAsia="Calibri"/>
          <w:szCs w:val="28"/>
          <w:lang w:eastAsia="en-US"/>
        </w:rPr>
      </w:pPr>
      <w:r>
        <w:rPr>
          <w:szCs w:val="28"/>
        </w:rPr>
        <w:t>4</w:t>
      </w:r>
      <w:r w:rsidRPr="0027736F">
        <w:rPr>
          <w:szCs w:val="28"/>
        </w:rPr>
        <w:t>) </w:t>
      </w:r>
      <w:r w:rsidRPr="00E53ED7">
        <w:rPr>
          <w:rFonts w:eastAsia="Calibri"/>
          <w:szCs w:val="28"/>
          <w:lang w:eastAsia="en-US"/>
        </w:rPr>
        <w:t xml:space="preserve">за соблюдением </w:t>
      </w:r>
      <w:r>
        <w:rPr>
          <w:rFonts w:eastAsia="Calibri"/>
          <w:szCs w:val="28"/>
          <w:lang w:eastAsia="en-US"/>
        </w:rPr>
        <w:t xml:space="preserve">газораспределительными организациями </w:t>
      </w:r>
      <w:r w:rsidRPr="00E53ED7">
        <w:rPr>
          <w:rFonts w:eastAsia="Calibri"/>
          <w:szCs w:val="28"/>
          <w:lang w:eastAsia="en-US"/>
        </w:rPr>
        <w:t xml:space="preserve">обязательных требований о целевом использовании финансовых средств, полученных в результате введения специальных надбавок к тарифам на транспортировку газа по газораспределительным сетям </w:t>
      </w:r>
      <w:r>
        <w:rPr>
          <w:szCs w:val="28"/>
        </w:rPr>
        <w:t>для финансирования программ газификации</w:t>
      </w:r>
      <w:r>
        <w:rPr>
          <w:rFonts w:eastAsia="Calibri"/>
          <w:szCs w:val="28"/>
          <w:lang w:eastAsia="en-US"/>
        </w:rPr>
        <w:t>;</w:t>
      </w:r>
    </w:p>
    <w:p w:rsidR="00DB0113" w:rsidRDefault="00DB0113" w:rsidP="00DB0113">
      <w:pPr>
        <w:autoSpaceDE w:val="0"/>
        <w:autoSpaceDN w:val="0"/>
        <w:adjustRightInd w:val="0"/>
        <w:spacing w:after="0" w:line="240" w:lineRule="auto"/>
        <w:ind w:firstLine="567"/>
        <w:jc w:val="both"/>
        <w:rPr>
          <w:szCs w:val="28"/>
        </w:rPr>
      </w:pPr>
      <w:r>
        <w:rPr>
          <w:rFonts w:eastAsia="Calibri"/>
          <w:szCs w:val="28"/>
          <w:lang w:eastAsia="en-US"/>
        </w:rPr>
        <w:t>5) за соблюдением субъектами естественных монополий, р</w:t>
      </w:r>
      <w:r>
        <w:rPr>
          <w:szCs w:val="28"/>
        </w:rPr>
        <w:t>егиональным оператором и операторами по обращению с твердыми коммунальными отходами, субъектами электроэнергетики, регулируемыми организациями в сфере теплоснабжения, регулируемыми организациями в сфере водоснабжения и водоотведения обязательных требований об использовании инвестиционных ресурсов, учтенных при установлении регулируемых цен (тарифов).</w:t>
      </w:r>
    </w:p>
    <w:p w:rsidR="00DB0113" w:rsidRPr="008908B6" w:rsidRDefault="00DB0113" w:rsidP="00DB0113">
      <w:pPr>
        <w:pStyle w:val="ConsPlusNormal"/>
        <w:ind w:firstLine="709"/>
        <w:jc w:val="both"/>
        <w:rPr>
          <w:rFonts w:ascii="Times New Roman" w:hAnsi="Times New Roman" w:cs="Times New Roman"/>
          <w:sz w:val="28"/>
          <w:szCs w:val="28"/>
        </w:rPr>
      </w:pPr>
      <w:r w:rsidRPr="0027736F">
        <w:rPr>
          <w:rFonts w:ascii="Times New Roman" w:hAnsi="Times New Roman" w:cs="Times New Roman"/>
          <w:sz w:val="28"/>
          <w:szCs w:val="28"/>
        </w:rPr>
        <w:t>В 202</w:t>
      </w:r>
      <w:r>
        <w:rPr>
          <w:rFonts w:ascii="Times New Roman" w:hAnsi="Times New Roman" w:cs="Times New Roman"/>
          <w:sz w:val="28"/>
          <w:szCs w:val="28"/>
        </w:rPr>
        <w:t>4</w:t>
      </w:r>
      <w:r w:rsidRPr="0027736F">
        <w:rPr>
          <w:rFonts w:ascii="Times New Roman" w:hAnsi="Times New Roman" w:cs="Times New Roman"/>
          <w:sz w:val="28"/>
          <w:szCs w:val="28"/>
        </w:rPr>
        <w:t xml:space="preserve"> году департаментом проведено </w:t>
      </w:r>
      <w:r>
        <w:rPr>
          <w:rFonts w:ascii="Times New Roman" w:hAnsi="Times New Roman" w:cs="Times New Roman"/>
          <w:sz w:val="28"/>
          <w:szCs w:val="28"/>
        </w:rPr>
        <w:t>7235</w:t>
      </w:r>
      <w:r w:rsidRPr="0027736F">
        <w:rPr>
          <w:rFonts w:ascii="Times New Roman" w:hAnsi="Times New Roman" w:cs="Times New Roman"/>
          <w:sz w:val="28"/>
          <w:szCs w:val="28"/>
        </w:rPr>
        <w:t xml:space="preserve"> </w:t>
      </w:r>
      <w:r>
        <w:rPr>
          <w:rFonts w:ascii="Times New Roman" w:hAnsi="Times New Roman" w:cs="Times New Roman"/>
          <w:sz w:val="28"/>
          <w:szCs w:val="28"/>
        </w:rPr>
        <w:t xml:space="preserve">контрольных (надзорных) </w:t>
      </w:r>
      <w:r w:rsidRPr="0027736F">
        <w:rPr>
          <w:rFonts w:ascii="Times New Roman" w:hAnsi="Times New Roman" w:cs="Times New Roman"/>
          <w:sz w:val="28"/>
          <w:szCs w:val="28"/>
        </w:rPr>
        <w:t>мероприяти</w:t>
      </w:r>
      <w:r>
        <w:rPr>
          <w:rFonts w:ascii="Times New Roman" w:hAnsi="Times New Roman" w:cs="Times New Roman"/>
          <w:sz w:val="28"/>
          <w:szCs w:val="28"/>
        </w:rPr>
        <w:t xml:space="preserve">й в виде наблюдения за соблюдением контролируемыми лицами обязательных требований. </w:t>
      </w:r>
      <w:r w:rsidRPr="008908B6">
        <w:rPr>
          <w:rFonts w:ascii="Times New Roman" w:hAnsi="Times New Roman" w:cs="Times New Roman"/>
          <w:sz w:val="28"/>
          <w:szCs w:val="28"/>
        </w:rPr>
        <w:t xml:space="preserve">По результатам </w:t>
      </w:r>
      <w:r>
        <w:rPr>
          <w:rFonts w:ascii="Times New Roman" w:hAnsi="Times New Roman" w:cs="Times New Roman"/>
          <w:sz w:val="28"/>
          <w:szCs w:val="28"/>
        </w:rPr>
        <w:t>их проведения</w:t>
      </w:r>
      <w:r w:rsidRPr="008908B6">
        <w:rPr>
          <w:rFonts w:ascii="Times New Roman" w:hAnsi="Times New Roman" w:cs="Times New Roman"/>
          <w:sz w:val="28"/>
          <w:szCs w:val="28"/>
        </w:rPr>
        <w:t xml:space="preserve"> было выявлено </w:t>
      </w:r>
      <w:r>
        <w:rPr>
          <w:rFonts w:ascii="Times New Roman" w:hAnsi="Times New Roman" w:cs="Times New Roman"/>
          <w:sz w:val="28"/>
          <w:szCs w:val="28"/>
        </w:rPr>
        <w:t>392</w:t>
      </w:r>
      <w:r w:rsidRPr="008908B6">
        <w:rPr>
          <w:rFonts w:ascii="Times New Roman" w:hAnsi="Times New Roman" w:cs="Times New Roman"/>
          <w:sz w:val="28"/>
          <w:szCs w:val="28"/>
        </w:rPr>
        <w:t xml:space="preserve"> факт</w:t>
      </w:r>
      <w:r>
        <w:rPr>
          <w:rFonts w:ascii="Times New Roman" w:hAnsi="Times New Roman" w:cs="Times New Roman"/>
          <w:sz w:val="28"/>
          <w:szCs w:val="28"/>
        </w:rPr>
        <w:t>а</w:t>
      </w:r>
      <w:r w:rsidRPr="008908B6">
        <w:rPr>
          <w:rFonts w:ascii="Times New Roman" w:hAnsi="Times New Roman" w:cs="Times New Roman"/>
          <w:sz w:val="28"/>
          <w:szCs w:val="28"/>
        </w:rPr>
        <w:t xml:space="preserve"> нарушений обязательных требований, из них:</w:t>
      </w:r>
    </w:p>
    <w:p w:rsidR="00DB0113" w:rsidRPr="006743FA"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lastRenderedPageBreak/>
        <w:t>-</w:t>
      </w:r>
      <w:r w:rsidRPr="006743FA">
        <w:rPr>
          <w:rFonts w:ascii="Times New Roman" w:hAnsi="Times New Roman" w:cs="Times New Roman"/>
          <w:sz w:val="28"/>
          <w:szCs w:val="28"/>
        </w:rPr>
        <w:t>нарушени</w:t>
      </w:r>
      <w:r>
        <w:rPr>
          <w:rFonts w:ascii="Times New Roman" w:hAnsi="Times New Roman" w:cs="Times New Roman"/>
          <w:sz w:val="28"/>
          <w:szCs w:val="28"/>
        </w:rPr>
        <w:t>й</w:t>
      </w:r>
      <w:r w:rsidRPr="006743FA">
        <w:rPr>
          <w:rFonts w:ascii="Times New Roman" w:hAnsi="Times New Roman" w:cs="Times New Roman"/>
          <w:sz w:val="28"/>
          <w:szCs w:val="28"/>
        </w:rPr>
        <w:t xml:space="preserve"> стандартов раскрытия информации – 327;</w:t>
      </w:r>
    </w:p>
    <w:p w:rsidR="00DB0113" w:rsidRPr="00460FEC"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w:t>
      </w:r>
      <w:r w:rsidRPr="00460FEC">
        <w:rPr>
          <w:rFonts w:ascii="Times New Roman" w:hAnsi="Times New Roman" w:cs="Times New Roman"/>
          <w:sz w:val="28"/>
          <w:szCs w:val="28"/>
        </w:rPr>
        <w:t>нарушени</w:t>
      </w:r>
      <w:r>
        <w:rPr>
          <w:rFonts w:ascii="Times New Roman" w:hAnsi="Times New Roman" w:cs="Times New Roman"/>
          <w:sz w:val="28"/>
          <w:szCs w:val="28"/>
        </w:rPr>
        <w:t>й</w:t>
      </w:r>
      <w:r w:rsidRPr="00460FEC">
        <w:rPr>
          <w:rFonts w:ascii="Times New Roman" w:hAnsi="Times New Roman" w:cs="Times New Roman"/>
          <w:sz w:val="28"/>
          <w:szCs w:val="28"/>
        </w:rPr>
        <w:t xml:space="preserve"> </w:t>
      </w:r>
      <w:r w:rsidRPr="00614E27">
        <w:rPr>
          <w:rFonts w:ascii="Times New Roman" w:hAnsi="Times New Roman" w:cs="Times New Roman"/>
          <w:sz w:val="28"/>
          <w:szCs w:val="28"/>
        </w:rPr>
        <w:t xml:space="preserve">обязательных </w:t>
      </w:r>
      <w:r w:rsidRPr="00B934D5">
        <w:rPr>
          <w:rFonts w:ascii="Times New Roman" w:hAnsi="Times New Roman" w:cs="Times New Roman"/>
          <w:sz w:val="28"/>
          <w:szCs w:val="28"/>
        </w:rPr>
        <w:t xml:space="preserve">требований в области энергосбережения и повышения энергетической эффективности </w:t>
      </w:r>
      <w:r w:rsidRPr="00460FEC">
        <w:rPr>
          <w:rFonts w:ascii="Times New Roman" w:hAnsi="Times New Roman" w:cs="Times New Roman"/>
          <w:sz w:val="28"/>
          <w:szCs w:val="28"/>
        </w:rPr>
        <w:t>о принятии и реализации программ в области энергосбережения и повышения энергетической эффективности – 6</w:t>
      </w:r>
      <w:r>
        <w:rPr>
          <w:rFonts w:ascii="Times New Roman" w:hAnsi="Times New Roman" w:cs="Times New Roman"/>
          <w:sz w:val="28"/>
          <w:szCs w:val="28"/>
        </w:rPr>
        <w:t>3</w:t>
      </w:r>
      <w:r w:rsidRPr="00460FEC">
        <w:rPr>
          <w:rFonts w:ascii="Times New Roman" w:hAnsi="Times New Roman" w:cs="Times New Roman"/>
          <w:sz w:val="28"/>
          <w:szCs w:val="28"/>
        </w:rPr>
        <w:t>;</w:t>
      </w:r>
    </w:p>
    <w:p w:rsidR="00DB0113" w:rsidRPr="00614E27"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w:t>
      </w:r>
      <w:r w:rsidRPr="00614E27">
        <w:rPr>
          <w:rFonts w:ascii="Times New Roman" w:hAnsi="Times New Roman" w:cs="Times New Roman"/>
          <w:sz w:val="28"/>
          <w:szCs w:val="28"/>
        </w:rPr>
        <w:t>нарушени</w:t>
      </w:r>
      <w:r>
        <w:rPr>
          <w:rFonts w:ascii="Times New Roman" w:hAnsi="Times New Roman" w:cs="Times New Roman"/>
          <w:sz w:val="28"/>
          <w:szCs w:val="28"/>
        </w:rPr>
        <w:t>й</w:t>
      </w:r>
      <w:r w:rsidRPr="00614E27">
        <w:rPr>
          <w:rFonts w:ascii="Times New Roman" w:hAnsi="Times New Roman" w:cs="Times New Roman"/>
          <w:sz w:val="28"/>
          <w:szCs w:val="28"/>
        </w:rPr>
        <w:t xml:space="preserve"> теплоснабжающими организациями обязательных требований о выполнении утвержденных департаментом инвестиционных программ</w:t>
      </w:r>
      <w:r>
        <w:rPr>
          <w:rFonts w:ascii="Times New Roman" w:hAnsi="Times New Roman" w:cs="Times New Roman"/>
          <w:sz w:val="28"/>
          <w:szCs w:val="28"/>
        </w:rPr>
        <w:t xml:space="preserve"> (в том числе </w:t>
      </w:r>
      <w:r w:rsidRPr="009016AA">
        <w:rPr>
          <w:rFonts w:ascii="Times New Roman" w:hAnsi="Times New Roman" w:cs="Times New Roman"/>
          <w:sz w:val="28"/>
          <w:szCs w:val="28"/>
        </w:rPr>
        <w:t>об использовании инвестиционных ресурсов, учтенных при установлении регулируемых цен (тарифов)</w:t>
      </w:r>
      <w:r>
        <w:rPr>
          <w:rFonts w:ascii="Times New Roman" w:hAnsi="Times New Roman" w:cs="Times New Roman"/>
          <w:sz w:val="28"/>
          <w:szCs w:val="28"/>
        </w:rPr>
        <w:t>)</w:t>
      </w:r>
      <w:r w:rsidRPr="009016AA">
        <w:rPr>
          <w:rFonts w:ascii="Times New Roman" w:hAnsi="Times New Roman" w:cs="Times New Roman"/>
          <w:sz w:val="28"/>
          <w:szCs w:val="28"/>
        </w:rPr>
        <w:t>,</w:t>
      </w:r>
      <w:r w:rsidRPr="00614E27">
        <w:rPr>
          <w:rFonts w:ascii="Times New Roman" w:hAnsi="Times New Roman" w:cs="Times New Roman"/>
          <w:sz w:val="28"/>
          <w:szCs w:val="28"/>
        </w:rPr>
        <w:t xml:space="preserve"> – 2.</w:t>
      </w:r>
    </w:p>
    <w:p w:rsidR="00DB0113" w:rsidRDefault="00DB0113" w:rsidP="00DB0113">
      <w:pPr>
        <w:autoSpaceDE w:val="0"/>
        <w:autoSpaceDN w:val="0"/>
        <w:adjustRightInd w:val="0"/>
        <w:spacing w:after="0" w:line="240" w:lineRule="auto"/>
        <w:ind w:firstLine="709"/>
        <w:jc w:val="both"/>
        <w:outlineLvl w:val="0"/>
        <w:rPr>
          <w:bCs/>
          <w:szCs w:val="28"/>
        </w:rPr>
      </w:pPr>
      <w:r>
        <w:rPr>
          <w:bCs/>
          <w:szCs w:val="28"/>
        </w:rPr>
        <w:t xml:space="preserve">За нарушение вышеуказанных обязательных требований предусмотрена административная ответственность статьями 19.8.1, 19.7 и </w:t>
      </w:r>
      <w:r>
        <w:rPr>
          <w:szCs w:val="28"/>
        </w:rPr>
        <w:t xml:space="preserve">частью 10 статьи 9.16 </w:t>
      </w:r>
      <w:r>
        <w:rPr>
          <w:bCs/>
          <w:szCs w:val="28"/>
        </w:rPr>
        <w:t>Кодекса Российской Федерации об административных правонарушениях.</w:t>
      </w:r>
    </w:p>
    <w:p w:rsidR="00DB0113" w:rsidRDefault="00DB0113" w:rsidP="00DB0113">
      <w:pPr>
        <w:autoSpaceDE w:val="0"/>
        <w:autoSpaceDN w:val="0"/>
        <w:adjustRightInd w:val="0"/>
        <w:spacing w:after="0" w:line="240" w:lineRule="auto"/>
        <w:ind w:firstLine="709"/>
        <w:jc w:val="both"/>
        <w:rPr>
          <w:szCs w:val="28"/>
        </w:rPr>
      </w:pPr>
      <w:r>
        <w:rPr>
          <w:szCs w:val="28"/>
        </w:rPr>
        <w:t xml:space="preserve">Однако, в условиях действия Постановления № 336, вместо возбуждения дел об административных правонарушениях и привлечения лиц, допустивших вышеуказанные нарушения, к административной ответственности, </w:t>
      </w:r>
      <w:r>
        <w:rPr>
          <w:color w:val="000000"/>
        </w:rPr>
        <w:t xml:space="preserve">департамент принимал исключительно профилактические меры – по всем вышеуказанным выявленным фактам нарушений объявлял в установленном порядке предостережения </w:t>
      </w:r>
      <w:r>
        <w:rPr>
          <w:szCs w:val="28"/>
        </w:rPr>
        <w:t xml:space="preserve">о недопустимости нарушения обязательных требований и предлагал принять меры по обеспечению соблюдения обязательных требований. </w:t>
      </w:r>
    </w:p>
    <w:p w:rsidR="00DB0113" w:rsidRDefault="00DB0113" w:rsidP="00DB0113">
      <w:pPr>
        <w:autoSpaceDE w:val="0"/>
        <w:autoSpaceDN w:val="0"/>
        <w:adjustRightInd w:val="0"/>
        <w:spacing w:after="0" w:line="240" w:lineRule="auto"/>
        <w:ind w:firstLine="709"/>
        <w:jc w:val="both"/>
        <w:rPr>
          <w:rFonts w:eastAsia="Calibri"/>
          <w:szCs w:val="28"/>
          <w:lang w:eastAsia="en-US"/>
        </w:rPr>
      </w:pPr>
      <w:r w:rsidRPr="00E32056">
        <w:rPr>
          <w:rFonts w:eastAsia="Calibri"/>
          <w:szCs w:val="28"/>
          <w:lang w:eastAsia="en-US"/>
        </w:rPr>
        <w:t xml:space="preserve">Отчеты о проведении департаментом наблюдения за соблюдением субъектами естественных монополий, </w:t>
      </w:r>
      <w:r w:rsidRPr="00E32056">
        <w:rPr>
          <w:szCs w:val="28"/>
        </w:rPr>
        <w:t>субъектами электроэнергетики, регулируемыми организациями в сфере теплоснабжения, регулируемыми организациями в сфере водоснабжения и водоотведения обязательных требований об использовании инвестиционных ресурсов, учтенных департаментом при установлении регулируемых цен (тарифов) на 2023 год, направлены департаментом в 2024 году в ФАС России. Содержащиеся в таких отчетах сведения о выявленных нарушениях обязательных требований учтены при принятии департаментом в 2024 году решений об установлении регулируемых цен (тарифов) на очередной период регулирования для контролируемых лиц, допустивших выявленные нарушения.</w:t>
      </w:r>
      <w:r>
        <w:rPr>
          <w:szCs w:val="28"/>
        </w:rPr>
        <w:t xml:space="preserve"> </w:t>
      </w:r>
    </w:p>
    <w:p w:rsidR="00DB0113" w:rsidRPr="00C54963" w:rsidRDefault="00DB0113" w:rsidP="00DB0113">
      <w:pPr>
        <w:autoSpaceDE w:val="0"/>
        <w:autoSpaceDN w:val="0"/>
        <w:adjustRightInd w:val="0"/>
        <w:spacing w:after="0" w:line="240" w:lineRule="auto"/>
        <w:ind w:firstLine="567"/>
        <w:jc w:val="both"/>
        <w:rPr>
          <w:bCs/>
          <w:i/>
          <w:iCs/>
          <w:szCs w:val="28"/>
        </w:rPr>
      </w:pPr>
      <w:r w:rsidRPr="00C54963">
        <w:rPr>
          <w:bCs/>
          <w:i/>
          <w:iCs/>
          <w:szCs w:val="28"/>
        </w:rPr>
        <w:t>Выездное обследование</w:t>
      </w:r>
      <w:r>
        <w:rPr>
          <w:bCs/>
          <w:i/>
          <w:iCs/>
          <w:szCs w:val="28"/>
        </w:rPr>
        <w:t>.</w:t>
      </w:r>
    </w:p>
    <w:p w:rsidR="00DB0113" w:rsidRDefault="00DB0113" w:rsidP="00DB0113">
      <w:pPr>
        <w:tabs>
          <w:tab w:val="left" w:pos="709"/>
        </w:tabs>
        <w:autoSpaceDE w:val="0"/>
        <w:autoSpaceDN w:val="0"/>
        <w:adjustRightInd w:val="0"/>
        <w:spacing w:after="0" w:line="240" w:lineRule="auto"/>
        <w:ind w:firstLine="709"/>
        <w:jc w:val="both"/>
        <w:rPr>
          <w:szCs w:val="28"/>
        </w:rPr>
      </w:pPr>
      <w:r w:rsidRPr="00DB35C3">
        <w:rPr>
          <w:szCs w:val="28"/>
        </w:rPr>
        <w:t>В целях оценки соблюдения контролируемым</w:t>
      </w:r>
      <w:r>
        <w:rPr>
          <w:szCs w:val="28"/>
        </w:rPr>
        <w:t>и</w:t>
      </w:r>
      <w:r w:rsidRPr="00DB35C3">
        <w:rPr>
          <w:szCs w:val="28"/>
        </w:rPr>
        <w:t xml:space="preserve"> лиц</w:t>
      </w:r>
      <w:r>
        <w:rPr>
          <w:szCs w:val="28"/>
        </w:rPr>
        <w:t>ами</w:t>
      </w:r>
      <w:r w:rsidRPr="00DB35C3">
        <w:rPr>
          <w:szCs w:val="28"/>
        </w:rPr>
        <w:t xml:space="preserve"> обязательных требований к применению цен на лекарственные препараты, включенные в перечень жизненно необходимых и важнейших лекарственных препаратов, в соответствии с положениями пункта 2 Особенностей оценки соблюдения обязательных требований к применению цен на лекарственные препараты, включенные в перечень жизненно необходимых и важнейших лекарственных препаратов, установленных Постановлением №</w:t>
      </w:r>
      <w:r>
        <w:rPr>
          <w:szCs w:val="28"/>
        </w:rPr>
        <w:t> </w:t>
      </w:r>
      <w:r w:rsidRPr="00DB35C3">
        <w:rPr>
          <w:szCs w:val="28"/>
        </w:rPr>
        <w:t>336</w:t>
      </w:r>
      <w:r>
        <w:rPr>
          <w:szCs w:val="28"/>
        </w:rPr>
        <w:t xml:space="preserve">, департаментом </w:t>
      </w:r>
      <w:r w:rsidRPr="00DB35C3">
        <w:rPr>
          <w:szCs w:val="28"/>
        </w:rPr>
        <w:t xml:space="preserve">в 2024 году </w:t>
      </w:r>
      <w:r>
        <w:rPr>
          <w:szCs w:val="28"/>
        </w:rPr>
        <w:t xml:space="preserve">было проведено 1 плановое </w:t>
      </w:r>
      <w:r w:rsidRPr="00DB35C3">
        <w:rPr>
          <w:szCs w:val="28"/>
        </w:rPr>
        <w:t>выездн</w:t>
      </w:r>
      <w:r>
        <w:rPr>
          <w:szCs w:val="28"/>
        </w:rPr>
        <w:t xml:space="preserve">ое </w:t>
      </w:r>
      <w:r w:rsidRPr="00DB35C3">
        <w:rPr>
          <w:szCs w:val="28"/>
        </w:rPr>
        <w:t>обследовани</w:t>
      </w:r>
      <w:r>
        <w:rPr>
          <w:szCs w:val="28"/>
        </w:rPr>
        <w:t>е, в ходе которого нарушений обязательных требований</w:t>
      </w:r>
      <w:r w:rsidRPr="00DB35C3">
        <w:rPr>
          <w:szCs w:val="28"/>
        </w:rPr>
        <w:t xml:space="preserve"> </w:t>
      </w:r>
      <w:r>
        <w:rPr>
          <w:szCs w:val="28"/>
        </w:rPr>
        <w:t>не выявлено.</w:t>
      </w:r>
    </w:p>
    <w:p w:rsidR="00DB0113" w:rsidRPr="00F40E84" w:rsidRDefault="00DB0113" w:rsidP="00DB0113">
      <w:pPr>
        <w:pStyle w:val="ConsPlusNormal"/>
        <w:ind w:firstLine="567"/>
        <w:jc w:val="both"/>
        <w:rPr>
          <w:rFonts w:ascii="Times New Roman" w:hAnsi="Times New Roman" w:cs="Times New Roman"/>
          <w:i/>
          <w:sz w:val="28"/>
          <w:szCs w:val="28"/>
        </w:rPr>
      </w:pPr>
      <w:r w:rsidRPr="00F40E84">
        <w:rPr>
          <w:rFonts w:ascii="Times New Roman" w:hAnsi="Times New Roman" w:cs="Times New Roman"/>
          <w:i/>
          <w:sz w:val="28"/>
          <w:szCs w:val="28"/>
        </w:rPr>
        <w:t>Профилактика рисков причинения вреда (ущерба) охраняемым законом ценностям</w:t>
      </w:r>
      <w:r>
        <w:rPr>
          <w:rFonts w:ascii="Times New Roman" w:hAnsi="Times New Roman" w:cs="Times New Roman"/>
          <w:i/>
          <w:sz w:val="28"/>
          <w:szCs w:val="28"/>
        </w:rPr>
        <w:t>.</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целях предупреждения нарушений контролируемыми лицами </w:t>
      </w:r>
      <w:r>
        <w:rPr>
          <w:rFonts w:ascii="Times New Roman" w:hAnsi="Times New Roman" w:cs="Times New Roman"/>
          <w:sz w:val="28"/>
          <w:szCs w:val="28"/>
        </w:rPr>
        <w:lastRenderedPageBreak/>
        <w:t>обязательных требований и устранения причин, факторов и условий, способствующих нарушениям обязательных требований, департаментом в соответствии с Постановлением № 384, в рамках реализации Программы профилактики рисков причинения вреда (ущерба) охраняемым законом ценностям по региональному государственному контролю (надзору) в области регулирования цен (тарифов), утвержденной приказом департамента от 14.12.2022 № 12, в 2024 году осуществлялись следующие мероприятия по профилактике нарушений обязательных требований:</w:t>
      </w:r>
    </w:p>
    <w:p w:rsidR="00DB0113"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 xml:space="preserve">-информирование; </w:t>
      </w:r>
    </w:p>
    <w:p w:rsidR="00DB0113"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-обобщение правоприменительной практики;</w:t>
      </w:r>
    </w:p>
    <w:p w:rsidR="00DB0113"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-объявление предостережения о недопустимости нарушения обязательных требований;</w:t>
      </w:r>
    </w:p>
    <w:p w:rsidR="00DB0113"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-консультирование;</w:t>
      </w:r>
    </w:p>
    <w:p w:rsidR="00DB0113"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-профилактический визит.</w:t>
      </w:r>
    </w:p>
    <w:p w:rsidR="00DB0113" w:rsidRDefault="00DB0113" w:rsidP="00DB0113">
      <w:pPr>
        <w:pStyle w:val="ConsPlusNormal"/>
        <w:ind w:firstLine="709"/>
        <w:jc w:val="both"/>
        <w:rPr>
          <w:rFonts w:ascii="Times New Roman" w:hAnsi="Times New Roman" w:cs="Times New Roman"/>
          <w:i/>
          <w:sz w:val="28"/>
          <w:szCs w:val="28"/>
        </w:rPr>
      </w:pPr>
      <w:r w:rsidRPr="00060214">
        <w:rPr>
          <w:rFonts w:ascii="Times New Roman" w:hAnsi="Times New Roman" w:cs="Times New Roman"/>
          <w:i/>
          <w:sz w:val="28"/>
          <w:szCs w:val="28"/>
        </w:rPr>
        <w:t>Обобщение правоприменительной практики</w:t>
      </w:r>
      <w:r>
        <w:rPr>
          <w:rFonts w:ascii="Times New Roman" w:hAnsi="Times New Roman" w:cs="Times New Roman"/>
          <w:i/>
          <w:sz w:val="28"/>
          <w:szCs w:val="28"/>
        </w:rPr>
        <w:t>.</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Доклад, содержащий результаты обобщения правоприменительной практики</w:t>
      </w:r>
      <w:r w:rsidRPr="006F2D13">
        <w:rPr>
          <w:rFonts w:ascii="Times New Roman" w:hAnsi="Times New Roman" w:cs="Times New Roman"/>
          <w:sz w:val="28"/>
          <w:szCs w:val="28"/>
        </w:rPr>
        <w:t xml:space="preserve"> </w:t>
      </w:r>
      <w:r>
        <w:rPr>
          <w:rFonts w:ascii="Times New Roman" w:hAnsi="Times New Roman" w:cs="Times New Roman"/>
          <w:sz w:val="28"/>
          <w:szCs w:val="28"/>
        </w:rPr>
        <w:t xml:space="preserve">контрольной (надзорной) деятельности департамента по итогам 2023 года, был предметом публичных обсуждений в марте 2024 года. По результатам публичных обсуждений указанный доклад был утвержден приказом руководителя департамента </w:t>
      </w:r>
      <w:r w:rsidRPr="00E01FFA">
        <w:rPr>
          <w:rFonts w:ascii="Times New Roman" w:hAnsi="Times New Roman" w:cs="Times New Roman"/>
          <w:sz w:val="28"/>
          <w:szCs w:val="28"/>
        </w:rPr>
        <w:t>от 11.03.2024 №</w:t>
      </w:r>
      <w:r>
        <w:rPr>
          <w:rFonts w:ascii="Times New Roman" w:hAnsi="Times New Roman" w:cs="Times New Roman"/>
          <w:sz w:val="28"/>
          <w:szCs w:val="28"/>
        </w:rPr>
        <w:t> </w:t>
      </w:r>
      <w:r w:rsidRPr="00E01FFA">
        <w:rPr>
          <w:rFonts w:ascii="Times New Roman" w:hAnsi="Times New Roman" w:cs="Times New Roman"/>
          <w:sz w:val="28"/>
          <w:szCs w:val="28"/>
        </w:rPr>
        <w:t>5</w:t>
      </w:r>
      <w:r>
        <w:rPr>
          <w:rFonts w:ascii="Times New Roman" w:hAnsi="Times New Roman" w:cs="Times New Roman"/>
          <w:sz w:val="28"/>
          <w:szCs w:val="28"/>
        </w:rPr>
        <w:t xml:space="preserve"> и размещен в разделе «Деятельность / Контрольно-надзорная деятельность / Публичные обсуждения правоприменительной практики / Доклады о правоприменительной практике» официального сайта департамента в сети Интернет (</w:t>
      </w:r>
      <w:hyperlink r:id="rId202" w:history="1">
        <w:r w:rsidRPr="00F33D65">
          <w:rPr>
            <w:rStyle w:val="a3"/>
            <w:rFonts w:ascii="Times New Roman" w:hAnsi="Times New Roman" w:cs="Times New Roman"/>
            <w:sz w:val="28"/>
            <w:szCs w:val="28"/>
          </w:rPr>
          <w:t>https://tarif.nso.ru/page/414</w:t>
        </w:r>
      </w:hyperlink>
      <w:r>
        <w:rPr>
          <w:rFonts w:ascii="Times New Roman" w:hAnsi="Times New Roman" w:cs="Times New Roman"/>
          <w:sz w:val="28"/>
          <w:szCs w:val="28"/>
        </w:rPr>
        <w:t xml:space="preserve"> ).</w:t>
      </w:r>
    </w:p>
    <w:p w:rsidR="00DB0113" w:rsidRDefault="00DB0113" w:rsidP="00DB0113">
      <w:pPr>
        <w:pStyle w:val="ConsPlusNormal"/>
        <w:ind w:firstLine="709"/>
        <w:jc w:val="both"/>
        <w:rPr>
          <w:rFonts w:ascii="Times New Roman" w:hAnsi="Times New Roman" w:cs="Times New Roman"/>
          <w:sz w:val="28"/>
          <w:szCs w:val="28"/>
        </w:rPr>
      </w:pPr>
      <w:r w:rsidRPr="00060214">
        <w:rPr>
          <w:rFonts w:ascii="Times New Roman" w:hAnsi="Times New Roman" w:cs="Times New Roman"/>
          <w:i/>
          <w:sz w:val="28"/>
          <w:szCs w:val="28"/>
        </w:rPr>
        <w:t>Информирование</w:t>
      </w:r>
      <w:r w:rsidRPr="0027736F">
        <w:rPr>
          <w:rFonts w:ascii="Times New Roman" w:hAnsi="Times New Roman" w:cs="Times New Roman"/>
          <w:sz w:val="28"/>
          <w:szCs w:val="28"/>
        </w:rPr>
        <w:t xml:space="preserve"> осуществлялось департаментом в </w:t>
      </w:r>
      <w:r>
        <w:rPr>
          <w:rFonts w:ascii="Times New Roman" w:hAnsi="Times New Roman" w:cs="Times New Roman"/>
          <w:sz w:val="28"/>
          <w:szCs w:val="28"/>
        </w:rPr>
        <w:t xml:space="preserve">2024 году в </w:t>
      </w:r>
      <w:r w:rsidRPr="0027736F">
        <w:rPr>
          <w:rFonts w:ascii="Times New Roman" w:hAnsi="Times New Roman" w:cs="Times New Roman"/>
          <w:sz w:val="28"/>
          <w:szCs w:val="28"/>
        </w:rPr>
        <w:t xml:space="preserve">соответствии с требованиями, предусмотренными статьей 46 </w:t>
      </w:r>
      <w:r>
        <w:rPr>
          <w:rFonts w:ascii="Times New Roman" w:hAnsi="Times New Roman" w:cs="Times New Roman"/>
          <w:sz w:val="28"/>
          <w:szCs w:val="28"/>
        </w:rPr>
        <w:t>З</w:t>
      </w:r>
      <w:r w:rsidRPr="0027736F">
        <w:rPr>
          <w:rFonts w:ascii="Times New Roman" w:hAnsi="Times New Roman" w:cs="Times New Roman"/>
          <w:sz w:val="28"/>
          <w:szCs w:val="28"/>
        </w:rPr>
        <w:t>акона №</w:t>
      </w:r>
      <w:r>
        <w:rPr>
          <w:rFonts w:ascii="Times New Roman" w:hAnsi="Times New Roman" w:cs="Times New Roman"/>
          <w:sz w:val="28"/>
          <w:szCs w:val="28"/>
        </w:rPr>
        <w:t> </w:t>
      </w:r>
      <w:r w:rsidRPr="0027736F">
        <w:rPr>
          <w:rFonts w:ascii="Times New Roman" w:hAnsi="Times New Roman" w:cs="Times New Roman"/>
          <w:sz w:val="28"/>
          <w:szCs w:val="28"/>
        </w:rPr>
        <w:t xml:space="preserve">248-ФЗ, в том числе путем размещения и поддержания в актуальном состоянии </w:t>
      </w:r>
      <w:r>
        <w:rPr>
          <w:rFonts w:ascii="Times New Roman" w:hAnsi="Times New Roman" w:cs="Times New Roman"/>
          <w:sz w:val="28"/>
          <w:szCs w:val="28"/>
        </w:rPr>
        <w:t xml:space="preserve">в разделе «Деятельность / Контрольно-надзорная деятельность» официального сайта департамента в сети Интернет </w:t>
      </w:r>
      <w:r w:rsidRPr="00F86692">
        <w:rPr>
          <w:rFonts w:ascii="Times New Roman" w:hAnsi="Times New Roman" w:cs="Times New Roman"/>
          <w:sz w:val="28"/>
          <w:szCs w:val="28"/>
        </w:rPr>
        <w:t>(</w:t>
      </w:r>
      <w:hyperlink r:id="rId203" w:history="1">
        <w:r w:rsidRPr="00F86692">
          <w:rPr>
            <w:rStyle w:val="a3"/>
            <w:rFonts w:ascii="Times New Roman" w:hAnsi="Times New Roman" w:cs="Times New Roman"/>
            <w:sz w:val="28"/>
            <w:szCs w:val="28"/>
          </w:rPr>
          <w:t>https://tarif.nso.ru/page/384</w:t>
        </w:r>
      </w:hyperlink>
      <w:r>
        <w:t xml:space="preserve"> </w:t>
      </w:r>
      <w:r w:rsidRPr="00F86692">
        <w:rPr>
          <w:rFonts w:ascii="Times New Roman" w:hAnsi="Times New Roman" w:cs="Times New Roman"/>
          <w:sz w:val="28"/>
          <w:szCs w:val="28"/>
        </w:rPr>
        <w:t>)</w:t>
      </w:r>
      <w:r>
        <w:rPr>
          <w:rFonts w:ascii="Times New Roman" w:hAnsi="Times New Roman" w:cs="Times New Roman"/>
          <w:sz w:val="28"/>
          <w:szCs w:val="28"/>
        </w:rPr>
        <w:t xml:space="preserve"> </w:t>
      </w:r>
      <w:r w:rsidRPr="0027736F">
        <w:rPr>
          <w:rFonts w:ascii="Times New Roman" w:hAnsi="Times New Roman" w:cs="Times New Roman"/>
          <w:sz w:val="28"/>
          <w:szCs w:val="28"/>
        </w:rPr>
        <w:t>сведений, предусмотр</w:t>
      </w:r>
      <w:r>
        <w:rPr>
          <w:rFonts w:ascii="Times New Roman" w:hAnsi="Times New Roman" w:cs="Times New Roman"/>
          <w:sz w:val="28"/>
          <w:szCs w:val="28"/>
        </w:rPr>
        <w:t xml:space="preserve">енных указанной правовой нормой. </w:t>
      </w:r>
    </w:p>
    <w:p w:rsidR="00DB0113" w:rsidRDefault="00DB0113" w:rsidP="00DB0113">
      <w:pPr>
        <w:pStyle w:val="ConsPlusNormal"/>
        <w:ind w:firstLine="709"/>
        <w:jc w:val="both"/>
        <w:rPr>
          <w:rFonts w:ascii="Times New Roman" w:hAnsi="Times New Roman" w:cs="Times New Roman"/>
          <w:sz w:val="28"/>
          <w:szCs w:val="28"/>
        </w:rPr>
      </w:pPr>
      <w:r w:rsidRPr="00AE7FB5">
        <w:rPr>
          <w:rFonts w:ascii="Times New Roman" w:hAnsi="Times New Roman" w:cs="Times New Roman"/>
          <w:i/>
          <w:sz w:val="28"/>
          <w:szCs w:val="28"/>
        </w:rPr>
        <w:t>Предостережения</w:t>
      </w:r>
      <w:r w:rsidRPr="0027736F">
        <w:rPr>
          <w:rFonts w:ascii="Times New Roman" w:hAnsi="Times New Roman" w:cs="Times New Roman"/>
          <w:sz w:val="28"/>
          <w:szCs w:val="28"/>
        </w:rPr>
        <w:t xml:space="preserve"> </w:t>
      </w:r>
      <w:r w:rsidRPr="00AE7FB5">
        <w:rPr>
          <w:rFonts w:ascii="Times New Roman" w:hAnsi="Times New Roman" w:cs="Times New Roman"/>
          <w:i/>
          <w:sz w:val="28"/>
          <w:szCs w:val="28"/>
        </w:rPr>
        <w:t xml:space="preserve">о недопустимости нарушения обязательных требований </w:t>
      </w:r>
      <w:r>
        <w:rPr>
          <w:rFonts w:ascii="Times New Roman" w:hAnsi="Times New Roman" w:cs="Times New Roman"/>
          <w:sz w:val="28"/>
          <w:szCs w:val="28"/>
        </w:rPr>
        <w:t xml:space="preserve">объявлялись </w:t>
      </w:r>
      <w:r w:rsidRPr="0027736F">
        <w:rPr>
          <w:rFonts w:ascii="Times New Roman" w:hAnsi="Times New Roman" w:cs="Times New Roman"/>
          <w:sz w:val="28"/>
          <w:szCs w:val="28"/>
        </w:rPr>
        <w:t xml:space="preserve">уполномоченными должностными лицами департамента в соответствии со статьей 49 </w:t>
      </w:r>
      <w:r>
        <w:rPr>
          <w:rFonts w:ascii="Times New Roman" w:hAnsi="Times New Roman" w:cs="Times New Roman"/>
          <w:sz w:val="28"/>
          <w:szCs w:val="28"/>
        </w:rPr>
        <w:t>З</w:t>
      </w:r>
      <w:r w:rsidRPr="0027736F">
        <w:rPr>
          <w:rFonts w:ascii="Times New Roman" w:hAnsi="Times New Roman" w:cs="Times New Roman"/>
          <w:sz w:val="28"/>
          <w:szCs w:val="28"/>
        </w:rPr>
        <w:t>акона № 248-ФЗ. В 202</w:t>
      </w:r>
      <w:r>
        <w:rPr>
          <w:rFonts w:ascii="Times New Roman" w:hAnsi="Times New Roman" w:cs="Times New Roman"/>
          <w:sz w:val="28"/>
          <w:szCs w:val="28"/>
        </w:rPr>
        <w:t>4</w:t>
      </w:r>
      <w:r w:rsidRPr="0027736F">
        <w:rPr>
          <w:rFonts w:ascii="Times New Roman" w:hAnsi="Times New Roman" w:cs="Times New Roman"/>
          <w:sz w:val="28"/>
          <w:szCs w:val="28"/>
        </w:rPr>
        <w:t xml:space="preserve"> году департаментом </w:t>
      </w:r>
      <w:r>
        <w:rPr>
          <w:rFonts w:ascii="Times New Roman" w:hAnsi="Times New Roman" w:cs="Times New Roman"/>
          <w:sz w:val="28"/>
          <w:szCs w:val="28"/>
        </w:rPr>
        <w:t xml:space="preserve">было </w:t>
      </w:r>
      <w:r w:rsidRPr="00E01FFA">
        <w:rPr>
          <w:rFonts w:ascii="Times New Roman" w:hAnsi="Times New Roman" w:cs="Times New Roman"/>
          <w:sz w:val="28"/>
          <w:szCs w:val="28"/>
        </w:rPr>
        <w:t>объявлено 422 предостережения</w:t>
      </w:r>
      <w:r>
        <w:rPr>
          <w:rFonts w:ascii="Times New Roman" w:hAnsi="Times New Roman" w:cs="Times New Roman"/>
          <w:sz w:val="28"/>
          <w:szCs w:val="28"/>
        </w:rPr>
        <w:t xml:space="preserve"> </w:t>
      </w:r>
      <w:r w:rsidRPr="00F4643A">
        <w:rPr>
          <w:rFonts w:ascii="Times New Roman" w:hAnsi="Times New Roman" w:cs="Times New Roman"/>
          <w:sz w:val="28"/>
          <w:szCs w:val="28"/>
        </w:rPr>
        <w:t>о недопустимости нарушения обязательных требований</w:t>
      </w:r>
      <w:r w:rsidRPr="00AE7FB5">
        <w:rPr>
          <w:rFonts w:ascii="Times New Roman" w:hAnsi="Times New Roman" w:cs="Times New Roman"/>
          <w:i/>
          <w:sz w:val="28"/>
          <w:szCs w:val="28"/>
        </w:rPr>
        <w:t xml:space="preserve"> </w:t>
      </w:r>
      <w:r>
        <w:rPr>
          <w:rFonts w:ascii="Times New Roman" w:hAnsi="Times New Roman" w:cs="Times New Roman"/>
          <w:sz w:val="28"/>
          <w:szCs w:val="28"/>
        </w:rPr>
        <w:t>(в 2023 году – 422), из них:</w:t>
      </w:r>
    </w:p>
    <w:p w:rsidR="00DB0113" w:rsidRPr="00E01FFA" w:rsidRDefault="00DB0113" w:rsidP="00B03FEB">
      <w:pPr>
        <w:pStyle w:val="ConsPlusNormal"/>
        <w:jc w:val="both"/>
        <w:rPr>
          <w:rFonts w:ascii="Times New Roman" w:hAnsi="Times New Roman" w:cs="Times New Roman"/>
          <w:sz w:val="28"/>
          <w:szCs w:val="28"/>
        </w:rPr>
      </w:pPr>
      <w:r>
        <w:rPr>
          <w:rFonts w:ascii="Times New Roman" w:hAnsi="Times New Roman" w:cs="Times New Roman"/>
          <w:sz w:val="28"/>
          <w:szCs w:val="28"/>
        </w:rPr>
        <w:t>1) </w:t>
      </w:r>
      <w:r w:rsidRPr="00E01FFA">
        <w:rPr>
          <w:rFonts w:ascii="Times New Roman" w:hAnsi="Times New Roman" w:cs="Times New Roman"/>
          <w:sz w:val="28"/>
          <w:szCs w:val="28"/>
        </w:rPr>
        <w:t>по видам контроля (надзора):</w:t>
      </w:r>
    </w:p>
    <w:p w:rsidR="00DB0113" w:rsidRPr="00E01FFA" w:rsidRDefault="00DB0113" w:rsidP="00DB0113">
      <w:pPr>
        <w:pStyle w:val="ConsPlusNormal"/>
        <w:tabs>
          <w:tab w:val="left" w:pos="284"/>
        </w:tabs>
        <w:ind w:firstLine="709"/>
        <w:jc w:val="both"/>
        <w:rPr>
          <w:rFonts w:ascii="Times New Roman" w:hAnsi="Times New Roman" w:cs="Times New Roman"/>
          <w:sz w:val="28"/>
          <w:szCs w:val="28"/>
        </w:rPr>
      </w:pPr>
      <w:r w:rsidRPr="00B04EBD">
        <w:rPr>
          <w:rFonts w:ascii="Times New Roman" w:hAnsi="Times New Roman" w:cs="Times New Roman"/>
          <w:sz w:val="28"/>
          <w:szCs w:val="28"/>
        </w:rPr>
        <w:t>контроль (надзор)</w:t>
      </w:r>
      <w:r w:rsidRPr="00B04EBD">
        <w:rPr>
          <w:rFonts w:ascii="Times New Roman" w:eastAsiaTheme="minorHAnsi" w:hAnsi="Times New Roman" w:cs="Times New Roman"/>
          <w:sz w:val="28"/>
          <w:szCs w:val="28"/>
          <w:lang w:eastAsia="en-US"/>
        </w:rPr>
        <w:t xml:space="preserve"> за регулируемыми государством ценами (тарифами) в электроэнергетике</w:t>
      </w:r>
      <w:r w:rsidRPr="00B04EBD">
        <w:rPr>
          <w:rFonts w:ascii="Times New Roman" w:hAnsi="Times New Roman" w:cs="Times New Roman"/>
          <w:sz w:val="28"/>
          <w:szCs w:val="28"/>
        </w:rPr>
        <w:t xml:space="preserve"> – </w:t>
      </w:r>
      <w:r w:rsidRPr="00E01FFA">
        <w:rPr>
          <w:rFonts w:ascii="Times New Roman" w:hAnsi="Times New Roman" w:cs="Times New Roman"/>
          <w:sz w:val="28"/>
          <w:szCs w:val="28"/>
        </w:rPr>
        <w:t>28;</w:t>
      </w:r>
    </w:p>
    <w:p w:rsidR="00DB0113" w:rsidRPr="00E01FFA" w:rsidRDefault="00DB0113" w:rsidP="00DB0113">
      <w:pPr>
        <w:pStyle w:val="ConsPlusNormal"/>
        <w:tabs>
          <w:tab w:val="left" w:pos="284"/>
        </w:tabs>
        <w:ind w:firstLine="709"/>
        <w:jc w:val="both"/>
        <w:rPr>
          <w:rFonts w:ascii="Times New Roman" w:hAnsi="Times New Roman" w:cs="Times New Roman"/>
          <w:sz w:val="28"/>
          <w:szCs w:val="28"/>
        </w:rPr>
      </w:pPr>
      <w:r w:rsidRPr="00A37178">
        <w:rPr>
          <w:rFonts w:ascii="Times New Roman" w:hAnsi="Times New Roman" w:cs="Times New Roman"/>
          <w:sz w:val="28"/>
          <w:szCs w:val="28"/>
        </w:rPr>
        <w:t xml:space="preserve">контроль (надзор) </w:t>
      </w:r>
      <w:r w:rsidRPr="00A37178">
        <w:rPr>
          <w:rFonts w:ascii="Times New Roman" w:eastAsiaTheme="minorHAnsi" w:hAnsi="Times New Roman" w:cs="Times New Roman"/>
          <w:sz w:val="28"/>
          <w:szCs w:val="28"/>
          <w:lang w:eastAsia="en-US"/>
        </w:rPr>
        <w:t>в области регулирования цен (тарифов) в сфере теплоснабжения</w:t>
      </w:r>
      <w:r>
        <w:rPr>
          <w:rFonts w:ascii="Times New Roman" w:eastAsiaTheme="minorHAnsi" w:hAnsi="Times New Roman" w:cs="Times New Roman"/>
          <w:sz w:val="28"/>
          <w:szCs w:val="28"/>
          <w:lang w:eastAsia="en-US"/>
        </w:rPr>
        <w:t xml:space="preserve"> </w:t>
      </w:r>
      <w:r w:rsidRPr="00E01FFA">
        <w:rPr>
          <w:rFonts w:ascii="Times New Roman" w:hAnsi="Times New Roman" w:cs="Times New Roman"/>
          <w:sz w:val="28"/>
          <w:szCs w:val="28"/>
        </w:rPr>
        <w:t>– 180;</w:t>
      </w:r>
    </w:p>
    <w:p w:rsidR="00DB0113" w:rsidRPr="00CF02E7" w:rsidRDefault="00DB0113" w:rsidP="00DB0113">
      <w:pPr>
        <w:pStyle w:val="ConsPlusNormal"/>
        <w:tabs>
          <w:tab w:val="left" w:pos="284"/>
        </w:tabs>
        <w:ind w:firstLine="709"/>
        <w:jc w:val="both"/>
        <w:rPr>
          <w:rFonts w:ascii="Times New Roman" w:hAnsi="Times New Roman" w:cs="Times New Roman"/>
          <w:sz w:val="28"/>
          <w:szCs w:val="28"/>
        </w:rPr>
      </w:pPr>
      <w:r w:rsidRPr="00A37178">
        <w:rPr>
          <w:rFonts w:ascii="Times New Roman" w:hAnsi="Times New Roman" w:cs="Times New Roman"/>
          <w:sz w:val="28"/>
          <w:szCs w:val="28"/>
        </w:rPr>
        <w:t xml:space="preserve">контроль (надзор) </w:t>
      </w:r>
      <w:r w:rsidRPr="00A37178">
        <w:rPr>
          <w:rFonts w:ascii="Times New Roman" w:eastAsiaTheme="minorHAnsi" w:hAnsi="Times New Roman" w:cs="Times New Roman"/>
          <w:sz w:val="28"/>
          <w:szCs w:val="28"/>
          <w:lang w:eastAsia="en-US"/>
        </w:rPr>
        <w:t>в области регулирования тарифов в сфере водоснабжения и водоотведения</w:t>
      </w:r>
      <w:r w:rsidRPr="00A37178">
        <w:rPr>
          <w:rFonts w:ascii="Times New Roman" w:hAnsi="Times New Roman" w:cs="Times New Roman"/>
          <w:sz w:val="28"/>
          <w:szCs w:val="28"/>
        </w:rPr>
        <w:t xml:space="preserve"> </w:t>
      </w:r>
      <w:r w:rsidRPr="00E01FFA">
        <w:rPr>
          <w:rFonts w:ascii="Times New Roman" w:hAnsi="Times New Roman" w:cs="Times New Roman"/>
          <w:sz w:val="28"/>
          <w:szCs w:val="28"/>
        </w:rPr>
        <w:t xml:space="preserve">– 183 </w:t>
      </w:r>
      <w:r w:rsidRPr="00CF02E7">
        <w:rPr>
          <w:rFonts w:ascii="Times New Roman" w:hAnsi="Times New Roman" w:cs="Times New Roman"/>
          <w:sz w:val="28"/>
          <w:szCs w:val="28"/>
        </w:rPr>
        <w:t>(в сфере горячего водоснабжения – 10, в сфере холодного водоснабжения – 167, в сфере водоотведения – 6);</w:t>
      </w:r>
    </w:p>
    <w:p w:rsidR="00DB0113" w:rsidRPr="00E01FFA" w:rsidRDefault="00DB0113" w:rsidP="00DB0113">
      <w:pPr>
        <w:pStyle w:val="ConsPlusNormal"/>
        <w:tabs>
          <w:tab w:val="left" w:pos="284"/>
        </w:tabs>
        <w:ind w:firstLine="709"/>
        <w:jc w:val="both"/>
        <w:rPr>
          <w:rFonts w:ascii="Times New Roman" w:hAnsi="Times New Roman" w:cs="Times New Roman"/>
          <w:sz w:val="28"/>
          <w:szCs w:val="28"/>
        </w:rPr>
      </w:pPr>
      <w:r w:rsidRPr="00CF6131">
        <w:rPr>
          <w:rFonts w:ascii="Times New Roman" w:hAnsi="Times New Roman" w:cs="Times New Roman"/>
          <w:sz w:val="28"/>
          <w:szCs w:val="28"/>
        </w:rPr>
        <w:t xml:space="preserve">контроль (надзор) </w:t>
      </w:r>
      <w:r w:rsidRPr="00CF6131">
        <w:rPr>
          <w:rFonts w:ascii="Times New Roman" w:eastAsiaTheme="minorHAnsi" w:hAnsi="Times New Roman" w:cs="Times New Roman"/>
          <w:sz w:val="28"/>
          <w:szCs w:val="28"/>
          <w:lang w:eastAsia="en-US"/>
        </w:rPr>
        <w:t>в области регулирования тарифов в сфере обращения с твердыми коммунальными отходами</w:t>
      </w:r>
      <w:r>
        <w:rPr>
          <w:rFonts w:ascii="Times New Roman" w:hAnsi="Times New Roman" w:cs="Times New Roman"/>
          <w:sz w:val="28"/>
          <w:szCs w:val="28"/>
        </w:rPr>
        <w:t xml:space="preserve"> </w:t>
      </w:r>
      <w:r w:rsidRPr="00E01FFA">
        <w:rPr>
          <w:rFonts w:ascii="Times New Roman" w:hAnsi="Times New Roman" w:cs="Times New Roman"/>
          <w:sz w:val="28"/>
          <w:szCs w:val="28"/>
        </w:rPr>
        <w:t>– 27;</w:t>
      </w:r>
    </w:p>
    <w:p w:rsidR="00DB0113" w:rsidRPr="00E01FFA" w:rsidRDefault="00DB0113" w:rsidP="00DB0113">
      <w:pPr>
        <w:pStyle w:val="ConsPlusNormal"/>
        <w:tabs>
          <w:tab w:val="left" w:pos="284"/>
        </w:tabs>
        <w:ind w:firstLine="709"/>
        <w:jc w:val="both"/>
        <w:rPr>
          <w:rFonts w:ascii="Times New Roman" w:hAnsi="Times New Roman" w:cs="Times New Roman"/>
          <w:sz w:val="28"/>
          <w:szCs w:val="28"/>
        </w:rPr>
      </w:pPr>
      <w:r w:rsidRPr="001811BA">
        <w:rPr>
          <w:rFonts w:ascii="Times New Roman" w:hAnsi="Times New Roman" w:cs="Times New Roman"/>
          <w:sz w:val="28"/>
          <w:szCs w:val="28"/>
        </w:rPr>
        <w:lastRenderedPageBreak/>
        <w:t xml:space="preserve">контроль (надзор) </w:t>
      </w:r>
      <w:r w:rsidRPr="001811BA">
        <w:rPr>
          <w:rFonts w:ascii="Times New Roman" w:eastAsiaTheme="minorHAnsi" w:hAnsi="Times New Roman" w:cs="Times New Roman"/>
          <w:sz w:val="28"/>
          <w:szCs w:val="28"/>
          <w:lang w:eastAsia="en-US"/>
        </w:rPr>
        <w:t>за установлением и (или) применением регулируемых государством цен (тарифов) в области газоснабжения</w:t>
      </w:r>
      <w:r w:rsidRPr="001811BA">
        <w:rPr>
          <w:rFonts w:ascii="Times New Roman" w:hAnsi="Times New Roman" w:cs="Times New Roman"/>
          <w:sz w:val="28"/>
          <w:szCs w:val="28"/>
        </w:rPr>
        <w:t xml:space="preserve"> </w:t>
      </w:r>
      <w:r w:rsidRPr="00E01FFA">
        <w:rPr>
          <w:rFonts w:ascii="Times New Roman" w:hAnsi="Times New Roman" w:cs="Times New Roman"/>
          <w:sz w:val="28"/>
          <w:szCs w:val="28"/>
        </w:rPr>
        <w:t>– 2</w:t>
      </w:r>
      <w:r>
        <w:rPr>
          <w:rFonts w:ascii="Times New Roman" w:hAnsi="Times New Roman" w:cs="Times New Roman"/>
          <w:sz w:val="28"/>
          <w:szCs w:val="28"/>
        </w:rPr>
        <w:t xml:space="preserve">; </w:t>
      </w:r>
    </w:p>
    <w:p w:rsidR="00DB0113" w:rsidRDefault="00DB0113" w:rsidP="00DB0113">
      <w:pPr>
        <w:pStyle w:val="ConsPlusNormal"/>
        <w:tabs>
          <w:tab w:val="left" w:pos="284"/>
        </w:tabs>
        <w:ind w:firstLine="709"/>
        <w:jc w:val="both"/>
        <w:rPr>
          <w:rFonts w:ascii="Times New Roman" w:hAnsi="Times New Roman" w:cs="Times New Roman"/>
          <w:sz w:val="28"/>
          <w:szCs w:val="28"/>
        </w:rPr>
      </w:pPr>
      <w:r w:rsidRPr="002C2505">
        <w:rPr>
          <w:rFonts w:ascii="Times New Roman" w:hAnsi="Times New Roman" w:cs="Times New Roman"/>
          <w:sz w:val="28"/>
          <w:szCs w:val="28"/>
        </w:rPr>
        <w:t>контроль (надзор) в сферах естественных монополий</w:t>
      </w:r>
      <w:r w:rsidRPr="00DD3CE4">
        <w:rPr>
          <w:rFonts w:ascii="Times New Roman" w:hAnsi="Times New Roman" w:cs="Times New Roman"/>
          <w:sz w:val="28"/>
          <w:szCs w:val="28"/>
        </w:rPr>
        <w:t xml:space="preserve"> </w:t>
      </w:r>
      <w:r>
        <w:rPr>
          <w:rFonts w:ascii="Times New Roman" w:hAnsi="Times New Roman" w:cs="Times New Roman"/>
          <w:sz w:val="28"/>
          <w:szCs w:val="28"/>
        </w:rPr>
        <w:t>– 2;</w:t>
      </w:r>
    </w:p>
    <w:p w:rsidR="00DB0113" w:rsidRPr="006743FA" w:rsidRDefault="00DB0113" w:rsidP="00DB0113">
      <w:pPr>
        <w:pStyle w:val="ConsPlusNormal"/>
        <w:tabs>
          <w:tab w:val="left" w:pos="284"/>
        </w:tabs>
        <w:ind w:firstLine="709"/>
        <w:jc w:val="both"/>
        <w:rPr>
          <w:rFonts w:ascii="Times New Roman" w:hAnsi="Times New Roman" w:cs="Times New Roman"/>
          <w:sz w:val="28"/>
          <w:szCs w:val="28"/>
        </w:rPr>
      </w:pPr>
      <w:r>
        <w:rPr>
          <w:rFonts w:ascii="Times New Roman" w:hAnsi="Times New Roman" w:cs="Times New Roman"/>
          <w:sz w:val="28"/>
          <w:szCs w:val="28"/>
        </w:rPr>
        <w:t>2) </w:t>
      </w:r>
      <w:r w:rsidRPr="006743FA">
        <w:rPr>
          <w:rFonts w:ascii="Times New Roman" w:hAnsi="Times New Roman" w:cs="Times New Roman"/>
          <w:sz w:val="28"/>
          <w:szCs w:val="28"/>
        </w:rPr>
        <w:t>за нарушения стандартов раскрытия информации – 327 (7 в сфере горячего водоснабжения, 122 в сфере холодного водоснабжения, 5 в сфере водоотведения, 167 в сфере теплоснабжения, 26 в сфере обращения с твердыми коммунальными отходами);</w:t>
      </w:r>
    </w:p>
    <w:p w:rsidR="00DB0113" w:rsidRPr="00460FEC"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460FEC">
        <w:rPr>
          <w:rFonts w:ascii="Times New Roman" w:hAnsi="Times New Roman" w:cs="Times New Roman"/>
          <w:sz w:val="28"/>
          <w:szCs w:val="28"/>
        </w:rPr>
        <w:t>за нарушения требований в области энергосбережения и повышения энергетической эффективности о принятии и реализации программ в области энергосбережения и повышения энергетической эффективности – 6</w:t>
      </w:r>
      <w:r>
        <w:rPr>
          <w:rFonts w:ascii="Times New Roman" w:hAnsi="Times New Roman" w:cs="Times New Roman"/>
          <w:sz w:val="28"/>
          <w:szCs w:val="28"/>
        </w:rPr>
        <w:t>3</w:t>
      </w:r>
      <w:r w:rsidRPr="00460FEC">
        <w:rPr>
          <w:rFonts w:ascii="Times New Roman" w:hAnsi="Times New Roman" w:cs="Times New Roman"/>
          <w:sz w:val="28"/>
          <w:szCs w:val="28"/>
        </w:rPr>
        <w:t xml:space="preserve"> (40 в сфере холодного водоснабжения, </w:t>
      </w:r>
      <w:r>
        <w:rPr>
          <w:rFonts w:ascii="Times New Roman" w:hAnsi="Times New Roman" w:cs="Times New Roman"/>
          <w:sz w:val="28"/>
          <w:szCs w:val="28"/>
        </w:rPr>
        <w:t>1</w:t>
      </w:r>
      <w:r w:rsidRPr="006743FA">
        <w:rPr>
          <w:rFonts w:ascii="Times New Roman" w:hAnsi="Times New Roman" w:cs="Times New Roman"/>
          <w:sz w:val="28"/>
          <w:szCs w:val="28"/>
        </w:rPr>
        <w:t xml:space="preserve"> в сфере водоотведения,</w:t>
      </w:r>
      <w:r>
        <w:rPr>
          <w:rFonts w:ascii="Times New Roman" w:hAnsi="Times New Roman" w:cs="Times New Roman"/>
          <w:sz w:val="28"/>
          <w:szCs w:val="28"/>
        </w:rPr>
        <w:t xml:space="preserve"> </w:t>
      </w:r>
      <w:r w:rsidRPr="00460FEC">
        <w:rPr>
          <w:rFonts w:ascii="Times New Roman" w:hAnsi="Times New Roman" w:cs="Times New Roman"/>
          <w:sz w:val="28"/>
          <w:szCs w:val="28"/>
        </w:rPr>
        <w:t>3 в сфере горячего водоснабжения, 10 в сфере теплоснабжения, 9 в сфере электроснабжения);</w:t>
      </w:r>
    </w:p>
    <w:p w:rsidR="00DB0113" w:rsidRPr="007A7FE6"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w:t>
      </w:r>
      <w:r w:rsidRPr="007A7FE6">
        <w:rPr>
          <w:rFonts w:ascii="Times New Roman" w:hAnsi="Times New Roman" w:cs="Times New Roman"/>
          <w:sz w:val="28"/>
          <w:szCs w:val="28"/>
        </w:rPr>
        <w:t xml:space="preserve">за нарушения теплоснабжающими организациями обязательных требований о выполнении утвержденных департаментом инвестиционных программ </w:t>
      </w:r>
      <w:r>
        <w:rPr>
          <w:rFonts w:ascii="Times New Roman" w:hAnsi="Times New Roman" w:cs="Times New Roman"/>
          <w:sz w:val="28"/>
          <w:szCs w:val="28"/>
        </w:rPr>
        <w:t>-</w:t>
      </w:r>
      <w:r w:rsidRPr="007A7FE6">
        <w:rPr>
          <w:rFonts w:ascii="Times New Roman" w:hAnsi="Times New Roman" w:cs="Times New Roman"/>
          <w:sz w:val="28"/>
          <w:szCs w:val="28"/>
        </w:rPr>
        <w:t xml:space="preserve"> 2;</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7A7FE6">
        <w:rPr>
          <w:rFonts w:ascii="Times New Roman" w:hAnsi="Times New Roman" w:cs="Times New Roman"/>
          <w:sz w:val="28"/>
          <w:szCs w:val="28"/>
        </w:rPr>
        <w:t>за непредставление сведений для установления регулируемых государством цен (тарифов)</w:t>
      </w:r>
      <w:r>
        <w:rPr>
          <w:rFonts w:ascii="Times New Roman" w:hAnsi="Times New Roman" w:cs="Times New Roman"/>
          <w:sz w:val="28"/>
          <w:szCs w:val="28"/>
        </w:rPr>
        <w:t xml:space="preserve"> – 2;</w:t>
      </w:r>
    </w:p>
    <w:p w:rsidR="00DB0113" w:rsidRPr="007A7FE6"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w:t>
      </w:r>
      <w:r w:rsidRPr="007A7FE6">
        <w:rPr>
          <w:rFonts w:ascii="Times New Roman" w:hAnsi="Times New Roman" w:cs="Times New Roman"/>
          <w:sz w:val="28"/>
          <w:szCs w:val="28"/>
        </w:rPr>
        <w:t xml:space="preserve">за нарушение </w:t>
      </w:r>
      <w:r>
        <w:rPr>
          <w:rFonts w:ascii="Times New Roman" w:hAnsi="Times New Roman" w:cs="Times New Roman"/>
          <w:sz w:val="28"/>
          <w:szCs w:val="28"/>
        </w:rPr>
        <w:t xml:space="preserve">иных обязательных </w:t>
      </w:r>
      <w:r w:rsidRPr="007A7FE6">
        <w:rPr>
          <w:rFonts w:ascii="Times New Roman" w:hAnsi="Times New Roman" w:cs="Times New Roman"/>
          <w:sz w:val="28"/>
          <w:szCs w:val="28"/>
        </w:rPr>
        <w:t>требований, установленных законодательством о ценообразовании</w:t>
      </w:r>
      <w:r>
        <w:rPr>
          <w:rFonts w:ascii="Times New Roman" w:hAnsi="Times New Roman" w:cs="Times New Roman"/>
          <w:sz w:val="28"/>
          <w:szCs w:val="28"/>
        </w:rPr>
        <w:t>,</w:t>
      </w:r>
      <w:r w:rsidRPr="007A7FE6">
        <w:rPr>
          <w:rFonts w:ascii="Times New Roman" w:hAnsi="Times New Roman" w:cs="Times New Roman"/>
          <w:sz w:val="28"/>
          <w:szCs w:val="28"/>
        </w:rPr>
        <w:t xml:space="preserve"> – 28.</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При этом: </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-основная доля предостережений </w:t>
      </w:r>
      <w:r w:rsidRPr="00F4643A">
        <w:rPr>
          <w:rFonts w:ascii="Times New Roman" w:hAnsi="Times New Roman" w:cs="Times New Roman"/>
          <w:sz w:val="28"/>
          <w:szCs w:val="28"/>
        </w:rPr>
        <w:t>о недопустимости нарушения обязательных требований</w:t>
      </w:r>
      <w:r w:rsidRPr="00AE7FB5">
        <w:rPr>
          <w:rFonts w:ascii="Times New Roman" w:hAnsi="Times New Roman" w:cs="Times New Roman"/>
          <w:i/>
          <w:sz w:val="28"/>
          <w:szCs w:val="28"/>
        </w:rPr>
        <w:t xml:space="preserve"> </w:t>
      </w:r>
      <w:r w:rsidRPr="00772AA6">
        <w:rPr>
          <w:rFonts w:ascii="Times New Roman" w:hAnsi="Times New Roman" w:cs="Times New Roman"/>
          <w:sz w:val="28"/>
          <w:szCs w:val="28"/>
        </w:rPr>
        <w:t>(3</w:t>
      </w:r>
      <w:r w:rsidRPr="00531BDD">
        <w:rPr>
          <w:rFonts w:ascii="Times New Roman" w:hAnsi="Times New Roman" w:cs="Times New Roman"/>
          <w:sz w:val="28"/>
          <w:szCs w:val="28"/>
        </w:rPr>
        <w:t>92</w:t>
      </w:r>
      <w:r>
        <w:rPr>
          <w:rFonts w:ascii="Times New Roman" w:hAnsi="Times New Roman" w:cs="Times New Roman"/>
          <w:sz w:val="28"/>
          <w:szCs w:val="28"/>
        </w:rPr>
        <w:t xml:space="preserve"> предостережения) была объявлена по результатам проведения контрольных (надзорных) мероприятий в виде наблюдения за соблюдением обязательных требований;</w:t>
      </w:r>
    </w:p>
    <w:p w:rsidR="00DB0113" w:rsidRDefault="00DB0113" w:rsidP="00DB0113">
      <w:pPr>
        <w:autoSpaceDE w:val="0"/>
        <w:autoSpaceDN w:val="0"/>
        <w:adjustRightInd w:val="0"/>
        <w:spacing w:after="0" w:line="240" w:lineRule="auto"/>
        <w:ind w:firstLine="709"/>
        <w:jc w:val="both"/>
        <w:rPr>
          <w:szCs w:val="28"/>
        </w:rPr>
      </w:pPr>
      <w:r>
        <w:rPr>
          <w:szCs w:val="28"/>
        </w:rPr>
        <w:t xml:space="preserve">-30 предостережений </w:t>
      </w:r>
      <w:r w:rsidRPr="00F4643A">
        <w:rPr>
          <w:szCs w:val="28"/>
        </w:rPr>
        <w:t>о недопустимости нарушения обязательных требований</w:t>
      </w:r>
      <w:r>
        <w:rPr>
          <w:szCs w:val="28"/>
        </w:rPr>
        <w:t xml:space="preserve"> были объявлены по результатам рассмотрения департаментом обращений (заявлений) граждан и организаций, содержащих сведения о причинении вреда (ущерба) или об угрозе причинения вреда (ущерба) охраняемым законом ценностям </w:t>
      </w:r>
      <w:r w:rsidRPr="00531BDD">
        <w:rPr>
          <w:szCs w:val="28"/>
        </w:rPr>
        <w:t xml:space="preserve">(18 предостережений в сфере электроэнергетики, 1 – в сфере теплоснабжения, 2 – в сфере газоснабжения, 6 – в сфере холодного водоснабжения, </w:t>
      </w:r>
      <w:r>
        <w:rPr>
          <w:szCs w:val="28"/>
        </w:rPr>
        <w:t xml:space="preserve">2 – в сфере естественных монополий, </w:t>
      </w:r>
      <w:r w:rsidRPr="00531BDD">
        <w:rPr>
          <w:szCs w:val="28"/>
        </w:rPr>
        <w:t>1 – в сфере обращения с твердыми коммунальными отходами).</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Возражения в отношении объявленных департаментом предостережений </w:t>
      </w:r>
      <w:r w:rsidRPr="00F4643A">
        <w:rPr>
          <w:rFonts w:ascii="Times New Roman" w:hAnsi="Times New Roman" w:cs="Times New Roman"/>
          <w:sz w:val="28"/>
          <w:szCs w:val="28"/>
        </w:rPr>
        <w:t>о недопустимости нарушения обязательных требований</w:t>
      </w:r>
      <w:r>
        <w:rPr>
          <w:rFonts w:ascii="Times New Roman" w:hAnsi="Times New Roman" w:cs="Times New Roman"/>
          <w:sz w:val="28"/>
          <w:szCs w:val="28"/>
        </w:rPr>
        <w:t xml:space="preserve"> от контролируемых лиц в 2024 году не поступали. </w:t>
      </w:r>
    </w:p>
    <w:p w:rsidR="00DB0113" w:rsidRPr="00AA5D5C" w:rsidRDefault="00DB0113" w:rsidP="00DB0113">
      <w:pPr>
        <w:pStyle w:val="ConsPlusNormal"/>
        <w:ind w:firstLine="709"/>
        <w:jc w:val="both"/>
        <w:rPr>
          <w:rFonts w:ascii="Times New Roman" w:hAnsi="Times New Roman" w:cs="Times New Roman"/>
          <w:sz w:val="28"/>
          <w:szCs w:val="28"/>
        </w:rPr>
      </w:pPr>
      <w:r w:rsidRPr="00AA5D5C">
        <w:rPr>
          <w:rFonts w:ascii="Times New Roman" w:hAnsi="Times New Roman" w:cs="Times New Roman"/>
          <w:sz w:val="28"/>
          <w:szCs w:val="28"/>
        </w:rPr>
        <w:t>Структура объявленных департаментом предостережений о недопустимости нарушения обязательных требований за 2024 год</w:t>
      </w:r>
      <w:r>
        <w:rPr>
          <w:rFonts w:ascii="Times New Roman" w:hAnsi="Times New Roman" w:cs="Times New Roman"/>
          <w:sz w:val="28"/>
          <w:szCs w:val="28"/>
        </w:rPr>
        <w:t xml:space="preserve"> (в сравнении с </w:t>
      </w:r>
      <w:r w:rsidRPr="00AA5D5C">
        <w:rPr>
          <w:rFonts w:ascii="Times New Roman" w:hAnsi="Times New Roman" w:cs="Times New Roman"/>
          <w:sz w:val="28"/>
          <w:szCs w:val="28"/>
        </w:rPr>
        <w:t>2023</w:t>
      </w:r>
      <w:r>
        <w:rPr>
          <w:rFonts w:ascii="Times New Roman" w:hAnsi="Times New Roman" w:cs="Times New Roman"/>
          <w:sz w:val="28"/>
          <w:szCs w:val="28"/>
        </w:rPr>
        <w:t xml:space="preserve"> годом) представлена в следующей таблице: </w:t>
      </w:r>
    </w:p>
    <w:p w:rsidR="00DB0113" w:rsidRPr="00363E9B" w:rsidRDefault="00DB0113" w:rsidP="00DB0113">
      <w:pPr>
        <w:pStyle w:val="ConsPlusNormal"/>
        <w:ind w:firstLine="0"/>
        <w:jc w:val="both"/>
        <w:rPr>
          <w:rFonts w:ascii="Times New Roman" w:hAnsi="Times New Roman" w:cs="Times New Roman"/>
          <w:sz w:val="24"/>
          <w:szCs w:val="24"/>
        </w:rPr>
      </w:pPr>
      <w:r w:rsidRPr="00363E9B">
        <w:rPr>
          <w:rFonts w:ascii="Times New Roman" w:hAnsi="Times New Roman" w:cs="Times New Roman"/>
          <w:noProof/>
          <w:szCs w:val="22"/>
        </w:rPr>
        <w:lastRenderedPageBreak/>
        <w:drawing>
          <wp:inline distT="0" distB="0" distL="0" distR="0" wp14:anchorId="2FC76DDC" wp14:editId="10CE618C">
            <wp:extent cx="5871218" cy="2696308"/>
            <wp:effectExtent l="0" t="0" r="0" b="8890"/>
            <wp:docPr id="335"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5868746" cy="2695173"/>
                    </a:xfrm>
                    <a:prstGeom prst="rect">
                      <a:avLst/>
                    </a:prstGeom>
                    <a:noFill/>
                    <a:ln>
                      <a:noFill/>
                    </a:ln>
                  </pic:spPr>
                </pic:pic>
              </a:graphicData>
            </a:graphic>
          </wp:inline>
        </w:drawing>
      </w:r>
    </w:p>
    <w:p w:rsidR="00DB0113" w:rsidRDefault="00DB0113" w:rsidP="00DB0113">
      <w:pPr>
        <w:autoSpaceDE w:val="0"/>
        <w:autoSpaceDN w:val="0"/>
        <w:adjustRightInd w:val="0"/>
        <w:spacing w:after="0" w:line="240" w:lineRule="auto"/>
        <w:ind w:firstLine="709"/>
        <w:jc w:val="both"/>
        <w:rPr>
          <w:szCs w:val="28"/>
        </w:rPr>
      </w:pPr>
      <w:r w:rsidRPr="00AA5D5C">
        <w:rPr>
          <w:i/>
          <w:szCs w:val="28"/>
        </w:rPr>
        <w:t>Консультирование</w:t>
      </w:r>
      <w:r>
        <w:rPr>
          <w:b/>
          <w:i/>
          <w:szCs w:val="28"/>
        </w:rPr>
        <w:t xml:space="preserve"> </w:t>
      </w:r>
      <w:r>
        <w:rPr>
          <w:szCs w:val="28"/>
        </w:rPr>
        <w:t>контролируемых лиц и их представителей осуществлялось должностными лицами департамента в 2024 году по следующим вопросам:</w:t>
      </w:r>
    </w:p>
    <w:p w:rsidR="00DB0113" w:rsidRDefault="00DB0113" w:rsidP="00DB0113">
      <w:pPr>
        <w:autoSpaceDE w:val="0"/>
        <w:autoSpaceDN w:val="0"/>
        <w:adjustRightInd w:val="0"/>
        <w:spacing w:after="0" w:line="240" w:lineRule="auto"/>
        <w:ind w:firstLine="709"/>
        <w:jc w:val="both"/>
        <w:rPr>
          <w:szCs w:val="28"/>
        </w:rPr>
      </w:pPr>
      <w:r>
        <w:rPr>
          <w:szCs w:val="28"/>
        </w:rPr>
        <w:t>-применение обязательных требований, содержание и последствия их изменения;</w:t>
      </w:r>
    </w:p>
    <w:p w:rsidR="00DB0113" w:rsidRDefault="00DB0113" w:rsidP="00DB0113">
      <w:pPr>
        <w:autoSpaceDE w:val="0"/>
        <w:autoSpaceDN w:val="0"/>
        <w:adjustRightInd w:val="0"/>
        <w:spacing w:after="0" w:line="240" w:lineRule="auto"/>
        <w:ind w:firstLine="709"/>
        <w:jc w:val="both"/>
        <w:rPr>
          <w:szCs w:val="28"/>
        </w:rPr>
      </w:pPr>
      <w:r>
        <w:rPr>
          <w:szCs w:val="28"/>
        </w:rPr>
        <w:t>-необходимые организационные и (или) технические мероприятия, которые должны реализовать контролируемые лица для соблюдения новых обязательных требований;</w:t>
      </w:r>
    </w:p>
    <w:p w:rsidR="00DB0113" w:rsidRDefault="00DB0113" w:rsidP="00DB0113">
      <w:pPr>
        <w:autoSpaceDE w:val="0"/>
        <w:autoSpaceDN w:val="0"/>
        <w:adjustRightInd w:val="0"/>
        <w:spacing w:after="0" w:line="240" w:lineRule="auto"/>
        <w:ind w:firstLine="709"/>
        <w:jc w:val="both"/>
        <w:rPr>
          <w:szCs w:val="28"/>
        </w:rPr>
      </w:pPr>
      <w:r>
        <w:rPr>
          <w:szCs w:val="28"/>
        </w:rPr>
        <w:t>-особенности осуществления государственного контроля (надзора).</w:t>
      </w:r>
    </w:p>
    <w:p w:rsidR="00DB0113" w:rsidRPr="00E9260B" w:rsidRDefault="00DB0113" w:rsidP="00DB0113">
      <w:pPr>
        <w:widowControl w:val="0"/>
        <w:autoSpaceDE w:val="0"/>
        <w:autoSpaceDN w:val="0"/>
        <w:spacing w:after="0" w:line="240" w:lineRule="auto"/>
        <w:ind w:firstLine="709"/>
        <w:jc w:val="both"/>
        <w:rPr>
          <w:szCs w:val="28"/>
        </w:rPr>
      </w:pPr>
      <w:r w:rsidRPr="00E9260B">
        <w:rPr>
          <w:szCs w:val="28"/>
        </w:rPr>
        <w:t xml:space="preserve">Консультирование (разъяснения по вопросам, связанным с организацией и осуществлением государственного контроля (надзора)) по обращениям контролируемых лиц </w:t>
      </w:r>
      <w:r>
        <w:rPr>
          <w:szCs w:val="28"/>
        </w:rPr>
        <w:t xml:space="preserve">в 2024 году </w:t>
      </w:r>
      <w:r w:rsidRPr="00E9260B">
        <w:rPr>
          <w:szCs w:val="28"/>
        </w:rPr>
        <w:t>осуществлялось сотрудниками департамента ежедневно на постоянной основе в письменной и устной (на личном приеме, по телефону и т.д.) формах.</w:t>
      </w:r>
    </w:p>
    <w:p w:rsidR="00DB0113" w:rsidRDefault="00DB0113" w:rsidP="00DB0113">
      <w:pPr>
        <w:pStyle w:val="ConsPlusNormal"/>
        <w:ind w:firstLine="709"/>
        <w:jc w:val="both"/>
        <w:rPr>
          <w:rFonts w:ascii="Times New Roman" w:hAnsi="Times New Roman" w:cs="Times New Roman"/>
          <w:sz w:val="28"/>
          <w:szCs w:val="28"/>
        </w:rPr>
      </w:pPr>
      <w:r w:rsidRPr="007D112D">
        <w:rPr>
          <w:rFonts w:ascii="Times New Roman" w:hAnsi="Times New Roman" w:cs="Times New Roman"/>
          <w:i/>
          <w:sz w:val="28"/>
          <w:szCs w:val="28"/>
        </w:rPr>
        <w:t>Профилактически</w:t>
      </w:r>
      <w:r>
        <w:rPr>
          <w:rFonts w:ascii="Times New Roman" w:hAnsi="Times New Roman" w:cs="Times New Roman"/>
          <w:i/>
          <w:sz w:val="28"/>
          <w:szCs w:val="28"/>
        </w:rPr>
        <w:t>е</w:t>
      </w:r>
      <w:r w:rsidRPr="007D112D">
        <w:rPr>
          <w:rFonts w:ascii="Times New Roman" w:hAnsi="Times New Roman" w:cs="Times New Roman"/>
          <w:i/>
          <w:sz w:val="28"/>
          <w:szCs w:val="28"/>
        </w:rPr>
        <w:t xml:space="preserve"> визиты</w:t>
      </w:r>
      <w:r w:rsidRPr="00790638">
        <w:rPr>
          <w:rFonts w:ascii="Times New Roman" w:hAnsi="Times New Roman" w:cs="Times New Roman"/>
          <w:sz w:val="28"/>
          <w:szCs w:val="28"/>
        </w:rPr>
        <w:t xml:space="preserve"> согласно</w:t>
      </w:r>
      <w:r w:rsidRPr="0027736F">
        <w:rPr>
          <w:rFonts w:ascii="Times New Roman" w:hAnsi="Times New Roman" w:cs="Times New Roman"/>
          <w:sz w:val="28"/>
          <w:szCs w:val="28"/>
        </w:rPr>
        <w:t xml:space="preserve"> </w:t>
      </w:r>
      <w:r>
        <w:rPr>
          <w:rFonts w:ascii="Times New Roman" w:hAnsi="Times New Roman" w:cs="Times New Roman"/>
          <w:sz w:val="28"/>
          <w:szCs w:val="28"/>
        </w:rPr>
        <w:t xml:space="preserve">статье 52 Закона № 248-ФЗ и Положению № 384-п в 2024 году являлись обязательными </w:t>
      </w:r>
      <w:r w:rsidRPr="0027736F">
        <w:rPr>
          <w:rFonts w:ascii="Times New Roman" w:hAnsi="Times New Roman" w:cs="Times New Roman"/>
          <w:sz w:val="28"/>
          <w:szCs w:val="28"/>
        </w:rPr>
        <w:t xml:space="preserve">в отношении контролируемых лиц, приступающих к осуществлению </w:t>
      </w:r>
      <w:r>
        <w:rPr>
          <w:rFonts w:ascii="Times New Roman" w:hAnsi="Times New Roman" w:cs="Times New Roman"/>
          <w:sz w:val="28"/>
          <w:szCs w:val="28"/>
        </w:rPr>
        <w:t>регулируемых департаментом видов деятельности.</w:t>
      </w:r>
      <w:r w:rsidRPr="0027736F">
        <w:rPr>
          <w:rFonts w:ascii="Times New Roman" w:hAnsi="Times New Roman" w:cs="Times New Roman"/>
          <w:sz w:val="28"/>
          <w:szCs w:val="28"/>
        </w:rPr>
        <w:t xml:space="preserve"> </w:t>
      </w:r>
    </w:p>
    <w:p w:rsidR="00DB0113" w:rsidRDefault="00DB0113" w:rsidP="00DB0113">
      <w:pPr>
        <w:pStyle w:val="ConsPlusNormal"/>
        <w:ind w:firstLine="709"/>
        <w:jc w:val="both"/>
        <w:rPr>
          <w:rFonts w:ascii="Times New Roman" w:hAnsi="Times New Roman" w:cs="Times New Roman"/>
          <w:sz w:val="28"/>
          <w:szCs w:val="28"/>
        </w:rPr>
      </w:pPr>
      <w:r w:rsidRPr="0027736F">
        <w:rPr>
          <w:rFonts w:ascii="Times New Roman" w:hAnsi="Times New Roman" w:cs="Times New Roman"/>
          <w:sz w:val="28"/>
          <w:szCs w:val="28"/>
        </w:rPr>
        <w:t xml:space="preserve">В </w:t>
      </w:r>
      <w:r>
        <w:rPr>
          <w:rFonts w:ascii="Times New Roman" w:hAnsi="Times New Roman" w:cs="Times New Roman"/>
          <w:sz w:val="28"/>
          <w:szCs w:val="28"/>
        </w:rPr>
        <w:t xml:space="preserve">2024 году в </w:t>
      </w:r>
      <w:r w:rsidRPr="0027736F">
        <w:rPr>
          <w:rFonts w:ascii="Times New Roman" w:hAnsi="Times New Roman" w:cs="Times New Roman"/>
          <w:sz w:val="28"/>
          <w:szCs w:val="28"/>
        </w:rPr>
        <w:t xml:space="preserve">целях проведения обязательных профилактических визитов департаментом в адрес контролируемых лиц было направлено </w:t>
      </w:r>
      <w:r w:rsidRPr="00E01FFA">
        <w:rPr>
          <w:rFonts w:ascii="Times New Roman" w:hAnsi="Times New Roman" w:cs="Times New Roman"/>
          <w:sz w:val="28"/>
          <w:szCs w:val="28"/>
        </w:rPr>
        <w:t xml:space="preserve">26 уведомлений о проведении обязательного профилактического визита, на </w:t>
      </w:r>
      <w:r>
        <w:rPr>
          <w:rFonts w:ascii="Times New Roman" w:hAnsi="Times New Roman" w:cs="Times New Roman"/>
          <w:sz w:val="28"/>
          <w:szCs w:val="28"/>
        </w:rPr>
        <w:t xml:space="preserve">основании </w:t>
      </w:r>
      <w:r w:rsidRPr="00E01FFA">
        <w:rPr>
          <w:rFonts w:ascii="Times New Roman" w:hAnsi="Times New Roman" w:cs="Times New Roman"/>
          <w:sz w:val="28"/>
          <w:szCs w:val="28"/>
        </w:rPr>
        <w:t>которы</w:t>
      </w:r>
      <w:r>
        <w:rPr>
          <w:rFonts w:ascii="Times New Roman" w:hAnsi="Times New Roman" w:cs="Times New Roman"/>
          <w:sz w:val="28"/>
          <w:szCs w:val="28"/>
        </w:rPr>
        <w:t>х</w:t>
      </w:r>
      <w:r w:rsidRPr="00E01FFA">
        <w:rPr>
          <w:rFonts w:ascii="Times New Roman" w:hAnsi="Times New Roman" w:cs="Times New Roman"/>
          <w:sz w:val="28"/>
          <w:szCs w:val="28"/>
        </w:rPr>
        <w:t xml:space="preserve"> </w:t>
      </w:r>
      <w:r w:rsidRPr="0027736F">
        <w:rPr>
          <w:rFonts w:ascii="Times New Roman" w:hAnsi="Times New Roman" w:cs="Times New Roman"/>
          <w:sz w:val="28"/>
          <w:szCs w:val="28"/>
        </w:rPr>
        <w:t xml:space="preserve">проведено </w:t>
      </w:r>
      <w:r>
        <w:rPr>
          <w:rFonts w:ascii="Times New Roman" w:hAnsi="Times New Roman" w:cs="Times New Roman"/>
          <w:sz w:val="28"/>
          <w:szCs w:val="28"/>
        </w:rPr>
        <w:t>9</w:t>
      </w:r>
      <w:r w:rsidRPr="0027736F">
        <w:rPr>
          <w:rFonts w:ascii="Times New Roman" w:hAnsi="Times New Roman" w:cs="Times New Roman"/>
          <w:sz w:val="28"/>
          <w:szCs w:val="28"/>
        </w:rPr>
        <w:t xml:space="preserve"> профилактических визит</w:t>
      </w:r>
      <w:r>
        <w:rPr>
          <w:rFonts w:ascii="Times New Roman" w:hAnsi="Times New Roman" w:cs="Times New Roman"/>
          <w:sz w:val="28"/>
          <w:szCs w:val="28"/>
        </w:rPr>
        <w:t xml:space="preserve">ов и </w:t>
      </w:r>
      <w:r w:rsidRPr="00E01FFA">
        <w:rPr>
          <w:rFonts w:ascii="Times New Roman" w:hAnsi="Times New Roman" w:cs="Times New Roman"/>
          <w:sz w:val="28"/>
          <w:szCs w:val="28"/>
        </w:rPr>
        <w:t>поступило 17</w:t>
      </w:r>
      <w:r w:rsidRPr="0027736F">
        <w:rPr>
          <w:rFonts w:ascii="Times New Roman" w:hAnsi="Times New Roman" w:cs="Times New Roman"/>
          <w:sz w:val="28"/>
          <w:szCs w:val="28"/>
        </w:rPr>
        <w:t xml:space="preserve"> отказов </w:t>
      </w:r>
      <w:r>
        <w:rPr>
          <w:rFonts w:ascii="Times New Roman" w:hAnsi="Times New Roman" w:cs="Times New Roman"/>
          <w:sz w:val="28"/>
          <w:szCs w:val="28"/>
        </w:rPr>
        <w:t xml:space="preserve">контролируемых лиц </w:t>
      </w:r>
      <w:r w:rsidRPr="0027736F">
        <w:rPr>
          <w:rFonts w:ascii="Times New Roman" w:hAnsi="Times New Roman" w:cs="Times New Roman"/>
          <w:sz w:val="28"/>
          <w:szCs w:val="28"/>
        </w:rPr>
        <w:t xml:space="preserve">от </w:t>
      </w:r>
      <w:r>
        <w:rPr>
          <w:rFonts w:ascii="Times New Roman" w:hAnsi="Times New Roman" w:cs="Times New Roman"/>
          <w:sz w:val="28"/>
          <w:szCs w:val="28"/>
        </w:rPr>
        <w:t xml:space="preserve">их проведения (в 2023 году на основании 20 направленных департаментом уведомлений было проведено 3 </w:t>
      </w:r>
      <w:r w:rsidRPr="00E01FFA">
        <w:rPr>
          <w:rFonts w:ascii="Times New Roman" w:hAnsi="Times New Roman" w:cs="Times New Roman"/>
          <w:sz w:val="28"/>
          <w:szCs w:val="28"/>
        </w:rPr>
        <w:t>обязательн</w:t>
      </w:r>
      <w:r>
        <w:rPr>
          <w:rFonts w:ascii="Times New Roman" w:hAnsi="Times New Roman" w:cs="Times New Roman"/>
          <w:sz w:val="28"/>
          <w:szCs w:val="28"/>
        </w:rPr>
        <w:t>ых профилактических визита и поступило 17 отказов контролируемых лиц от их проведения).</w:t>
      </w:r>
    </w:p>
    <w:p w:rsidR="00DB0113" w:rsidRPr="00EC2BA6" w:rsidRDefault="00DB0113" w:rsidP="00DB0113">
      <w:pPr>
        <w:autoSpaceDE w:val="0"/>
        <w:autoSpaceDN w:val="0"/>
        <w:adjustRightInd w:val="0"/>
        <w:spacing w:after="0" w:line="240" w:lineRule="auto"/>
        <w:jc w:val="both"/>
        <w:rPr>
          <w:i/>
          <w:szCs w:val="28"/>
        </w:rPr>
      </w:pPr>
      <w:r>
        <w:rPr>
          <w:szCs w:val="28"/>
        </w:rPr>
        <w:tab/>
      </w:r>
      <w:r w:rsidRPr="00EC2BA6">
        <w:rPr>
          <w:i/>
          <w:szCs w:val="28"/>
        </w:rPr>
        <w:t>Привлечение юридических лиц</w:t>
      </w:r>
      <w:r>
        <w:rPr>
          <w:i/>
          <w:szCs w:val="28"/>
        </w:rPr>
        <w:t xml:space="preserve"> и</w:t>
      </w:r>
      <w:r w:rsidRPr="00EC2BA6">
        <w:rPr>
          <w:i/>
          <w:szCs w:val="28"/>
        </w:rPr>
        <w:t xml:space="preserve"> их должностных лиц, индивидуальных предпринимателей к административной ответственности.</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условиях действия Постановления № 336 и в соответствии с </w:t>
      </w:r>
      <w:r w:rsidRPr="00BC4FC9">
        <w:rPr>
          <w:rFonts w:ascii="Times New Roman" w:hAnsi="Times New Roman" w:cs="Times New Roman"/>
          <w:sz w:val="28"/>
          <w:szCs w:val="28"/>
        </w:rPr>
        <w:t>част</w:t>
      </w:r>
      <w:r>
        <w:rPr>
          <w:rFonts w:ascii="Times New Roman" w:hAnsi="Times New Roman" w:cs="Times New Roman"/>
          <w:sz w:val="28"/>
          <w:szCs w:val="28"/>
        </w:rPr>
        <w:t>ью</w:t>
      </w:r>
      <w:r w:rsidRPr="00BC4FC9">
        <w:rPr>
          <w:rFonts w:ascii="Times New Roman" w:hAnsi="Times New Roman" w:cs="Times New Roman"/>
          <w:sz w:val="28"/>
          <w:szCs w:val="28"/>
        </w:rPr>
        <w:t xml:space="preserve"> 3.1 статьи 28.1 Кодекса Российской Федерации об административных правонарушениях</w:t>
      </w:r>
      <w:r>
        <w:rPr>
          <w:rFonts w:ascii="Times New Roman" w:hAnsi="Times New Roman" w:cs="Times New Roman"/>
          <w:sz w:val="28"/>
          <w:szCs w:val="28"/>
        </w:rPr>
        <w:t xml:space="preserve"> у департамента в 2024 году отсутствовала возможность </w:t>
      </w:r>
      <w:r>
        <w:rPr>
          <w:rFonts w:ascii="Times New Roman" w:hAnsi="Times New Roman" w:cs="Times New Roman"/>
          <w:sz w:val="28"/>
          <w:szCs w:val="28"/>
        </w:rPr>
        <w:lastRenderedPageBreak/>
        <w:t xml:space="preserve">возбуждения дел об административных правонарушениях по выявленным им в ходе проведения наблюдения за соблюдением контролируемыми лицами обязательных требований и рассмотрения обращений </w:t>
      </w:r>
      <w:r w:rsidRPr="00A55AC8">
        <w:rPr>
          <w:rFonts w:ascii="Times New Roman" w:hAnsi="Times New Roman" w:cs="Times New Roman"/>
          <w:sz w:val="28"/>
          <w:szCs w:val="28"/>
        </w:rPr>
        <w:t>граждан и организаций, содержащих сведения</w:t>
      </w:r>
      <w:r>
        <w:rPr>
          <w:szCs w:val="28"/>
        </w:rPr>
        <w:t xml:space="preserve"> </w:t>
      </w:r>
      <w:r w:rsidRPr="00A55AC8">
        <w:rPr>
          <w:rFonts w:ascii="Times New Roman" w:hAnsi="Times New Roman" w:cs="Times New Roman"/>
          <w:sz w:val="28"/>
          <w:szCs w:val="28"/>
        </w:rPr>
        <w:t>о причинении вреда (ущерба) или об угрозе причинения вреда (ущерба) охраняемым законом ценностям</w:t>
      </w:r>
      <w:r w:rsidRPr="0048317B">
        <w:rPr>
          <w:rFonts w:ascii="Times New Roman" w:hAnsi="Times New Roman" w:cs="Times New Roman"/>
          <w:sz w:val="28"/>
          <w:szCs w:val="28"/>
        </w:rPr>
        <w:t>,</w:t>
      </w:r>
      <w:r>
        <w:rPr>
          <w:szCs w:val="28"/>
        </w:rPr>
        <w:t xml:space="preserve"> </w:t>
      </w:r>
      <w:r>
        <w:rPr>
          <w:rFonts w:ascii="Times New Roman" w:hAnsi="Times New Roman" w:cs="Times New Roman"/>
          <w:sz w:val="28"/>
          <w:szCs w:val="28"/>
        </w:rPr>
        <w:t>фактам совершения контролируемыми лицами административных правонарушений.</w:t>
      </w:r>
    </w:p>
    <w:p w:rsidR="00DB0113"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Привлечение контролируемых лиц к административной ответственности  осуществлялось департаментом по результатам рассмотрения дел об административных правонарушениях, возбужденных органами прокуратуры Новосибирской области, которые были направлены для рассмотрения в департамент.</w:t>
      </w:r>
    </w:p>
    <w:tbl>
      <w:tblPr>
        <w:tblW w:w="9346" w:type="dxa"/>
        <w:jc w:val="center"/>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3"/>
        <w:gridCol w:w="1661"/>
        <w:gridCol w:w="1183"/>
        <w:gridCol w:w="1197"/>
        <w:gridCol w:w="1322"/>
        <w:gridCol w:w="1146"/>
        <w:gridCol w:w="1234"/>
      </w:tblGrid>
      <w:tr w:rsidR="00DB0113" w:rsidRPr="0027736F" w:rsidTr="00184C22">
        <w:trPr>
          <w:trHeight w:val="264"/>
          <w:jc w:val="center"/>
        </w:trPr>
        <w:tc>
          <w:tcPr>
            <w:tcW w:w="9346" w:type="dxa"/>
            <w:gridSpan w:val="7"/>
          </w:tcPr>
          <w:p w:rsidR="00DB0113" w:rsidRPr="007C65D8" w:rsidRDefault="00DB0113" w:rsidP="00D3301F">
            <w:pPr>
              <w:spacing w:after="0" w:line="240" w:lineRule="auto"/>
              <w:rPr>
                <w:sz w:val="18"/>
                <w:szCs w:val="18"/>
              </w:rPr>
            </w:pPr>
            <w:r w:rsidRPr="007C65D8">
              <w:rPr>
                <w:sz w:val="24"/>
              </w:rPr>
              <w:t xml:space="preserve">Результаты рассмотрения департаментом в 2024 году дел об административных правонарушениях по сферам </w:t>
            </w:r>
            <w:r w:rsidRPr="00CE16BD">
              <w:rPr>
                <w:sz w:val="24"/>
              </w:rPr>
              <w:t xml:space="preserve">осуществления </w:t>
            </w:r>
            <w:r>
              <w:rPr>
                <w:sz w:val="24"/>
              </w:rPr>
              <w:t xml:space="preserve">государственного </w:t>
            </w:r>
            <w:r w:rsidRPr="007C65D8">
              <w:rPr>
                <w:sz w:val="24"/>
              </w:rPr>
              <w:t>контроля (надзора)</w:t>
            </w:r>
          </w:p>
        </w:tc>
      </w:tr>
      <w:tr w:rsidR="00DB0113" w:rsidRPr="0027736F" w:rsidTr="00184C22">
        <w:trPr>
          <w:trHeight w:val="1697"/>
          <w:jc w:val="center"/>
        </w:trPr>
        <w:tc>
          <w:tcPr>
            <w:tcW w:w="1603" w:type="dxa"/>
          </w:tcPr>
          <w:p w:rsidR="00DB0113" w:rsidRPr="0027736F" w:rsidRDefault="00DB0113" w:rsidP="00D3301F">
            <w:pPr>
              <w:spacing w:after="0" w:line="240" w:lineRule="auto"/>
              <w:rPr>
                <w:sz w:val="18"/>
                <w:szCs w:val="18"/>
              </w:rPr>
            </w:pPr>
            <w:r w:rsidRPr="0027736F">
              <w:rPr>
                <w:sz w:val="18"/>
                <w:szCs w:val="18"/>
              </w:rPr>
              <w:t xml:space="preserve">Сфера осуществления </w:t>
            </w:r>
            <w:r>
              <w:rPr>
                <w:sz w:val="18"/>
                <w:szCs w:val="18"/>
              </w:rPr>
              <w:t xml:space="preserve">государственного </w:t>
            </w:r>
            <w:r w:rsidRPr="0027736F">
              <w:rPr>
                <w:sz w:val="18"/>
                <w:szCs w:val="18"/>
              </w:rPr>
              <w:t>контроля (надзора)</w:t>
            </w:r>
          </w:p>
        </w:tc>
        <w:tc>
          <w:tcPr>
            <w:tcW w:w="1661" w:type="dxa"/>
          </w:tcPr>
          <w:p w:rsidR="00DB0113" w:rsidRDefault="00DB0113" w:rsidP="00D3301F">
            <w:pPr>
              <w:spacing w:after="0" w:line="240" w:lineRule="auto"/>
              <w:rPr>
                <w:sz w:val="18"/>
                <w:szCs w:val="18"/>
              </w:rPr>
            </w:pPr>
            <w:r w:rsidRPr="007E0575">
              <w:rPr>
                <w:sz w:val="18"/>
                <w:szCs w:val="18"/>
              </w:rPr>
              <w:t>Всего</w:t>
            </w:r>
            <w:r>
              <w:rPr>
                <w:sz w:val="18"/>
                <w:szCs w:val="18"/>
              </w:rPr>
              <w:t xml:space="preserve"> </w:t>
            </w:r>
            <w:r w:rsidRPr="007E0575">
              <w:rPr>
                <w:sz w:val="18"/>
                <w:szCs w:val="18"/>
              </w:rPr>
              <w:t xml:space="preserve">постановлений </w:t>
            </w:r>
          </w:p>
          <w:p w:rsidR="00DB0113" w:rsidRPr="007E0575" w:rsidRDefault="00DB0113" w:rsidP="00D3301F">
            <w:pPr>
              <w:spacing w:after="0" w:line="240" w:lineRule="auto"/>
              <w:rPr>
                <w:sz w:val="18"/>
                <w:szCs w:val="18"/>
              </w:rPr>
            </w:pPr>
            <w:r w:rsidRPr="007E0575">
              <w:rPr>
                <w:sz w:val="18"/>
                <w:szCs w:val="18"/>
              </w:rPr>
              <w:t>по делам об административных правонарушениях</w:t>
            </w:r>
            <w:r>
              <w:rPr>
                <w:sz w:val="18"/>
                <w:szCs w:val="18"/>
              </w:rPr>
              <w:t xml:space="preserve"> </w:t>
            </w:r>
          </w:p>
        </w:tc>
        <w:tc>
          <w:tcPr>
            <w:tcW w:w="1183" w:type="dxa"/>
          </w:tcPr>
          <w:p w:rsidR="00DB0113" w:rsidRPr="0027736F" w:rsidRDefault="00DB0113" w:rsidP="00D3301F">
            <w:pPr>
              <w:spacing w:after="0" w:line="240" w:lineRule="auto"/>
              <w:rPr>
                <w:sz w:val="18"/>
                <w:szCs w:val="18"/>
              </w:rPr>
            </w:pPr>
            <w:r w:rsidRPr="0027736F">
              <w:rPr>
                <w:sz w:val="18"/>
                <w:szCs w:val="18"/>
              </w:rPr>
              <w:t>Постанов</w:t>
            </w:r>
            <w:r>
              <w:rPr>
                <w:sz w:val="18"/>
                <w:szCs w:val="18"/>
              </w:rPr>
              <w:t>-</w:t>
            </w:r>
            <w:r w:rsidRPr="0027736F">
              <w:rPr>
                <w:sz w:val="18"/>
                <w:szCs w:val="18"/>
              </w:rPr>
              <w:t xml:space="preserve">ления о прекращении производства </w:t>
            </w:r>
          </w:p>
          <w:p w:rsidR="00DB0113" w:rsidRPr="0027736F" w:rsidRDefault="00DB0113" w:rsidP="00D3301F">
            <w:pPr>
              <w:spacing w:after="0" w:line="240" w:lineRule="auto"/>
              <w:rPr>
                <w:sz w:val="18"/>
                <w:szCs w:val="18"/>
              </w:rPr>
            </w:pPr>
            <w:r w:rsidRPr="0027736F">
              <w:rPr>
                <w:sz w:val="18"/>
                <w:szCs w:val="18"/>
              </w:rPr>
              <w:t>по делу</w:t>
            </w:r>
            <w:r>
              <w:rPr>
                <w:sz w:val="18"/>
                <w:szCs w:val="18"/>
              </w:rPr>
              <w:t xml:space="preserve"> </w:t>
            </w:r>
          </w:p>
        </w:tc>
        <w:tc>
          <w:tcPr>
            <w:tcW w:w="1197" w:type="dxa"/>
          </w:tcPr>
          <w:p w:rsidR="00DB0113" w:rsidRPr="0027736F" w:rsidRDefault="00DB0113" w:rsidP="00D3301F">
            <w:pPr>
              <w:autoSpaceDE w:val="0"/>
              <w:autoSpaceDN w:val="0"/>
              <w:adjustRightInd w:val="0"/>
              <w:spacing w:after="0" w:line="240" w:lineRule="auto"/>
              <w:rPr>
                <w:bCs/>
              </w:rPr>
            </w:pPr>
            <w:r w:rsidRPr="0027736F">
              <w:rPr>
                <w:sz w:val="18"/>
                <w:szCs w:val="18"/>
              </w:rPr>
              <w:t xml:space="preserve">Количество </w:t>
            </w:r>
            <w:r>
              <w:rPr>
                <w:sz w:val="18"/>
                <w:szCs w:val="18"/>
              </w:rPr>
              <w:t xml:space="preserve">назначенных </w:t>
            </w:r>
            <w:r w:rsidRPr="0027736F">
              <w:rPr>
                <w:sz w:val="18"/>
                <w:szCs w:val="18"/>
              </w:rPr>
              <w:t>наказаний в виде предупреж</w:t>
            </w:r>
            <w:r>
              <w:rPr>
                <w:sz w:val="18"/>
                <w:szCs w:val="18"/>
              </w:rPr>
              <w:t>-</w:t>
            </w:r>
            <w:r w:rsidRPr="0027736F">
              <w:rPr>
                <w:sz w:val="18"/>
                <w:szCs w:val="18"/>
              </w:rPr>
              <w:t>дения</w:t>
            </w:r>
            <w:r>
              <w:rPr>
                <w:sz w:val="18"/>
                <w:szCs w:val="18"/>
              </w:rPr>
              <w:t xml:space="preserve"> </w:t>
            </w:r>
          </w:p>
          <w:p w:rsidR="00DB0113" w:rsidRPr="0027736F" w:rsidRDefault="00DB0113" w:rsidP="00D3301F">
            <w:pPr>
              <w:spacing w:after="0" w:line="240" w:lineRule="auto"/>
              <w:rPr>
                <w:sz w:val="18"/>
                <w:szCs w:val="18"/>
              </w:rPr>
            </w:pPr>
          </w:p>
        </w:tc>
        <w:tc>
          <w:tcPr>
            <w:tcW w:w="1322" w:type="dxa"/>
          </w:tcPr>
          <w:p w:rsidR="00DB0113" w:rsidRPr="0027736F" w:rsidRDefault="00DB0113" w:rsidP="00D3301F">
            <w:pPr>
              <w:spacing w:after="0" w:line="240" w:lineRule="auto"/>
              <w:rPr>
                <w:sz w:val="18"/>
                <w:szCs w:val="18"/>
              </w:rPr>
            </w:pPr>
            <w:r w:rsidRPr="0027736F">
              <w:rPr>
                <w:sz w:val="18"/>
                <w:szCs w:val="18"/>
              </w:rPr>
              <w:t xml:space="preserve">Сумма </w:t>
            </w:r>
          </w:p>
          <w:p w:rsidR="00DB0113" w:rsidRPr="0027736F" w:rsidRDefault="00DB0113" w:rsidP="00D3301F">
            <w:pPr>
              <w:spacing w:after="0" w:line="240" w:lineRule="auto"/>
              <w:rPr>
                <w:sz w:val="18"/>
                <w:szCs w:val="18"/>
              </w:rPr>
            </w:pPr>
            <w:r>
              <w:rPr>
                <w:sz w:val="18"/>
                <w:szCs w:val="18"/>
              </w:rPr>
              <w:t xml:space="preserve">наложенных </w:t>
            </w:r>
            <w:r w:rsidRPr="0027736F">
              <w:rPr>
                <w:sz w:val="18"/>
                <w:szCs w:val="18"/>
              </w:rPr>
              <w:t>администр</w:t>
            </w:r>
            <w:r>
              <w:rPr>
                <w:sz w:val="18"/>
                <w:szCs w:val="18"/>
              </w:rPr>
              <w:t>а-тивных</w:t>
            </w:r>
            <w:r w:rsidRPr="0027736F">
              <w:rPr>
                <w:sz w:val="18"/>
                <w:szCs w:val="18"/>
              </w:rPr>
              <w:t xml:space="preserve"> </w:t>
            </w:r>
          </w:p>
          <w:p w:rsidR="00DB0113" w:rsidRDefault="00DB0113" w:rsidP="00D3301F">
            <w:pPr>
              <w:spacing w:after="0" w:line="240" w:lineRule="auto"/>
              <w:rPr>
                <w:sz w:val="18"/>
                <w:szCs w:val="18"/>
              </w:rPr>
            </w:pPr>
            <w:r w:rsidRPr="0027736F">
              <w:rPr>
                <w:sz w:val="18"/>
                <w:szCs w:val="18"/>
              </w:rPr>
              <w:t xml:space="preserve">штрафов, </w:t>
            </w:r>
          </w:p>
          <w:p w:rsidR="00DB0113" w:rsidRPr="0027736F" w:rsidRDefault="00DB0113" w:rsidP="00D3301F">
            <w:pPr>
              <w:spacing w:after="0" w:line="240" w:lineRule="auto"/>
              <w:rPr>
                <w:sz w:val="18"/>
                <w:szCs w:val="18"/>
              </w:rPr>
            </w:pPr>
            <w:r>
              <w:rPr>
                <w:sz w:val="18"/>
                <w:szCs w:val="18"/>
              </w:rPr>
              <w:t xml:space="preserve"> тыс. </w:t>
            </w:r>
            <w:r w:rsidRPr="0027736F">
              <w:rPr>
                <w:sz w:val="18"/>
                <w:szCs w:val="18"/>
              </w:rPr>
              <w:t>руб.</w:t>
            </w:r>
          </w:p>
        </w:tc>
        <w:tc>
          <w:tcPr>
            <w:tcW w:w="1146" w:type="dxa"/>
          </w:tcPr>
          <w:p w:rsidR="00DB0113" w:rsidRPr="0027736F" w:rsidRDefault="00DB0113" w:rsidP="00D3301F">
            <w:pPr>
              <w:spacing w:after="0" w:line="240" w:lineRule="auto"/>
              <w:rPr>
                <w:sz w:val="18"/>
                <w:szCs w:val="18"/>
              </w:rPr>
            </w:pPr>
            <w:r w:rsidRPr="0027736F">
              <w:rPr>
                <w:sz w:val="18"/>
                <w:szCs w:val="18"/>
              </w:rPr>
              <w:t>Оплачено администр</w:t>
            </w:r>
            <w:r>
              <w:rPr>
                <w:sz w:val="18"/>
                <w:szCs w:val="18"/>
              </w:rPr>
              <w:t xml:space="preserve">а-тивных </w:t>
            </w:r>
            <w:r w:rsidRPr="0027736F">
              <w:rPr>
                <w:sz w:val="18"/>
                <w:szCs w:val="18"/>
              </w:rPr>
              <w:t xml:space="preserve">штрафов, </w:t>
            </w:r>
            <w:r>
              <w:rPr>
                <w:sz w:val="18"/>
                <w:szCs w:val="18"/>
              </w:rPr>
              <w:t xml:space="preserve">тыс. </w:t>
            </w:r>
            <w:r w:rsidRPr="0027736F">
              <w:rPr>
                <w:sz w:val="18"/>
                <w:szCs w:val="18"/>
              </w:rPr>
              <w:t>руб.</w:t>
            </w:r>
          </w:p>
        </w:tc>
        <w:tc>
          <w:tcPr>
            <w:tcW w:w="1234" w:type="dxa"/>
          </w:tcPr>
          <w:p w:rsidR="00DB0113" w:rsidRPr="0027736F" w:rsidRDefault="00DB0113" w:rsidP="00D3301F">
            <w:pPr>
              <w:spacing w:after="0" w:line="240" w:lineRule="auto"/>
              <w:rPr>
                <w:sz w:val="18"/>
                <w:szCs w:val="18"/>
              </w:rPr>
            </w:pPr>
            <w:r w:rsidRPr="0027736F">
              <w:rPr>
                <w:sz w:val="18"/>
                <w:szCs w:val="18"/>
              </w:rPr>
              <w:t xml:space="preserve">Направлено дел мировым судьям по ч.1 ст.20.25 КоАП РФ за неуплату </w:t>
            </w:r>
            <w:r>
              <w:rPr>
                <w:sz w:val="18"/>
                <w:szCs w:val="18"/>
              </w:rPr>
              <w:t xml:space="preserve">администра-тивного </w:t>
            </w:r>
            <w:r w:rsidRPr="0027736F">
              <w:rPr>
                <w:sz w:val="18"/>
                <w:szCs w:val="18"/>
              </w:rPr>
              <w:t>штрафа</w:t>
            </w:r>
          </w:p>
        </w:tc>
      </w:tr>
      <w:tr w:rsidR="00DB0113" w:rsidRPr="0027736F" w:rsidTr="00184C22">
        <w:trPr>
          <w:trHeight w:val="326"/>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Электроэнергетика</w:t>
            </w:r>
          </w:p>
        </w:tc>
        <w:tc>
          <w:tcPr>
            <w:tcW w:w="1661" w:type="dxa"/>
          </w:tcPr>
          <w:p w:rsidR="00DB0113" w:rsidRPr="00172CC9" w:rsidRDefault="00DB0113" w:rsidP="00D3301F">
            <w:pPr>
              <w:spacing w:after="0" w:line="240" w:lineRule="auto"/>
              <w:rPr>
                <w:sz w:val="20"/>
              </w:rPr>
            </w:pPr>
            <w:r w:rsidRPr="00172CC9">
              <w:rPr>
                <w:sz w:val="20"/>
              </w:rPr>
              <w:t>14</w:t>
            </w:r>
          </w:p>
        </w:tc>
        <w:tc>
          <w:tcPr>
            <w:tcW w:w="1183" w:type="dxa"/>
          </w:tcPr>
          <w:p w:rsidR="00DB0113" w:rsidRPr="00172CC9" w:rsidRDefault="00DB0113" w:rsidP="00D3301F">
            <w:pPr>
              <w:spacing w:after="0" w:line="240" w:lineRule="auto"/>
              <w:rPr>
                <w:sz w:val="20"/>
              </w:rPr>
            </w:pPr>
            <w:r w:rsidRPr="00172CC9">
              <w:rPr>
                <w:sz w:val="20"/>
              </w:rPr>
              <w:t>0</w:t>
            </w:r>
          </w:p>
        </w:tc>
        <w:tc>
          <w:tcPr>
            <w:tcW w:w="1197" w:type="dxa"/>
          </w:tcPr>
          <w:p w:rsidR="00DB0113" w:rsidRPr="00172CC9" w:rsidRDefault="00DB0113" w:rsidP="00D3301F">
            <w:pPr>
              <w:spacing w:after="0" w:line="240" w:lineRule="auto"/>
              <w:rPr>
                <w:sz w:val="20"/>
              </w:rPr>
            </w:pPr>
            <w:r w:rsidRPr="00172CC9">
              <w:rPr>
                <w:sz w:val="20"/>
              </w:rPr>
              <w:t>13</w:t>
            </w:r>
          </w:p>
        </w:tc>
        <w:tc>
          <w:tcPr>
            <w:tcW w:w="1322" w:type="dxa"/>
          </w:tcPr>
          <w:p w:rsidR="00DB0113" w:rsidRPr="00172CC9" w:rsidRDefault="00DB0113" w:rsidP="00D3301F">
            <w:pPr>
              <w:spacing w:after="0" w:line="240" w:lineRule="auto"/>
              <w:rPr>
                <w:sz w:val="20"/>
              </w:rPr>
            </w:pPr>
            <w:r w:rsidRPr="00172CC9">
              <w:rPr>
                <w:sz w:val="20"/>
              </w:rPr>
              <w:t>100</w:t>
            </w:r>
          </w:p>
        </w:tc>
        <w:tc>
          <w:tcPr>
            <w:tcW w:w="1146" w:type="dxa"/>
          </w:tcPr>
          <w:p w:rsidR="00DB0113" w:rsidRPr="00172CC9" w:rsidRDefault="00DB0113" w:rsidP="00D3301F">
            <w:pPr>
              <w:spacing w:after="0" w:line="240" w:lineRule="auto"/>
              <w:rPr>
                <w:sz w:val="20"/>
              </w:rPr>
            </w:pPr>
            <w:r w:rsidRPr="00172CC9">
              <w:rPr>
                <w:sz w:val="20"/>
              </w:rPr>
              <w:t>100</w:t>
            </w:r>
          </w:p>
        </w:tc>
        <w:tc>
          <w:tcPr>
            <w:tcW w:w="1234" w:type="dxa"/>
          </w:tcPr>
          <w:p w:rsidR="00DB0113" w:rsidRPr="0027736F" w:rsidRDefault="00DB0113" w:rsidP="00D3301F">
            <w:pPr>
              <w:spacing w:after="0" w:line="240" w:lineRule="auto"/>
              <w:rPr>
                <w:sz w:val="20"/>
              </w:rPr>
            </w:pPr>
            <w:r w:rsidRPr="0027736F">
              <w:rPr>
                <w:sz w:val="20"/>
              </w:rPr>
              <w:t>0</w:t>
            </w:r>
          </w:p>
        </w:tc>
      </w:tr>
      <w:tr w:rsidR="00DB0113" w:rsidRPr="0027736F" w:rsidTr="00184C22">
        <w:trPr>
          <w:trHeight w:val="211"/>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Теплоснабжение</w:t>
            </w:r>
          </w:p>
        </w:tc>
        <w:tc>
          <w:tcPr>
            <w:tcW w:w="1661" w:type="dxa"/>
          </w:tcPr>
          <w:p w:rsidR="00DB0113" w:rsidRPr="00172CC9" w:rsidRDefault="00DB0113" w:rsidP="00D3301F">
            <w:pPr>
              <w:spacing w:after="0" w:line="240" w:lineRule="auto"/>
              <w:rPr>
                <w:sz w:val="20"/>
              </w:rPr>
            </w:pPr>
            <w:r w:rsidRPr="00172CC9">
              <w:rPr>
                <w:sz w:val="20"/>
              </w:rPr>
              <w:t>5</w:t>
            </w:r>
          </w:p>
        </w:tc>
        <w:tc>
          <w:tcPr>
            <w:tcW w:w="1183" w:type="dxa"/>
          </w:tcPr>
          <w:p w:rsidR="00DB0113" w:rsidRPr="00172CC9" w:rsidRDefault="00DB0113" w:rsidP="00D3301F">
            <w:pPr>
              <w:spacing w:after="0" w:line="240" w:lineRule="auto"/>
              <w:rPr>
                <w:sz w:val="20"/>
              </w:rPr>
            </w:pPr>
            <w:r w:rsidRPr="00172CC9">
              <w:rPr>
                <w:sz w:val="20"/>
              </w:rPr>
              <w:t>0</w:t>
            </w:r>
          </w:p>
        </w:tc>
        <w:tc>
          <w:tcPr>
            <w:tcW w:w="1197" w:type="dxa"/>
          </w:tcPr>
          <w:p w:rsidR="00DB0113" w:rsidRPr="00172CC9" w:rsidRDefault="00DB0113" w:rsidP="00D3301F">
            <w:pPr>
              <w:spacing w:after="0" w:line="240" w:lineRule="auto"/>
              <w:rPr>
                <w:sz w:val="20"/>
              </w:rPr>
            </w:pPr>
            <w:r w:rsidRPr="00172CC9">
              <w:rPr>
                <w:sz w:val="20"/>
              </w:rPr>
              <w:t>3</w:t>
            </w:r>
          </w:p>
        </w:tc>
        <w:tc>
          <w:tcPr>
            <w:tcW w:w="1322" w:type="dxa"/>
          </w:tcPr>
          <w:p w:rsidR="00DB0113" w:rsidRPr="00172CC9" w:rsidRDefault="00DB0113" w:rsidP="00D3301F">
            <w:pPr>
              <w:spacing w:after="0" w:line="240" w:lineRule="auto"/>
              <w:rPr>
                <w:sz w:val="20"/>
              </w:rPr>
            </w:pPr>
            <w:r w:rsidRPr="00172CC9">
              <w:rPr>
                <w:sz w:val="20"/>
              </w:rPr>
              <w:t>105</w:t>
            </w:r>
          </w:p>
        </w:tc>
        <w:tc>
          <w:tcPr>
            <w:tcW w:w="1146" w:type="dxa"/>
          </w:tcPr>
          <w:p w:rsidR="00DB0113" w:rsidRPr="00172CC9" w:rsidRDefault="00DB0113" w:rsidP="00D3301F">
            <w:pPr>
              <w:spacing w:after="0" w:line="240" w:lineRule="auto"/>
              <w:rPr>
                <w:sz w:val="20"/>
              </w:rPr>
            </w:pPr>
            <w:r w:rsidRPr="00172CC9">
              <w:rPr>
                <w:sz w:val="20"/>
              </w:rPr>
              <w:t>105</w:t>
            </w:r>
          </w:p>
        </w:tc>
        <w:tc>
          <w:tcPr>
            <w:tcW w:w="1234" w:type="dxa"/>
          </w:tcPr>
          <w:p w:rsidR="00DB0113" w:rsidRPr="0027736F" w:rsidRDefault="00DB0113" w:rsidP="00D3301F">
            <w:pPr>
              <w:spacing w:after="0" w:line="240" w:lineRule="auto"/>
              <w:rPr>
                <w:sz w:val="20"/>
              </w:rPr>
            </w:pPr>
            <w:r w:rsidRPr="0027736F">
              <w:rPr>
                <w:sz w:val="20"/>
              </w:rPr>
              <w:t>0</w:t>
            </w:r>
          </w:p>
        </w:tc>
      </w:tr>
      <w:tr w:rsidR="00DB0113" w:rsidRPr="0027736F" w:rsidTr="00184C22">
        <w:trPr>
          <w:trHeight w:val="380"/>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 xml:space="preserve">Транспортные услуги </w:t>
            </w:r>
          </w:p>
        </w:tc>
        <w:tc>
          <w:tcPr>
            <w:tcW w:w="1661" w:type="dxa"/>
          </w:tcPr>
          <w:p w:rsidR="00DB0113" w:rsidRPr="00172CC9" w:rsidRDefault="00DB0113" w:rsidP="00D3301F">
            <w:pPr>
              <w:spacing w:after="0" w:line="240" w:lineRule="auto"/>
              <w:rPr>
                <w:sz w:val="20"/>
              </w:rPr>
            </w:pPr>
            <w:r w:rsidRPr="00172CC9">
              <w:rPr>
                <w:sz w:val="20"/>
              </w:rPr>
              <w:t>2</w:t>
            </w:r>
          </w:p>
        </w:tc>
        <w:tc>
          <w:tcPr>
            <w:tcW w:w="1183" w:type="dxa"/>
          </w:tcPr>
          <w:p w:rsidR="00DB0113" w:rsidRPr="00172CC9" w:rsidRDefault="00DB0113" w:rsidP="00D3301F">
            <w:pPr>
              <w:spacing w:after="0" w:line="240" w:lineRule="auto"/>
              <w:rPr>
                <w:sz w:val="20"/>
              </w:rPr>
            </w:pPr>
            <w:r w:rsidRPr="00172CC9">
              <w:rPr>
                <w:sz w:val="20"/>
              </w:rPr>
              <w:t>0</w:t>
            </w:r>
          </w:p>
        </w:tc>
        <w:tc>
          <w:tcPr>
            <w:tcW w:w="1197" w:type="dxa"/>
          </w:tcPr>
          <w:p w:rsidR="00DB0113" w:rsidRPr="00172CC9" w:rsidRDefault="00DB0113" w:rsidP="00D3301F">
            <w:pPr>
              <w:spacing w:after="0" w:line="240" w:lineRule="auto"/>
              <w:rPr>
                <w:sz w:val="20"/>
              </w:rPr>
            </w:pPr>
            <w:r w:rsidRPr="00172CC9">
              <w:rPr>
                <w:sz w:val="20"/>
              </w:rPr>
              <w:t>2</w:t>
            </w:r>
          </w:p>
        </w:tc>
        <w:tc>
          <w:tcPr>
            <w:tcW w:w="1322" w:type="dxa"/>
          </w:tcPr>
          <w:p w:rsidR="00DB0113" w:rsidRPr="00172CC9" w:rsidRDefault="00DB0113" w:rsidP="00D3301F">
            <w:pPr>
              <w:spacing w:after="0" w:line="240" w:lineRule="auto"/>
              <w:rPr>
                <w:sz w:val="20"/>
              </w:rPr>
            </w:pPr>
            <w:r w:rsidRPr="00172CC9">
              <w:rPr>
                <w:sz w:val="20"/>
              </w:rPr>
              <w:t>0</w:t>
            </w:r>
          </w:p>
        </w:tc>
        <w:tc>
          <w:tcPr>
            <w:tcW w:w="1146" w:type="dxa"/>
          </w:tcPr>
          <w:p w:rsidR="00DB0113" w:rsidRPr="00172CC9" w:rsidRDefault="00DB0113" w:rsidP="00D3301F">
            <w:pPr>
              <w:spacing w:after="0" w:line="240" w:lineRule="auto"/>
              <w:rPr>
                <w:sz w:val="20"/>
              </w:rPr>
            </w:pPr>
            <w:r w:rsidRPr="00172CC9">
              <w:rPr>
                <w:sz w:val="20"/>
              </w:rPr>
              <w:t>0</w:t>
            </w:r>
          </w:p>
        </w:tc>
        <w:tc>
          <w:tcPr>
            <w:tcW w:w="1234" w:type="dxa"/>
          </w:tcPr>
          <w:p w:rsidR="00DB0113" w:rsidRPr="0027736F" w:rsidRDefault="00DB0113" w:rsidP="00D3301F">
            <w:pPr>
              <w:spacing w:after="0" w:line="240" w:lineRule="auto"/>
              <w:rPr>
                <w:sz w:val="20"/>
              </w:rPr>
            </w:pPr>
            <w:r w:rsidRPr="0027736F">
              <w:rPr>
                <w:sz w:val="20"/>
              </w:rPr>
              <w:t>0</w:t>
            </w:r>
          </w:p>
        </w:tc>
      </w:tr>
      <w:tr w:rsidR="00DB0113" w:rsidRPr="0027736F" w:rsidTr="00184C22">
        <w:trPr>
          <w:trHeight w:val="380"/>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Водоснабжение и водоотведение</w:t>
            </w:r>
          </w:p>
        </w:tc>
        <w:tc>
          <w:tcPr>
            <w:tcW w:w="1661" w:type="dxa"/>
          </w:tcPr>
          <w:p w:rsidR="00DB0113" w:rsidRPr="00172CC9" w:rsidRDefault="00DB0113" w:rsidP="00D3301F">
            <w:pPr>
              <w:spacing w:after="0" w:line="240" w:lineRule="auto"/>
              <w:rPr>
                <w:sz w:val="20"/>
              </w:rPr>
            </w:pPr>
            <w:r w:rsidRPr="00172CC9">
              <w:rPr>
                <w:sz w:val="20"/>
              </w:rPr>
              <w:t>7</w:t>
            </w:r>
          </w:p>
        </w:tc>
        <w:tc>
          <w:tcPr>
            <w:tcW w:w="1183" w:type="dxa"/>
          </w:tcPr>
          <w:p w:rsidR="00DB0113" w:rsidRPr="00172CC9" w:rsidRDefault="00DB0113" w:rsidP="00D3301F">
            <w:pPr>
              <w:spacing w:after="0" w:line="240" w:lineRule="auto"/>
              <w:rPr>
                <w:sz w:val="20"/>
              </w:rPr>
            </w:pPr>
            <w:r w:rsidRPr="00172CC9">
              <w:rPr>
                <w:sz w:val="20"/>
              </w:rPr>
              <w:t>0</w:t>
            </w:r>
          </w:p>
        </w:tc>
        <w:tc>
          <w:tcPr>
            <w:tcW w:w="1197" w:type="dxa"/>
          </w:tcPr>
          <w:p w:rsidR="00DB0113" w:rsidRPr="00172CC9" w:rsidRDefault="00DB0113" w:rsidP="00D3301F">
            <w:pPr>
              <w:spacing w:after="0" w:line="240" w:lineRule="auto"/>
              <w:rPr>
                <w:sz w:val="20"/>
              </w:rPr>
            </w:pPr>
            <w:r w:rsidRPr="00172CC9">
              <w:rPr>
                <w:sz w:val="20"/>
              </w:rPr>
              <w:t>4</w:t>
            </w:r>
          </w:p>
        </w:tc>
        <w:tc>
          <w:tcPr>
            <w:tcW w:w="1322" w:type="dxa"/>
          </w:tcPr>
          <w:p w:rsidR="00DB0113" w:rsidRPr="00E603B0" w:rsidRDefault="00DB0113" w:rsidP="00D3301F">
            <w:pPr>
              <w:spacing w:after="0" w:line="240" w:lineRule="auto"/>
              <w:rPr>
                <w:sz w:val="20"/>
              </w:rPr>
            </w:pPr>
            <w:r w:rsidRPr="00E603B0">
              <w:rPr>
                <w:sz w:val="20"/>
              </w:rPr>
              <w:t>60</w:t>
            </w:r>
          </w:p>
        </w:tc>
        <w:tc>
          <w:tcPr>
            <w:tcW w:w="1146" w:type="dxa"/>
          </w:tcPr>
          <w:p w:rsidR="00DB0113" w:rsidRPr="00E603B0" w:rsidRDefault="00DB0113" w:rsidP="00D3301F">
            <w:pPr>
              <w:spacing w:after="0" w:line="240" w:lineRule="auto"/>
              <w:rPr>
                <w:sz w:val="20"/>
              </w:rPr>
            </w:pPr>
            <w:r w:rsidRPr="00E603B0">
              <w:rPr>
                <w:sz w:val="20"/>
              </w:rPr>
              <w:t>10</w:t>
            </w:r>
          </w:p>
        </w:tc>
        <w:tc>
          <w:tcPr>
            <w:tcW w:w="1234" w:type="dxa"/>
          </w:tcPr>
          <w:p w:rsidR="00DB0113" w:rsidRPr="0027736F" w:rsidRDefault="00DB0113" w:rsidP="00D3301F">
            <w:pPr>
              <w:spacing w:after="0" w:line="240" w:lineRule="auto"/>
              <w:rPr>
                <w:sz w:val="20"/>
              </w:rPr>
            </w:pPr>
            <w:r>
              <w:rPr>
                <w:sz w:val="20"/>
              </w:rPr>
              <w:t>50</w:t>
            </w:r>
          </w:p>
        </w:tc>
      </w:tr>
      <w:tr w:rsidR="00DB0113" w:rsidRPr="0027736F" w:rsidTr="00184C22">
        <w:trPr>
          <w:trHeight w:val="211"/>
          <w:jc w:val="center"/>
        </w:trPr>
        <w:tc>
          <w:tcPr>
            <w:tcW w:w="1603" w:type="dxa"/>
          </w:tcPr>
          <w:p w:rsidR="00DB0113" w:rsidRPr="0027736F" w:rsidRDefault="00DB0113" w:rsidP="00D3301F">
            <w:pPr>
              <w:spacing w:after="0" w:line="240" w:lineRule="auto"/>
              <w:jc w:val="both"/>
              <w:rPr>
                <w:sz w:val="18"/>
                <w:szCs w:val="18"/>
              </w:rPr>
            </w:pPr>
            <w:r>
              <w:rPr>
                <w:sz w:val="18"/>
                <w:szCs w:val="18"/>
              </w:rPr>
              <w:t>Газоснабжение</w:t>
            </w:r>
          </w:p>
        </w:tc>
        <w:tc>
          <w:tcPr>
            <w:tcW w:w="1661" w:type="dxa"/>
          </w:tcPr>
          <w:p w:rsidR="00DB0113" w:rsidRPr="00172CC9" w:rsidRDefault="00DB0113" w:rsidP="00D3301F">
            <w:pPr>
              <w:spacing w:after="0" w:line="240" w:lineRule="auto"/>
              <w:rPr>
                <w:sz w:val="20"/>
              </w:rPr>
            </w:pPr>
            <w:r w:rsidRPr="00172CC9">
              <w:rPr>
                <w:sz w:val="20"/>
              </w:rPr>
              <w:t>1</w:t>
            </w:r>
          </w:p>
        </w:tc>
        <w:tc>
          <w:tcPr>
            <w:tcW w:w="1183" w:type="dxa"/>
          </w:tcPr>
          <w:p w:rsidR="00DB0113" w:rsidRPr="00172CC9" w:rsidRDefault="00DB0113" w:rsidP="00D3301F">
            <w:pPr>
              <w:spacing w:after="0" w:line="240" w:lineRule="auto"/>
              <w:rPr>
                <w:sz w:val="20"/>
              </w:rPr>
            </w:pPr>
            <w:r>
              <w:rPr>
                <w:sz w:val="20"/>
              </w:rPr>
              <w:t>0</w:t>
            </w:r>
          </w:p>
        </w:tc>
        <w:tc>
          <w:tcPr>
            <w:tcW w:w="1197" w:type="dxa"/>
          </w:tcPr>
          <w:p w:rsidR="00DB0113" w:rsidRPr="00172CC9" w:rsidRDefault="00DB0113" w:rsidP="00D3301F">
            <w:pPr>
              <w:spacing w:after="0" w:line="240" w:lineRule="auto"/>
              <w:rPr>
                <w:sz w:val="20"/>
              </w:rPr>
            </w:pPr>
            <w:r w:rsidRPr="00172CC9">
              <w:rPr>
                <w:sz w:val="20"/>
              </w:rPr>
              <w:t>1</w:t>
            </w:r>
          </w:p>
        </w:tc>
        <w:tc>
          <w:tcPr>
            <w:tcW w:w="1322" w:type="dxa"/>
          </w:tcPr>
          <w:p w:rsidR="00DB0113" w:rsidRPr="00E603B0" w:rsidRDefault="00DB0113" w:rsidP="00D3301F">
            <w:pPr>
              <w:spacing w:after="0" w:line="240" w:lineRule="auto"/>
              <w:rPr>
                <w:sz w:val="20"/>
              </w:rPr>
            </w:pPr>
            <w:r w:rsidRPr="00E603B0">
              <w:rPr>
                <w:sz w:val="20"/>
              </w:rPr>
              <w:t>0</w:t>
            </w:r>
          </w:p>
        </w:tc>
        <w:tc>
          <w:tcPr>
            <w:tcW w:w="1146" w:type="dxa"/>
          </w:tcPr>
          <w:p w:rsidR="00DB0113" w:rsidRPr="00E603B0" w:rsidRDefault="00DB0113" w:rsidP="00D3301F">
            <w:pPr>
              <w:spacing w:after="0" w:line="240" w:lineRule="auto"/>
              <w:rPr>
                <w:sz w:val="20"/>
              </w:rPr>
            </w:pPr>
            <w:r w:rsidRPr="00E603B0">
              <w:rPr>
                <w:sz w:val="20"/>
              </w:rPr>
              <w:t>0</w:t>
            </w:r>
          </w:p>
        </w:tc>
        <w:tc>
          <w:tcPr>
            <w:tcW w:w="1234" w:type="dxa"/>
          </w:tcPr>
          <w:p w:rsidR="00DB0113" w:rsidRPr="0027736F" w:rsidRDefault="00DB0113" w:rsidP="00D3301F">
            <w:pPr>
              <w:spacing w:after="0" w:line="240" w:lineRule="auto"/>
              <w:rPr>
                <w:sz w:val="20"/>
              </w:rPr>
            </w:pPr>
          </w:p>
        </w:tc>
      </w:tr>
      <w:tr w:rsidR="00DB0113" w:rsidRPr="0027736F" w:rsidTr="00184C22">
        <w:trPr>
          <w:trHeight w:val="234"/>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Прочие</w:t>
            </w:r>
          </w:p>
        </w:tc>
        <w:tc>
          <w:tcPr>
            <w:tcW w:w="1661" w:type="dxa"/>
          </w:tcPr>
          <w:p w:rsidR="00DB0113" w:rsidRPr="00172CC9" w:rsidRDefault="00DB0113" w:rsidP="00D3301F">
            <w:pPr>
              <w:spacing w:after="0" w:line="240" w:lineRule="auto"/>
              <w:rPr>
                <w:sz w:val="20"/>
              </w:rPr>
            </w:pPr>
            <w:r w:rsidRPr="00172CC9">
              <w:rPr>
                <w:sz w:val="20"/>
              </w:rPr>
              <w:t>1</w:t>
            </w:r>
          </w:p>
        </w:tc>
        <w:tc>
          <w:tcPr>
            <w:tcW w:w="1183" w:type="dxa"/>
          </w:tcPr>
          <w:p w:rsidR="00DB0113" w:rsidRPr="00172CC9" w:rsidRDefault="00DB0113" w:rsidP="00D3301F">
            <w:pPr>
              <w:spacing w:after="0" w:line="240" w:lineRule="auto"/>
              <w:rPr>
                <w:sz w:val="20"/>
              </w:rPr>
            </w:pPr>
            <w:r w:rsidRPr="00172CC9">
              <w:rPr>
                <w:sz w:val="20"/>
              </w:rPr>
              <w:t>0</w:t>
            </w:r>
          </w:p>
        </w:tc>
        <w:tc>
          <w:tcPr>
            <w:tcW w:w="1197" w:type="dxa"/>
          </w:tcPr>
          <w:p w:rsidR="00DB0113" w:rsidRPr="00172CC9" w:rsidRDefault="00DB0113" w:rsidP="00D3301F">
            <w:pPr>
              <w:spacing w:after="0" w:line="240" w:lineRule="auto"/>
              <w:rPr>
                <w:sz w:val="20"/>
              </w:rPr>
            </w:pPr>
            <w:r w:rsidRPr="00172CC9">
              <w:rPr>
                <w:sz w:val="20"/>
              </w:rPr>
              <w:t>0</w:t>
            </w:r>
          </w:p>
        </w:tc>
        <w:tc>
          <w:tcPr>
            <w:tcW w:w="1322" w:type="dxa"/>
          </w:tcPr>
          <w:p w:rsidR="00DB0113" w:rsidRPr="00172CC9" w:rsidRDefault="00DB0113" w:rsidP="00D3301F">
            <w:pPr>
              <w:spacing w:after="0" w:line="240" w:lineRule="auto"/>
              <w:rPr>
                <w:sz w:val="20"/>
              </w:rPr>
            </w:pPr>
            <w:r w:rsidRPr="00172CC9">
              <w:rPr>
                <w:sz w:val="20"/>
              </w:rPr>
              <w:t>25</w:t>
            </w:r>
          </w:p>
        </w:tc>
        <w:tc>
          <w:tcPr>
            <w:tcW w:w="1146" w:type="dxa"/>
          </w:tcPr>
          <w:p w:rsidR="00DB0113" w:rsidRPr="00172CC9" w:rsidRDefault="00DB0113" w:rsidP="00D3301F">
            <w:pPr>
              <w:spacing w:after="0" w:line="240" w:lineRule="auto"/>
              <w:rPr>
                <w:sz w:val="20"/>
              </w:rPr>
            </w:pPr>
            <w:r w:rsidRPr="00172CC9">
              <w:rPr>
                <w:sz w:val="20"/>
              </w:rPr>
              <w:t>25</w:t>
            </w:r>
          </w:p>
        </w:tc>
        <w:tc>
          <w:tcPr>
            <w:tcW w:w="1234" w:type="dxa"/>
          </w:tcPr>
          <w:p w:rsidR="00DB0113" w:rsidRPr="0027736F" w:rsidRDefault="00DB0113" w:rsidP="00D3301F">
            <w:pPr>
              <w:spacing w:after="0" w:line="240" w:lineRule="auto"/>
              <w:rPr>
                <w:sz w:val="20"/>
              </w:rPr>
            </w:pPr>
            <w:r w:rsidRPr="0027736F">
              <w:rPr>
                <w:sz w:val="20"/>
              </w:rPr>
              <w:t>0</w:t>
            </w:r>
          </w:p>
        </w:tc>
      </w:tr>
      <w:tr w:rsidR="00DB0113" w:rsidRPr="0027736F" w:rsidTr="00184C22">
        <w:trPr>
          <w:trHeight w:val="211"/>
          <w:jc w:val="center"/>
        </w:trPr>
        <w:tc>
          <w:tcPr>
            <w:tcW w:w="1603" w:type="dxa"/>
          </w:tcPr>
          <w:p w:rsidR="00DB0113" w:rsidRPr="0027736F" w:rsidRDefault="00DB0113" w:rsidP="00D3301F">
            <w:pPr>
              <w:spacing w:after="0" w:line="240" w:lineRule="auto"/>
              <w:jc w:val="both"/>
              <w:rPr>
                <w:sz w:val="18"/>
                <w:szCs w:val="18"/>
              </w:rPr>
            </w:pPr>
            <w:r w:rsidRPr="0027736F">
              <w:rPr>
                <w:sz w:val="18"/>
                <w:szCs w:val="18"/>
              </w:rPr>
              <w:t>Итого:</w:t>
            </w:r>
          </w:p>
        </w:tc>
        <w:tc>
          <w:tcPr>
            <w:tcW w:w="1661" w:type="dxa"/>
          </w:tcPr>
          <w:p w:rsidR="00DB0113" w:rsidRPr="00E01FFA" w:rsidRDefault="00DB0113" w:rsidP="00D3301F">
            <w:pPr>
              <w:spacing w:after="0" w:line="240" w:lineRule="auto"/>
              <w:rPr>
                <w:sz w:val="20"/>
              </w:rPr>
            </w:pPr>
            <w:r w:rsidRPr="00E01FFA">
              <w:rPr>
                <w:sz w:val="20"/>
              </w:rPr>
              <w:t>30</w:t>
            </w:r>
          </w:p>
        </w:tc>
        <w:tc>
          <w:tcPr>
            <w:tcW w:w="1183" w:type="dxa"/>
          </w:tcPr>
          <w:p w:rsidR="00DB0113" w:rsidRPr="00E01FFA" w:rsidRDefault="00DB0113" w:rsidP="00D3301F">
            <w:pPr>
              <w:spacing w:after="0" w:line="240" w:lineRule="auto"/>
              <w:rPr>
                <w:sz w:val="20"/>
              </w:rPr>
            </w:pPr>
            <w:r w:rsidRPr="00E01FFA">
              <w:rPr>
                <w:sz w:val="20"/>
              </w:rPr>
              <w:t>0</w:t>
            </w:r>
          </w:p>
        </w:tc>
        <w:tc>
          <w:tcPr>
            <w:tcW w:w="1197" w:type="dxa"/>
          </w:tcPr>
          <w:p w:rsidR="00DB0113" w:rsidRPr="00E01FFA" w:rsidRDefault="00DB0113" w:rsidP="00D3301F">
            <w:pPr>
              <w:spacing w:after="0" w:line="240" w:lineRule="auto"/>
              <w:rPr>
                <w:sz w:val="20"/>
              </w:rPr>
            </w:pPr>
            <w:r w:rsidRPr="00E01FFA">
              <w:rPr>
                <w:sz w:val="20"/>
              </w:rPr>
              <w:t>23</w:t>
            </w:r>
          </w:p>
        </w:tc>
        <w:tc>
          <w:tcPr>
            <w:tcW w:w="1322" w:type="dxa"/>
          </w:tcPr>
          <w:p w:rsidR="00DB0113" w:rsidRPr="00E01FFA" w:rsidRDefault="00DB0113" w:rsidP="00D3301F">
            <w:pPr>
              <w:spacing w:after="0" w:line="240" w:lineRule="auto"/>
              <w:rPr>
                <w:sz w:val="20"/>
              </w:rPr>
            </w:pPr>
            <w:r w:rsidRPr="00E01FFA">
              <w:rPr>
                <w:sz w:val="20"/>
              </w:rPr>
              <w:t>290</w:t>
            </w:r>
          </w:p>
        </w:tc>
        <w:tc>
          <w:tcPr>
            <w:tcW w:w="1146" w:type="dxa"/>
          </w:tcPr>
          <w:p w:rsidR="00DB0113" w:rsidRPr="00E01FFA" w:rsidRDefault="00DB0113" w:rsidP="00D3301F">
            <w:pPr>
              <w:spacing w:after="0" w:line="240" w:lineRule="auto"/>
              <w:rPr>
                <w:sz w:val="20"/>
              </w:rPr>
            </w:pPr>
            <w:r w:rsidRPr="00E01FFA">
              <w:rPr>
                <w:sz w:val="20"/>
              </w:rPr>
              <w:t>240</w:t>
            </w:r>
          </w:p>
        </w:tc>
        <w:tc>
          <w:tcPr>
            <w:tcW w:w="1234" w:type="dxa"/>
          </w:tcPr>
          <w:p w:rsidR="00DB0113" w:rsidRPr="0027736F" w:rsidRDefault="00DB0113" w:rsidP="00D3301F">
            <w:pPr>
              <w:spacing w:after="0" w:line="240" w:lineRule="auto"/>
              <w:rPr>
                <w:sz w:val="20"/>
              </w:rPr>
            </w:pPr>
            <w:r>
              <w:rPr>
                <w:sz w:val="20"/>
              </w:rPr>
              <w:t>50</w:t>
            </w:r>
          </w:p>
        </w:tc>
      </w:tr>
    </w:tbl>
    <w:p w:rsidR="00DB0113" w:rsidRPr="00F953B1" w:rsidRDefault="00DB0113" w:rsidP="00DB0113">
      <w:pPr>
        <w:pStyle w:val="ConsPlusNormal"/>
        <w:jc w:val="center"/>
        <w:rPr>
          <w:rFonts w:ascii="Times New Roman" w:hAnsi="Times New Roman" w:cs="Times New Roman"/>
          <w:sz w:val="24"/>
          <w:szCs w:val="24"/>
        </w:rPr>
      </w:pPr>
      <w:r w:rsidRPr="00F953B1">
        <w:rPr>
          <w:rFonts w:ascii="Times New Roman" w:hAnsi="Times New Roman" w:cs="Times New Roman"/>
          <w:sz w:val="24"/>
          <w:szCs w:val="24"/>
        </w:rPr>
        <w:t xml:space="preserve">Структура административных правонарушений по составам правонарушений, предусмотренным КоАП РФ, за 2024 </w:t>
      </w:r>
      <w:r>
        <w:rPr>
          <w:rFonts w:ascii="Times New Roman" w:hAnsi="Times New Roman" w:cs="Times New Roman"/>
          <w:sz w:val="24"/>
          <w:szCs w:val="24"/>
        </w:rPr>
        <w:t xml:space="preserve">год (в сравнении с 2023 годом) </w:t>
      </w:r>
    </w:p>
    <w:tbl>
      <w:tblPr>
        <w:tblW w:w="9368" w:type="dxa"/>
        <w:tblInd w:w="96" w:type="dxa"/>
        <w:tblLayout w:type="fixed"/>
        <w:tblLook w:val="04A0" w:firstRow="1" w:lastRow="0" w:firstColumn="1" w:lastColumn="0" w:noHBand="0" w:noVBand="1"/>
      </w:tblPr>
      <w:tblGrid>
        <w:gridCol w:w="6815"/>
        <w:gridCol w:w="1135"/>
        <w:gridCol w:w="1418"/>
      </w:tblGrid>
      <w:tr w:rsidR="00DB0113" w:rsidRPr="00091110" w:rsidTr="00184C22">
        <w:trPr>
          <w:trHeight w:val="199"/>
        </w:trPr>
        <w:tc>
          <w:tcPr>
            <w:tcW w:w="6815" w:type="dxa"/>
            <w:vMerge w:val="restart"/>
            <w:tcBorders>
              <w:top w:val="single" w:sz="4" w:space="0" w:color="auto"/>
              <w:left w:val="single" w:sz="4" w:space="0" w:color="auto"/>
              <w:right w:val="single" w:sz="4" w:space="0" w:color="auto"/>
            </w:tcBorders>
            <w:shd w:val="clear" w:color="auto" w:fill="auto"/>
            <w:vAlign w:val="center"/>
            <w:hideMark/>
          </w:tcPr>
          <w:p w:rsidR="00DB0113" w:rsidRPr="00091110" w:rsidRDefault="00DB0113" w:rsidP="00D3301F">
            <w:pPr>
              <w:spacing w:after="0" w:line="240" w:lineRule="auto"/>
              <w:rPr>
                <w:color w:val="000000"/>
                <w:sz w:val="20"/>
              </w:rPr>
            </w:pPr>
            <w:r w:rsidRPr="00091110">
              <w:rPr>
                <w:color w:val="000000"/>
                <w:sz w:val="20"/>
              </w:rPr>
              <w:t>Наименование правонарушения (статья КоАП РФ)</w:t>
            </w:r>
          </w:p>
        </w:tc>
        <w:tc>
          <w:tcPr>
            <w:tcW w:w="2553" w:type="dxa"/>
            <w:gridSpan w:val="2"/>
            <w:tcBorders>
              <w:top w:val="single" w:sz="4" w:space="0" w:color="auto"/>
              <w:left w:val="nil"/>
              <w:bottom w:val="single" w:sz="4" w:space="0" w:color="auto"/>
              <w:right w:val="single" w:sz="4" w:space="0" w:color="auto"/>
            </w:tcBorders>
            <w:shd w:val="clear" w:color="auto" w:fill="auto"/>
            <w:noWrap/>
            <w:vAlign w:val="center"/>
            <w:hideMark/>
          </w:tcPr>
          <w:p w:rsidR="00DB0113" w:rsidRPr="00091110" w:rsidRDefault="00DB0113" w:rsidP="00D3301F">
            <w:pPr>
              <w:spacing w:after="0" w:line="240" w:lineRule="auto"/>
              <w:rPr>
                <w:color w:val="000000"/>
                <w:sz w:val="20"/>
                <w:lang w:val="en-US"/>
              </w:rPr>
            </w:pPr>
            <w:r w:rsidRPr="00091110">
              <w:rPr>
                <w:color w:val="000000"/>
                <w:sz w:val="20"/>
              </w:rPr>
              <w:t xml:space="preserve">Количество </w:t>
            </w:r>
            <w:r>
              <w:rPr>
                <w:color w:val="000000"/>
                <w:sz w:val="20"/>
              </w:rPr>
              <w:t xml:space="preserve">вынесенных </w:t>
            </w:r>
            <w:r w:rsidRPr="00091110">
              <w:rPr>
                <w:color w:val="000000"/>
                <w:sz w:val="20"/>
              </w:rPr>
              <w:t>постановлений</w:t>
            </w:r>
            <w:r>
              <w:rPr>
                <w:color w:val="000000"/>
                <w:sz w:val="20"/>
              </w:rPr>
              <w:t xml:space="preserve"> </w:t>
            </w:r>
          </w:p>
        </w:tc>
      </w:tr>
      <w:tr w:rsidR="00DB0113" w:rsidRPr="00260E18" w:rsidTr="00184C22">
        <w:trPr>
          <w:trHeight w:val="199"/>
        </w:trPr>
        <w:tc>
          <w:tcPr>
            <w:tcW w:w="6815" w:type="dxa"/>
            <w:vMerge/>
            <w:tcBorders>
              <w:left w:val="single" w:sz="4" w:space="0" w:color="auto"/>
              <w:bottom w:val="single" w:sz="4" w:space="0" w:color="auto"/>
              <w:right w:val="single" w:sz="4" w:space="0" w:color="auto"/>
            </w:tcBorders>
            <w:shd w:val="clear" w:color="auto" w:fill="auto"/>
            <w:vAlign w:val="center"/>
          </w:tcPr>
          <w:p w:rsidR="00DB0113" w:rsidRPr="0027736F" w:rsidRDefault="00DB0113" w:rsidP="00D3301F">
            <w:pPr>
              <w:spacing w:after="0" w:line="240" w:lineRule="auto"/>
              <w:rPr>
                <w:b/>
                <w:color w:val="000000"/>
                <w:sz w:val="20"/>
              </w:rPr>
            </w:pPr>
          </w:p>
        </w:tc>
        <w:tc>
          <w:tcPr>
            <w:tcW w:w="1135" w:type="dxa"/>
            <w:tcBorders>
              <w:top w:val="single" w:sz="4" w:space="0" w:color="auto"/>
              <w:left w:val="nil"/>
              <w:bottom w:val="single" w:sz="4" w:space="0" w:color="auto"/>
              <w:right w:val="single" w:sz="4" w:space="0" w:color="auto"/>
            </w:tcBorders>
            <w:shd w:val="clear" w:color="auto" w:fill="auto"/>
            <w:noWrap/>
            <w:vAlign w:val="center"/>
          </w:tcPr>
          <w:p w:rsidR="00DB0113" w:rsidRPr="00260E18" w:rsidRDefault="00DB0113" w:rsidP="00D3301F">
            <w:pPr>
              <w:spacing w:after="0" w:line="240" w:lineRule="auto"/>
              <w:rPr>
                <w:color w:val="000000"/>
                <w:sz w:val="20"/>
              </w:rPr>
            </w:pPr>
            <w:r w:rsidRPr="00260E18">
              <w:rPr>
                <w:color w:val="000000"/>
                <w:sz w:val="20"/>
              </w:rPr>
              <w:t xml:space="preserve">2023 год </w:t>
            </w:r>
          </w:p>
        </w:tc>
        <w:tc>
          <w:tcPr>
            <w:tcW w:w="1418" w:type="dxa"/>
            <w:tcBorders>
              <w:top w:val="single" w:sz="4" w:space="0" w:color="auto"/>
              <w:left w:val="nil"/>
              <w:bottom w:val="single" w:sz="4" w:space="0" w:color="auto"/>
              <w:right w:val="single" w:sz="4" w:space="0" w:color="auto"/>
            </w:tcBorders>
            <w:shd w:val="clear" w:color="auto" w:fill="auto"/>
            <w:vAlign w:val="center"/>
          </w:tcPr>
          <w:p w:rsidR="00DB0113" w:rsidRPr="00260E18" w:rsidRDefault="00DB0113" w:rsidP="00D3301F">
            <w:pPr>
              <w:spacing w:after="0" w:line="240" w:lineRule="auto"/>
              <w:rPr>
                <w:color w:val="000000"/>
                <w:sz w:val="20"/>
              </w:rPr>
            </w:pPr>
            <w:r w:rsidRPr="00260E18">
              <w:rPr>
                <w:color w:val="000000"/>
                <w:sz w:val="20"/>
              </w:rPr>
              <w:t>2024 год</w:t>
            </w:r>
          </w:p>
        </w:tc>
      </w:tr>
      <w:tr w:rsidR="00DB0113" w:rsidRPr="006F26EA" w:rsidTr="00184C22">
        <w:trPr>
          <w:trHeight w:val="291"/>
        </w:trPr>
        <w:tc>
          <w:tcPr>
            <w:tcW w:w="936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6F26EA" w:rsidRDefault="00DB0113" w:rsidP="00D3301F">
            <w:pPr>
              <w:spacing w:after="0" w:line="240" w:lineRule="auto"/>
              <w:rPr>
                <w:i/>
                <w:color w:val="000000"/>
                <w:sz w:val="20"/>
              </w:rPr>
            </w:pPr>
            <w:r w:rsidRPr="006F26EA">
              <w:rPr>
                <w:i/>
                <w:iCs/>
                <w:color w:val="000000"/>
                <w:sz w:val="20"/>
              </w:rPr>
              <w:t>1. По делам, возбужденным департаментом:</w:t>
            </w:r>
          </w:p>
        </w:tc>
      </w:tr>
      <w:tr w:rsidR="00DB0113" w:rsidRPr="0027736F" w:rsidTr="00184C22">
        <w:trPr>
          <w:trHeight w:val="370"/>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27736F" w:rsidRDefault="00DB0113" w:rsidP="00D3301F">
            <w:pPr>
              <w:spacing w:after="0" w:line="240" w:lineRule="auto"/>
              <w:jc w:val="both"/>
              <w:rPr>
                <w:color w:val="000000"/>
                <w:sz w:val="20"/>
              </w:rPr>
            </w:pPr>
            <w:r w:rsidRPr="0027736F">
              <w:rPr>
                <w:color w:val="000000"/>
                <w:sz w:val="20"/>
              </w:rPr>
              <w:t>Нарушение порядка ценообразования (статья 14.6 КоАП РФ)</w:t>
            </w:r>
          </w:p>
        </w:tc>
        <w:tc>
          <w:tcPr>
            <w:tcW w:w="1135" w:type="dxa"/>
            <w:tcBorders>
              <w:top w:val="single" w:sz="4" w:space="0" w:color="auto"/>
              <w:left w:val="nil"/>
              <w:bottom w:val="single" w:sz="4" w:space="0" w:color="auto"/>
              <w:right w:val="single" w:sz="4" w:space="0" w:color="auto"/>
            </w:tcBorders>
            <w:shd w:val="clear" w:color="auto" w:fill="auto"/>
            <w:noWrap/>
            <w:vAlign w:val="center"/>
          </w:tcPr>
          <w:p w:rsidR="00DB0113" w:rsidRPr="001D25D5" w:rsidRDefault="00DB0113" w:rsidP="00D3301F">
            <w:pPr>
              <w:spacing w:after="0" w:line="240" w:lineRule="auto"/>
              <w:rPr>
                <w:color w:val="000000"/>
                <w:sz w:val="20"/>
              </w:rPr>
            </w:pPr>
            <w:r>
              <w:rPr>
                <w:color w:val="000000"/>
                <w:sz w:val="20"/>
              </w:rPr>
              <w:t>1</w:t>
            </w:r>
          </w:p>
        </w:tc>
        <w:tc>
          <w:tcPr>
            <w:tcW w:w="1418" w:type="dxa"/>
            <w:tcBorders>
              <w:top w:val="single" w:sz="4" w:space="0" w:color="auto"/>
              <w:left w:val="nil"/>
              <w:bottom w:val="single" w:sz="4" w:space="0" w:color="auto"/>
              <w:right w:val="single" w:sz="4" w:space="0" w:color="auto"/>
            </w:tcBorders>
            <w:shd w:val="clear" w:color="auto" w:fill="auto"/>
          </w:tcPr>
          <w:p w:rsidR="00DB0113" w:rsidRPr="00304946" w:rsidRDefault="00DB0113" w:rsidP="00D3301F">
            <w:pPr>
              <w:spacing w:after="0" w:line="240" w:lineRule="auto"/>
              <w:rPr>
                <w:color w:val="000000"/>
                <w:sz w:val="6"/>
                <w:szCs w:val="6"/>
              </w:rPr>
            </w:pPr>
          </w:p>
          <w:p w:rsidR="00DB0113" w:rsidRPr="00296E25" w:rsidRDefault="00DB0113" w:rsidP="00D3301F">
            <w:pPr>
              <w:spacing w:after="0" w:line="240" w:lineRule="auto"/>
              <w:rPr>
                <w:color w:val="000000"/>
                <w:sz w:val="20"/>
              </w:rPr>
            </w:pPr>
            <w:r w:rsidRPr="00296E25">
              <w:rPr>
                <w:color w:val="000000"/>
                <w:sz w:val="20"/>
              </w:rPr>
              <w:t>0</w:t>
            </w:r>
          </w:p>
        </w:tc>
      </w:tr>
      <w:tr w:rsidR="00DB0113" w:rsidRPr="0027736F" w:rsidTr="00184C22">
        <w:trPr>
          <w:trHeight w:val="211"/>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27736F" w:rsidRDefault="00DB0113" w:rsidP="00D3301F">
            <w:pPr>
              <w:spacing w:after="0" w:line="240" w:lineRule="auto"/>
              <w:jc w:val="both"/>
              <w:rPr>
                <w:color w:val="000000"/>
                <w:sz w:val="20"/>
              </w:rPr>
            </w:pPr>
            <w:r w:rsidRPr="00DF2585">
              <w:rPr>
                <w:bCs/>
                <w:sz w:val="20"/>
              </w:rPr>
              <w:t>Нарушение стандартов раскрытия информации (статья 19.8.1 КоАП РФ)</w:t>
            </w:r>
          </w:p>
        </w:tc>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B0113" w:rsidRPr="001D25D5" w:rsidRDefault="00DB0113" w:rsidP="00D3301F">
            <w:pPr>
              <w:spacing w:after="0" w:line="240" w:lineRule="auto"/>
              <w:rPr>
                <w:color w:val="000000"/>
                <w:sz w:val="20"/>
              </w:rPr>
            </w:pPr>
            <w:r>
              <w:rPr>
                <w:color w:val="000000"/>
                <w:sz w:val="20"/>
              </w:rPr>
              <w:t>1</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DB0113" w:rsidRPr="00304946" w:rsidRDefault="00DB0113" w:rsidP="00D3301F">
            <w:pPr>
              <w:spacing w:after="0" w:line="240" w:lineRule="auto"/>
              <w:rPr>
                <w:color w:val="000000"/>
                <w:sz w:val="6"/>
                <w:szCs w:val="6"/>
              </w:rPr>
            </w:pPr>
          </w:p>
          <w:p w:rsidR="00DB0113" w:rsidRPr="00296E25" w:rsidRDefault="00DB0113" w:rsidP="00D3301F">
            <w:pPr>
              <w:spacing w:after="0" w:line="240" w:lineRule="auto"/>
              <w:rPr>
                <w:color w:val="000000"/>
                <w:sz w:val="20"/>
              </w:rPr>
            </w:pPr>
            <w:r w:rsidRPr="00296E25">
              <w:rPr>
                <w:color w:val="000000"/>
                <w:sz w:val="20"/>
              </w:rPr>
              <w:t>0</w:t>
            </w:r>
          </w:p>
        </w:tc>
      </w:tr>
      <w:tr w:rsidR="00DB0113" w:rsidRPr="0027736F" w:rsidTr="00184C22">
        <w:trPr>
          <w:trHeight w:val="826"/>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27736F" w:rsidRDefault="00DB0113" w:rsidP="00D3301F">
            <w:pPr>
              <w:spacing w:after="0" w:line="240" w:lineRule="auto"/>
              <w:jc w:val="both"/>
              <w:rPr>
                <w:color w:val="000000"/>
                <w:sz w:val="20"/>
              </w:rPr>
            </w:pPr>
            <w:r w:rsidRPr="0027736F">
              <w:rPr>
                <w:color w:val="000000"/>
                <w:sz w:val="20"/>
              </w:rPr>
              <w:t>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(статья 19.7.1. КоАП РФ)</w:t>
            </w:r>
          </w:p>
        </w:tc>
        <w:tc>
          <w:tcPr>
            <w:tcW w:w="1135" w:type="dxa"/>
            <w:tcBorders>
              <w:top w:val="single" w:sz="4" w:space="0" w:color="auto"/>
              <w:left w:val="nil"/>
              <w:bottom w:val="single" w:sz="4" w:space="0" w:color="auto"/>
              <w:right w:val="single" w:sz="4" w:space="0" w:color="auto"/>
            </w:tcBorders>
            <w:shd w:val="clear" w:color="auto" w:fill="auto"/>
            <w:noWrap/>
          </w:tcPr>
          <w:p w:rsidR="00DB0113" w:rsidRPr="001D25D5" w:rsidRDefault="00DB0113" w:rsidP="00D3301F">
            <w:pPr>
              <w:spacing w:after="0" w:line="240" w:lineRule="auto"/>
              <w:rPr>
                <w:sz w:val="20"/>
              </w:rPr>
            </w:pPr>
            <w:r>
              <w:rPr>
                <w:sz w:val="20"/>
              </w:rPr>
              <w:t>0</w:t>
            </w:r>
          </w:p>
        </w:tc>
        <w:tc>
          <w:tcPr>
            <w:tcW w:w="1418" w:type="dxa"/>
            <w:tcBorders>
              <w:top w:val="single" w:sz="4" w:space="0" w:color="auto"/>
              <w:left w:val="nil"/>
              <w:bottom w:val="single" w:sz="4" w:space="0" w:color="auto"/>
              <w:right w:val="single" w:sz="4" w:space="0" w:color="auto"/>
            </w:tcBorders>
            <w:shd w:val="clear" w:color="auto" w:fill="auto"/>
          </w:tcPr>
          <w:p w:rsidR="00DB0113" w:rsidRPr="00296E25" w:rsidRDefault="00DB0113" w:rsidP="00D3301F">
            <w:pPr>
              <w:spacing w:after="0" w:line="240" w:lineRule="auto"/>
              <w:rPr>
                <w:color w:val="000000"/>
                <w:sz w:val="20"/>
              </w:rPr>
            </w:pPr>
            <w:r w:rsidRPr="00296E25">
              <w:rPr>
                <w:color w:val="000000"/>
                <w:sz w:val="20"/>
              </w:rPr>
              <w:t>0</w:t>
            </w:r>
          </w:p>
        </w:tc>
      </w:tr>
      <w:tr w:rsidR="00DB0113" w:rsidRPr="0027736F" w:rsidTr="00184C22">
        <w:trPr>
          <w:trHeight w:val="549"/>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tcPr>
          <w:p w:rsidR="00DB0113" w:rsidRPr="0027736F" w:rsidRDefault="00DB0113" w:rsidP="00D3301F">
            <w:pPr>
              <w:spacing w:after="0" w:line="240" w:lineRule="auto"/>
              <w:jc w:val="both"/>
              <w:rPr>
                <w:color w:val="000000"/>
                <w:sz w:val="20"/>
              </w:rPr>
            </w:pPr>
            <w:r w:rsidRPr="00296E25">
              <w:rPr>
                <w:color w:val="000000"/>
                <w:sz w:val="20"/>
              </w:rPr>
              <w:t>Непредставление документов, истребованных департаментом при проведении проверки (статья 19.7 КоАП РФ)</w:t>
            </w:r>
          </w:p>
        </w:tc>
        <w:tc>
          <w:tcPr>
            <w:tcW w:w="1135" w:type="dxa"/>
            <w:tcBorders>
              <w:top w:val="single" w:sz="4" w:space="0" w:color="auto"/>
              <w:left w:val="nil"/>
              <w:bottom w:val="single" w:sz="4" w:space="0" w:color="auto"/>
              <w:right w:val="single" w:sz="4" w:space="0" w:color="auto"/>
            </w:tcBorders>
            <w:shd w:val="clear" w:color="auto" w:fill="auto"/>
            <w:noWrap/>
            <w:vAlign w:val="center"/>
          </w:tcPr>
          <w:p w:rsidR="00DB0113" w:rsidRPr="001D25D5" w:rsidRDefault="00DB0113" w:rsidP="00D3301F">
            <w:pPr>
              <w:spacing w:after="0" w:line="240" w:lineRule="auto"/>
              <w:rPr>
                <w:sz w:val="20"/>
              </w:rPr>
            </w:pPr>
            <w:r>
              <w:rPr>
                <w:sz w:val="20"/>
              </w:rPr>
              <w:t>1</w:t>
            </w:r>
          </w:p>
        </w:tc>
        <w:tc>
          <w:tcPr>
            <w:tcW w:w="1418" w:type="dxa"/>
            <w:tcBorders>
              <w:top w:val="single" w:sz="4" w:space="0" w:color="auto"/>
              <w:left w:val="nil"/>
              <w:bottom w:val="single" w:sz="4" w:space="0" w:color="auto"/>
              <w:right w:val="single" w:sz="4" w:space="0" w:color="auto"/>
            </w:tcBorders>
            <w:shd w:val="clear" w:color="auto" w:fill="auto"/>
          </w:tcPr>
          <w:p w:rsidR="00DB0113" w:rsidRPr="00304946" w:rsidRDefault="00DB0113" w:rsidP="00D3301F">
            <w:pPr>
              <w:spacing w:after="0" w:line="240" w:lineRule="auto"/>
              <w:rPr>
                <w:color w:val="000000"/>
                <w:sz w:val="14"/>
                <w:szCs w:val="14"/>
              </w:rPr>
            </w:pPr>
          </w:p>
          <w:p w:rsidR="00DB0113" w:rsidRPr="00296E25" w:rsidRDefault="00DB0113" w:rsidP="00D3301F">
            <w:pPr>
              <w:spacing w:after="0" w:line="240" w:lineRule="auto"/>
              <w:rPr>
                <w:color w:val="000000"/>
                <w:sz w:val="20"/>
              </w:rPr>
            </w:pPr>
            <w:r>
              <w:rPr>
                <w:color w:val="000000"/>
                <w:sz w:val="20"/>
              </w:rPr>
              <w:t>0</w:t>
            </w:r>
          </w:p>
        </w:tc>
      </w:tr>
      <w:tr w:rsidR="00DB0113" w:rsidRPr="006F26EA" w:rsidTr="00184C22">
        <w:trPr>
          <w:trHeight w:val="275"/>
        </w:trPr>
        <w:tc>
          <w:tcPr>
            <w:tcW w:w="936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6F26EA" w:rsidRDefault="00DB0113" w:rsidP="00D3301F">
            <w:pPr>
              <w:pStyle w:val="ae"/>
              <w:spacing w:after="0" w:line="240" w:lineRule="auto"/>
              <w:ind w:left="0"/>
              <w:jc w:val="center"/>
              <w:rPr>
                <w:rFonts w:ascii="Times New Roman" w:hAnsi="Times New Roman"/>
                <w:i/>
                <w:iCs/>
                <w:color w:val="000000"/>
                <w:sz w:val="20"/>
                <w:highlight w:val="yellow"/>
              </w:rPr>
            </w:pPr>
            <w:r w:rsidRPr="006F26EA">
              <w:rPr>
                <w:rFonts w:ascii="Times New Roman" w:hAnsi="Times New Roman"/>
                <w:i/>
                <w:iCs/>
                <w:color w:val="000000"/>
                <w:sz w:val="20"/>
              </w:rPr>
              <w:t xml:space="preserve">2. По делам, возбужденным органами прокуратуры </w:t>
            </w:r>
            <w:r w:rsidRPr="006F26EA">
              <w:rPr>
                <w:rFonts w:ascii="Times New Roman" w:hAnsi="Times New Roman"/>
                <w:i/>
                <w:sz w:val="20"/>
                <w:szCs w:val="20"/>
              </w:rPr>
              <w:t>Новосибирской области</w:t>
            </w:r>
            <w:r w:rsidRPr="006F26EA">
              <w:rPr>
                <w:rFonts w:ascii="Times New Roman" w:hAnsi="Times New Roman"/>
                <w:i/>
                <w:iCs/>
                <w:color w:val="000000"/>
                <w:sz w:val="20"/>
                <w:szCs w:val="20"/>
              </w:rPr>
              <w:t>:</w:t>
            </w:r>
          </w:p>
        </w:tc>
      </w:tr>
      <w:tr w:rsidR="00DB0113" w:rsidRPr="0027736F" w:rsidTr="00184C22">
        <w:trPr>
          <w:trHeight w:val="231"/>
        </w:trPr>
        <w:tc>
          <w:tcPr>
            <w:tcW w:w="6815" w:type="dxa"/>
            <w:tcBorders>
              <w:top w:val="nil"/>
              <w:left w:val="single" w:sz="4" w:space="0" w:color="auto"/>
              <w:bottom w:val="single" w:sz="4" w:space="0" w:color="auto"/>
              <w:right w:val="single" w:sz="4" w:space="0" w:color="auto"/>
            </w:tcBorders>
            <w:shd w:val="clear" w:color="auto" w:fill="auto"/>
            <w:vAlign w:val="center"/>
            <w:hideMark/>
          </w:tcPr>
          <w:p w:rsidR="00DB0113" w:rsidRPr="00DF2585" w:rsidRDefault="00DB0113" w:rsidP="00D3301F">
            <w:pPr>
              <w:spacing w:after="0" w:line="240" w:lineRule="auto"/>
              <w:jc w:val="both"/>
              <w:rPr>
                <w:color w:val="000000"/>
                <w:sz w:val="20"/>
              </w:rPr>
            </w:pPr>
            <w:r w:rsidRPr="00DF2585">
              <w:rPr>
                <w:color w:val="000000"/>
                <w:sz w:val="20"/>
              </w:rPr>
              <w:t>Нарушение порядка ценообразования (статья 14.6 КоАП РФ)</w:t>
            </w:r>
          </w:p>
        </w:tc>
        <w:tc>
          <w:tcPr>
            <w:tcW w:w="1135" w:type="dxa"/>
            <w:tcBorders>
              <w:top w:val="nil"/>
              <w:left w:val="nil"/>
              <w:bottom w:val="single" w:sz="4" w:space="0" w:color="auto"/>
              <w:right w:val="single" w:sz="4" w:space="0" w:color="auto"/>
            </w:tcBorders>
            <w:shd w:val="clear" w:color="auto" w:fill="auto"/>
            <w:noWrap/>
            <w:vAlign w:val="center"/>
          </w:tcPr>
          <w:p w:rsidR="00DB0113" w:rsidRPr="00337A18" w:rsidRDefault="00DB0113" w:rsidP="00D3301F">
            <w:pPr>
              <w:spacing w:after="0" w:line="240" w:lineRule="auto"/>
              <w:rPr>
                <w:color w:val="000000"/>
                <w:sz w:val="20"/>
              </w:rPr>
            </w:pPr>
            <w:r>
              <w:rPr>
                <w:color w:val="000000"/>
                <w:sz w:val="20"/>
              </w:rPr>
              <w:t>6</w:t>
            </w:r>
          </w:p>
        </w:tc>
        <w:tc>
          <w:tcPr>
            <w:tcW w:w="1418" w:type="dxa"/>
            <w:tcBorders>
              <w:top w:val="nil"/>
              <w:left w:val="nil"/>
              <w:bottom w:val="single" w:sz="4" w:space="0" w:color="auto"/>
              <w:right w:val="single" w:sz="4" w:space="0" w:color="auto"/>
            </w:tcBorders>
            <w:shd w:val="clear" w:color="auto" w:fill="auto"/>
          </w:tcPr>
          <w:p w:rsidR="00DB0113" w:rsidRPr="00296E25" w:rsidRDefault="00DB0113" w:rsidP="00D3301F">
            <w:pPr>
              <w:spacing w:after="0" w:line="240" w:lineRule="auto"/>
              <w:rPr>
                <w:color w:val="000000"/>
                <w:sz w:val="20"/>
              </w:rPr>
            </w:pPr>
            <w:r w:rsidRPr="00296E25">
              <w:rPr>
                <w:color w:val="000000"/>
                <w:sz w:val="20"/>
              </w:rPr>
              <w:t>19</w:t>
            </w:r>
          </w:p>
        </w:tc>
      </w:tr>
      <w:tr w:rsidR="00DB0113" w:rsidRPr="0027736F" w:rsidTr="00184C22">
        <w:trPr>
          <w:trHeight w:val="239"/>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DF2585" w:rsidRDefault="00DB0113" w:rsidP="00D3301F">
            <w:pPr>
              <w:autoSpaceDE w:val="0"/>
              <w:autoSpaceDN w:val="0"/>
              <w:adjustRightInd w:val="0"/>
              <w:spacing w:after="0" w:line="240" w:lineRule="auto"/>
              <w:jc w:val="both"/>
              <w:outlineLvl w:val="0"/>
              <w:rPr>
                <w:bCs/>
                <w:sz w:val="20"/>
              </w:rPr>
            </w:pPr>
            <w:r w:rsidRPr="00DF2585">
              <w:rPr>
                <w:bCs/>
                <w:sz w:val="20"/>
              </w:rPr>
              <w:t>Нарушение стандартов раскрытия информации (статья 19.8.1 КоАП РФ)</w:t>
            </w:r>
          </w:p>
        </w:tc>
        <w:tc>
          <w:tcPr>
            <w:tcW w:w="1135" w:type="dxa"/>
            <w:tcBorders>
              <w:top w:val="nil"/>
              <w:left w:val="nil"/>
              <w:bottom w:val="single" w:sz="4" w:space="0" w:color="auto"/>
              <w:right w:val="single" w:sz="4" w:space="0" w:color="auto"/>
            </w:tcBorders>
            <w:shd w:val="clear" w:color="auto" w:fill="auto"/>
            <w:noWrap/>
            <w:vAlign w:val="center"/>
          </w:tcPr>
          <w:p w:rsidR="00DB0113" w:rsidRPr="00337A18" w:rsidRDefault="00DB0113" w:rsidP="00D3301F">
            <w:pPr>
              <w:spacing w:after="0" w:line="240" w:lineRule="auto"/>
              <w:rPr>
                <w:color w:val="000000"/>
                <w:sz w:val="20"/>
              </w:rPr>
            </w:pPr>
            <w:r>
              <w:rPr>
                <w:color w:val="000000"/>
                <w:sz w:val="20"/>
              </w:rPr>
              <w:t>6</w:t>
            </w:r>
          </w:p>
        </w:tc>
        <w:tc>
          <w:tcPr>
            <w:tcW w:w="1418" w:type="dxa"/>
            <w:tcBorders>
              <w:top w:val="nil"/>
              <w:left w:val="nil"/>
              <w:bottom w:val="single" w:sz="4" w:space="0" w:color="auto"/>
              <w:right w:val="single" w:sz="4" w:space="0" w:color="auto"/>
            </w:tcBorders>
            <w:shd w:val="clear" w:color="auto" w:fill="auto"/>
          </w:tcPr>
          <w:p w:rsidR="00DB0113" w:rsidRPr="00304946" w:rsidRDefault="00DB0113" w:rsidP="00D3301F">
            <w:pPr>
              <w:spacing w:after="0" w:line="240" w:lineRule="auto"/>
              <w:rPr>
                <w:color w:val="000000"/>
                <w:sz w:val="10"/>
                <w:szCs w:val="10"/>
              </w:rPr>
            </w:pPr>
          </w:p>
          <w:p w:rsidR="00DB0113" w:rsidRPr="00296E25" w:rsidRDefault="00DB0113" w:rsidP="00D3301F">
            <w:pPr>
              <w:spacing w:after="0" w:line="240" w:lineRule="auto"/>
              <w:rPr>
                <w:color w:val="000000"/>
                <w:sz w:val="20"/>
              </w:rPr>
            </w:pPr>
            <w:r w:rsidRPr="00296E25">
              <w:rPr>
                <w:color w:val="000000"/>
                <w:sz w:val="20"/>
              </w:rPr>
              <w:t>3</w:t>
            </w:r>
          </w:p>
        </w:tc>
      </w:tr>
      <w:tr w:rsidR="00DB0113" w:rsidRPr="0027736F" w:rsidTr="00184C22">
        <w:trPr>
          <w:trHeight w:val="239"/>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tcPr>
          <w:p w:rsidR="00DB0113" w:rsidRPr="00DF2585" w:rsidRDefault="00DB0113" w:rsidP="00D3301F">
            <w:pPr>
              <w:autoSpaceDE w:val="0"/>
              <w:autoSpaceDN w:val="0"/>
              <w:adjustRightInd w:val="0"/>
              <w:spacing w:after="0" w:line="240" w:lineRule="auto"/>
              <w:jc w:val="both"/>
              <w:outlineLvl w:val="0"/>
              <w:rPr>
                <w:bCs/>
                <w:sz w:val="20"/>
              </w:rPr>
            </w:pPr>
            <w:r w:rsidRPr="00DF2585">
              <w:rPr>
                <w:bCs/>
                <w:sz w:val="20"/>
              </w:rPr>
              <w:t>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(статья 19.7.1 КоАП РФ)</w:t>
            </w:r>
          </w:p>
        </w:tc>
        <w:tc>
          <w:tcPr>
            <w:tcW w:w="1135" w:type="dxa"/>
            <w:tcBorders>
              <w:top w:val="nil"/>
              <w:left w:val="nil"/>
              <w:bottom w:val="single" w:sz="4" w:space="0" w:color="auto"/>
              <w:right w:val="single" w:sz="4" w:space="0" w:color="auto"/>
            </w:tcBorders>
            <w:shd w:val="clear" w:color="auto" w:fill="auto"/>
            <w:noWrap/>
          </w:tcPr>
          <w:p w:rsidR="00DB0113" w:rsidRPr="001D25D5" w:rsidRDefault="00DB0113" w:rsidP="00D3301F">
            <w:pPr>
              <w:spacing w:after="0" w:line="240" w:lineRule="auto"/>
              <w:rPr>
                <w:color w:val="000000"/>
                <w:sz w:val="20"/>
                <w:highlight w:val="yellow"/>
              </w:rPr>
            </w:pPr>
            <w:r w:rsidRPr="00296E25">
              <w:rPr>
                <w:color w:val="000000"/>
                <w:sz w:val="20"/>
              </w:rPr>
              <w:t>15</w:t>
            </w:r>
          </w:p>
        </w:tc>
        <w:tc>
          <w:tcPr>
            <w:tcW w:w="1418" w:type="dxa"/>
            <w:tcBorders>
              <w:top w:val="nil"/>
              <w:left w:val="nil"/>
              <w:bottom w:val="single" w:sz="4" w:space="0" w:color="auto"/>
              <w:right w:val="single" w:sz="4" w:space="0" w:color="auto"/>
            </w:tcBorders>
            <w:shd w:val="clear" w:color="auto" w:fill="auto"/>
          </w:tcPr>
          <w:p w:rsidR="00DB0113" w:rsidRPr="00296E25" w:rsidRDefault="00DB0113" w:rsidP="00D3301F">
            <w:pPr>
              <w:spacing w:after="0" w:line="240" w:lineRule="auto"/>
              <w:rPr>
                <w:color w:val="000000"/>
                <w:sz w:val="20"/>
              </w:rPr>
            </w:pPr>
            <w:r w:rsidRPr="00296E25">
              <w:rPr>
                <w:color w:val="000000"/>
                <w:sz w:val="20"/>
              </w:rPr>
              <w:t>7</w:t>
            </w:r>
          </w:p>
        </w:tc>
      </w:tr>
      <w:tr w:rsidR="00DB0113" w:rsidRPr="0027736F" w:rsidTr="00184C22">
        <w:trPr>
          <w:trHeight w:val="239"/>
        </w:trPr>
        <w:tc>
          <w:tcPr>
            <w:tcW w:w="68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0113" w:rsidRPr="00DF2585" w:rsidRDefault="00DB0113" w:rsidP="00D3301F">
            <w:pPr>
              <w:autoSpaceDE w:val="0"/>
              <w:autoSpaceDN w:val="0"/>
              <w:adjustRightInd w:val="0"/>
              <w:spacing w:after="0" w:line="240" w:lineRule="auto"/>
              <w:jc w:val="both"/>
              <w:rPr>
                <w:bCs/>
                <w:sz w:val="20"/>
              </w:rPr>
            </w:pPr>
            <w:r>
              <w:rPr>
                <w:sz w:val="20"/>
              </w:rPr>
              <w:t xml:space="preserve">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(часть 10 статьи </w:t>
            </w:r>
            <w:r w:rsidRPr="00435A08">
              <w:rPr>
                <w:bCs/>
                <w:sz w:val="20"/>
              </w:rPr>
              <w:t xml:space="preserve">9.16 </w:t>
            </w:r>
            <w:r>
              <w:rPr>
                <w:bCs/>
                <w:sz w:val="20"/>
              </w:rPr>
              <w:t xml:space="preserve">КоАП </w:t>
            </w:r>
            <w:r>
              <w:rPr>
                <w:bCs/>
                <w:sz w:val="20"/>
              </w:rPr>
              <w:lastRenderedPageBreak/>
              <w:t>РФ)</w:t>
            </w:r>
          </w:p>
        </w:tc>
        <w:tc>
          <w:tcPr>
            <w:tcW w:w="1135" w:type="dxa"/>
            <w:tcBorders>
              <w:top w:val="nil"/>
              <w:left w:val="nil"/>
              <w:bottom w:val="single" w:sz="4" w:space="0" w:color="auto"/>
              <w:right w:val="single" w:sz="4" w:space="0" w:color="auto"/>
            </w:tcBorders>
            <w:shd w:val="clear" w:color="auto" w:fill="auto"/>
            <w:noWrap/>
          </w:tcPr>
          <w:p w:rsidR="00DB0113" w:rsidRPr="001D25D5" w:rsidRDefault="00DB0113" w:rsidP="00D3301F">
            <w:pPr>
              <w:spacing w:after="0" w:line="240" w:lineRule="auto"/>
              <w:rPr>
                <w:color w:val="000000"/>
                <w:sz w:val="20"/>
                <w:highlight w:val="yellow"/>
              </w:rPr>
            </w:pPr>
            <w:r w:rsidRPr="00304946">
              <w:rPr>
                <w:color w:val="000000"/>
                <w:sz w:val="20"/>
              </w:rPr>
              <w:lastRenderedPageBreak/>
              <w:t>0</w:t>
            </w:r>
          </w:p>
        </w:tc>
        <w:tc>
          <w:tcPr>
            <w:tcW w:w="1418" w:type="dxa"/>
            <w:tcBorders>
              <w:top w:val="nil"/>
              <w:left w:val="nil"/>
              <w:bottom w:val="single" w:sz="4" w:space="0" w:color="auto"/>
              <w:right w:val="single" w:sz="4" w:space="0" w:color="auto"/>
            </w:tcBorders>
            <w:shd w:val="clear" w:color="auto" w:fill="auto"/>
          </w:tcPr>
          <w:p w:rsidR="00DB0113" w:rsidRPr="00296E25" w:rsidRDefault="00DB0113" w:rsidP="00D3301F">
            <w:pPr>
              <w:spacing w:after="0" w:line="240" w:lineRule="auto"/>
              <w:rPr>
                <w:color w:val="000000"/>
                <w:sz w:val="20"/>
              </w:rPr>
            </w:pPr>
            <w:r w:rsidRPr="00296E25">
              <w:rPr>
                <w:color w:val="000000"/>
                <w:sz w:val="20"/>
              </w:rPr>
              <w:t>1</w:t>
            </w:r>
          </w:p>
        </w:tc>
      </w:tr>
    </w:tbl>
    <w:p w:rsidR="00DB0113" w:rsidRPr="0027736F" w:rsidRDefault="00DB0113" w:rsidP="00DB0113">
      <w:pPr>
        <w:pStyle w:val="ConsPlusNormal"/>
        <w:ind w:firstLine="709"/>
        <w:jc w:val="both"/>
        <w:rPr>
          <w:rFonts w:ascii="Times New Roman" w:hAnsi="Times New Roman" w:cs="Times New Roman"/>
          <w:sz w:val="28"/>
          <w:szCs w:val="28"/>
        </w:rPr>
      </w:pPr>
      <w:r w:rsidRPr="006F6DF1">
        <w:rPr>
          <w:rFonts w:ascii="Times New Roman" w:hAnsi="Times New Roman" w:cs="Times New Roman"/>
          <w:sz w:val="28"/>
          <w:szCs w:val="28"/>
        </w:rPr>
        <w:lastRenderedPageBreak/>
        <w:t>В 202</w:t>
      </w:r>
      <w:r>
        <w:rPr>
          <w:rFonts w:ascii="Times New Roman" w:hAnsi="Times New Roman" w:cs="Times New Roman"/>
          <w:sz w:val="28"/>
          <w:szCs w:val="28"/>
        </w:rPr>
        <w:t>4</w:t>
      </w:r>
      <w:r w:rsidRPr="006F6DF1">
        <w:rPr>
          <w:rFonts w:ascii="Times New Roman" w:hAnsi="Times New Roman" w:cs="Times New Roman"/>
          <w:sz w:val="28"/>
          <w:szCs w:val="28"/>
        </w:rPr>
        <w:t xml:space="preserve"> году в суде оспаривалось </w:t>
      </w:r>
      <w:r>
        <w:rPr>
          <w:rFonts w:ascii="Times New Roman" w:hAnsi="Times New Roman" w:cs="Times New Roman"/>
          <w:sz w:val="28"/>
          <w:szCs w:val="28"/>
        </w:rPr>
        <w:t>3</w:t>
      </w:r>
      <w:r w:rsidRPr="006F6DF1">
        <w:rPr>
          <w:rFonts w:ascii="Times New Roman" w:hAnsi="Times New Roman" w:cs="Times New Roman"/>
          <w:sz w:val="28"/>
          <w:szCs w:val="28"/>
        </w:rPr>
        <w:t xml:space="preserve"> постановлени</w:t>
      </w:r>
      <w:r>
        <w:rPr>
          <w:rFonts w:ascii="Times New Roman" w:hAnsi="Times New Roman" w:cs="Times New Roman"/>
          <w:sz w:val="28"/>
          <w:szCs w:val="28"/>
        </w:rPr>
        <w:t>я</w:t>
      </w:r>
      <w:r w:rsidRPr="006F6DF1">
        <w:rPr>
          <w:rFonts w:ascii="Times New Roman" w:hAnsi="Times New Roman" w:cs="Times New Roman"/>
          <w:sz w:val="28"/>
          <w:szCs w:val="28"/>
        </w:rPr>
        <w:t xml:space="preserve"> о привлечении</w:t>
      </w:r>
      <w:r>
        <w:rPr>
          <w:rFonts w:ascii="Times New Roman" w:hAnsi="Times New Roman" w:cs="Times New Roman"/>
          <w:sz w:val="28"/>
          <w:szCs w:val="28"/>
        </w:rPr>
        <w:t xml:space="preserve"> департаментом юридических лиц </w:t>
      </w:r>
      <w:r w:rsidRPr="006F6DF1">
        <w:rPr>
          <w:rFonts w:ascii="Times New Roman" w:hAnsi="Times New Roman" w:cs="Times New Roman"/>
          <w:sz w:val="28"/>
          <w:szCs w:val="28"/>
        </w:rPr>
        <w:t xml:space="preserve">к административной ответственности, </w:t>
      </w:r>
      <w:r>
        <w:rPr>
          <w:rFonts w:ascii="Times New Roman" w:hAnsi="Times New Roman" w:cs="Times New Roman"/>
          <w:sz w:val="28"/>
          <w:szCs w:val="28"/>
        </w:rPr>
        <w:t>из них 1</w:t>
      </w:r>
      <w:r w:rsidRPr="006F6DF1">
        <w:rPr>
          <w:rFonts w:ascii="Times New Roman" w:hAnsi="Times New Roman" w:cs="Times New Roman"/>
          <w:sz w:val="28"/>
          <w:szCs w:val="28"/>
        </w:rPr>
        <w:t xml:space="preserve"> постановлени</w:t>
      </w:r>
      <w:r>
        <w:rPr>
          <w:rFonts w:ascii="Times New Roman" w:hAnsi="Times New Roman" w:cs="Times New Roman"/>
          <w:sz w:val="28"/>
          <w:szCs w:val="28"/>
        </w:rPr>
        <w:t>е</w:t>
      </w:r>
      <w:r w:rsidRPr="006F6DF1">
        <w:rPr>
          <w:rFonts w:ascii="Times New Roman" w:hAnsi="Times New Roman" w:cs="Times New Roman"/>
          <w:sz w:val="28"/>
          <w:szCs w:val="28"/>
        </w:rPr>
        <w:t xml:space="preserve"> был</w:t>
      </w:r>
      <w:r>
        <w:rPr>
          <w:rFonts w:ascii="Times New Roman" w:hAnsi="Times New Roman" w:cs="Times New Roman"/>
          <w:sz w:val="28"/>
          <w:szCs w:val="28"/>
        </w:rPr>
        <w:t>о</w:t>
      </w:r>
      <w:r w:rsidRPr="006F6DF1">
        <w:rPr>
          <w:rFonts w:ascii="Times New Roman" w:hAnsi="Times New Roman" w:cs="Times New Roman"/>
          <w:sz w:val="28"/>
          <w:szCs w:val="28"/>
        </w:rPr>
        <w:t xml:space="preserve"> отменен</w:t>
      </w:r>
      <w:r>
        <w:rPr>
          <w:rFonts w:ascii="Times New Roman" w:hAnsi="Times New Roman" w:cs="Times New Roman"/>
          <w:sz w:val="28"/>
          <w:szCs w:val="28"/>
        </w:rPr>
        <w:t>о судом (в</w:t>
      </w:r>
      <w:r w:rsidRPr="0027736F">
        <w:rPr>
          <w:rFonts w:ascii="Times New Roman" w:hAnsi="Times New Roman" w:cs="Times New Roman"/>
          <w:sz w:val="28"/>
          <w:szCs w:val="28"/>
        </w:rPr>
        <w:t xml:space="preserve"> 2023 году в суде не оспаривалось ни одного постановления о привлечении департаментом юридических лиц, должностных лиц к административной ответственности</w:t>
      </w:r>
      <w:r>
        <w:rPr>
          <w:rFonts w:ascii="Times New Roman" w:hAnsi="Times New Roman" w:cs="Times New Roman"/>
          <w:sz w:val="28"/>
          <w:szCs w:val="28"/>
        </w:rPr>
        <w:t>)</w:t>
      </w:r>
      <w:r w:rsidRPr="0027736F">
        <w:rPr>
          <w:rFonts w:ascii="Times New Roman" w:hAnsi="Times New Roman" w:cs="Times New Roman"/>
          <w:sz w:val="28"/>
          <w:szCs w:val="28"/>
        </w:rPr>
        <w:t>.</w:t>
      </w:r>
    </w:p>
    <w:p w:rsidR="00DB0113" w:rsidRPr="0061082D" w:rsidRDefault="00DB0113" w:rsidP="00DB0113">
      <w:pPr>
        <w:pStyle w:val="ConsPlusNormal"/>
        <w:ind w:firstLine="709"/>
        <w:rPr>
          <w:rFonts w:ascii="Times New Roman" w:hAnsi="Times New Roman" w:cs="Times New Roman"/>
          <w:b/>
          <w:i/>
          <w:sz w:val="28"/>
          <w:szCs w:val="28"/>
        </w:rPr>
      </w:pPr>
      <w:r w:rsidRPr="0061082D">
        <w:rPr>
          <w:rFonts w:ascii="Times New Roman" w:hAnsi="Times New Roman" w:cs="Times New Roman"/>
          <w:b/>
          <w:i/>
          <w:sz w:val="28"/>
          <w:szCs w:val="28"/>
        </w:rPr>
        <w:t>Типичные нарушения обязательных требований.</w:t>
      </w:r>
    </w:p>
    <w:p w:rsidR="00DB0113" w:rsidRPr="0027736F" w:rsidRDefault="00DB0113" w:rsidP="00DB0113">
      <w:pPr>
        <w:pStyle w:val="ConsPlusNormal"/>
        <w:ind w:firstLine="709"/>
        <w:jc w:val="both"/>
        <w:rPr>
          <w:rFonts w:ascii="Times New Roman" w:hAnsi="Times New Roman" w:cs="Times New Roman"/>
          <w:sz w:val="28"/>
          <w:szCs w:val="28"/>
        </w:rPr>
      </w:pPr>
      <w:r w:rsidRPr="0027736F">
        <w:rPr>
          <w:rFonts w:ascii="Times New Roman" w:hAnsi="Times New Roman" w:cs="Times New Roman"/>
          <w:sz w:val="28"/>
          <w:szCs w:val="28"/>
        </w:rPr>
        <w:t>К числу выявленных департаментом в 202</w:t>
      </w:r>
      <w:r>
        <w:rPr>
          <w:rFonts w:ascii="Times New Roman" w:hAnsi="Times New Roman" w:cs="Times New Roman"/>
          <w:sz w:val="28"/>
          <w:szCs w:val="28"/>
        </w:rPr>
        <w:t>4</w:t>
      </w:r>
      <w:r w:rsidRPr="0027736F">
        <w:rPr>
          <w:rFonts w:ascii="Times New Roman" w:hAnsi="Times New Roman" w:cs="Times New Roman"/>
          <w:sz w:val="28"/>
          <w:szCs w:val="28"/>
        </w:rPr>
        <w:t xml:space="preserve"> году типичных нарушений </w:t>
      </w:r>
      <w:r>
        <w:rPr>
          <w:rFonts w:ascii="Times New Roman" w:hAnsi="Times New Roman" w:cs="Times New Roman"/>
          <w:sz w:val="28"/>
          <w:szCs w:val="28"/>
        </w:rPr>
        <w:t xml:space="preserve">контролируемыми лицами </w:t>
      </w:r>
      <w:r w:rsidRPr="0027736F">
        <w:rPr>
          <w:rFonts w:ascii="Times New Roman" w:hAnsi="Times New Roman" w:cs="Times New Roman"/>
          <w:sz w:val="28"/>
          <w:szCs w:val="28"/>
        </w:rPr>
        <w:t>обязательных требований относятся следующие</w:t>
      </w:r>
      <w:r>
        <w:rPr>
          <w:rFonts w:ascii="Times New Roman" w:hAnsi="Times New Roman" w:cs="Times New Roman"/>
          <w:sz w:val="28"/>
          <w:szCs w:val="28"/>
        </w:rPr>
        <w:t>.</w:t>
      </w:r>
    </w:p>
    <w:p w:rsidR="00DB0113" w:rsidRPr="00184B73" w:rsidRDefault="00DB0113" w:rsidP="00DB0113">
      <w:pPr>
        <w:pStyle w:val="ConsPlusNormal"/>
        <w:ind w:firstLine="709"/>
        <w:jc w:val="both"/>
        <w:rPr>
          <w:rFonts w:ascii="Times New Roman" w:hAnsi="Times New Roman" w:cs="Times New Roman"/>
          <w:i/>
          <w:sz w:val="28"/>
          <w:szCs w:val="28"/>
        </w:rPr>
      </w:pPr>
      <w:r w:rsidRPr="00184B73">
        <w:rPr>
          <w:rFonts w:ascii="Times New Roman" w:hAnsi="Times New Roman" w:cs="Times New Roman"/>
          <w:i/>
          <w:sz w:val="28"/>
          <w:szCs w:val="28"/>
        </w:rPr>
        <w:t xml:space="preserve">1. Нарушение регулируемыми организациями </w:t>
      </w:r>
      <w:r>
        <w:rPr>
          <w:rFonts w:ascii="Times New Roman" w:hAnsi="Times New Roman" w:cs="Times New Roman"/>
          <w:i/>
          <w:sz w:val="28"/>
          <w:szCs w:val="28"/>
        </w:rPr>
        <w:t xml:space="preserve">утвержденных Правительством Российской Федерации </w:t>
      </w:r>
      <w:r w:rsidRPr="00184B73">
        <w:rPr>
          <w:rFonts w:ascii="Times New Roman" w:hAnsi="Times New Roman" w:cs="Times New Roman"/>
          <w:i/>
          <w:sz w:val="28"/>
          <w:szCs w:val="28"/>
        </w:rPr>
        <w:t>стандартов раскрытия информации</w:t>
      </w:r>
      <w:r>
        <w:rPr>
          <w:rFonts w:ascii="Times New Roman" w:hAnsi="Times New Roman" w:cs="Times New Roman"/>
          <w:i/>
          <w:sz w:val="28"/>
          <w:szCs w:val="28"/>
        </w:rPr>
        <w:t xml:space="preserve"> в регулируемых сферах деятельности.</w:t>
      </w:r>
    </w:p>
    <w:p w:rsidR="00DB0113" w:rsidRPr="0027736F" w:rsidRDefault="00DB0113" w:rsidP="00DB011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Нарушение стандартов раскрытия информации, в основном, совершалось организациями, осуществляющими регулируемые виды деятельности в тех сферах, где стандартами раскрытия информации предусмотрена обязательность ее раскрытия посредством ФГИС «ЕИАС» (в сфере водоснабжения и водоотведения, в сфере теплоснабжения, в сфере обращения с твердыми коммунальными отходами). </w:t>
      </w:r>
      <w:r w:rsidRPr="0027736F">
        <w:rPr>
          <w:rFonts w:ascii="Times New Roman" w:hAnsi="Times New Roman" w:cs="Times New Roman"/>
          <w:sz w:val="28"/>
          <w:szCs w:val="28"/>
        </w:rPr>
        <w:t>Выявленные нарушения заключаются в не</w:t>
      </w:r>
      <w:r>
        <w:rPr>
          <w:rFonts w:ascii="Times New Roman" w:hAnsi="Times New Roman" w:cs="Times New Roman"/>
          <w:sz w:val="28"/>
          <w:szCs w:val="28"/>
        </w:rPr>
        <w:t xml:space="preserve"> </w:t>
      </w:r>
      <w:r w:rsidRPr="0027736F">
        <w:rPr>
          <w:rFonts w:ascii="Times New Roman" w:hAnsi="Times New Roman" w:cs="Times New Roman"/>
          <w:sz w:val="28"/>
          <w:szCs w:val="28"/>
        </w:rPr>
        <w:t>размещении регулируемыми организациями в установленном порядке и в установленные сроки подлежащей раскрытию информации.</w:t>
      </w:r>
    </w:p>
    <w:p w:rsidR="00DB0113" w:rsidRPr="00184B73" w:rsidRDefault="00DB0113" w:rsidP="00DB0113">
      <w:pPr>
        <w:pStyle w:val="ConsPlusNormal"/>
        <w:ind w:firstLine="709"/>
        <w:jc w:val="both"/>
        <w:rPr>
          <w:rFonts w:ascii="Times New Roman" w:hAnsi="Times New Roman" w:cs="Times New Roman"/>
          <w:i/>
          <w:sz w:val="28"/>
          <w:szCs w:val="28"/>
        </w:rPr>
      </w:pPr>
      <w:r w:rsidRPr="00184B73">
        <w:rPr>
          <w:rFonts w:ascii="Times New Roman" w:hAnsi="Times New Roman" w:cs="Times New Roman"/>
          <w:i/>
          <w:sz w:val="28"/>
          <w:szCs w:val="28"/>
        </w:rPr>
        <w:t>2. Отсутствие утвержденных регулируемыми организациями программ в области энергосбережения и повышения энергетической эффективности</w:t>
      </w:r>
      <w:r>
        <w:rPr>
          <w:rFonts w:ascii="Times New Roman" w:hAnsi="Times New Roman" w:cs="Times New Roman"/>
          <w:i/>
          <w:sz w:val="28"/>
          <w:szCs w:val="28"/>
        </w:rPr>
        <w:t xml:space="preserve"> </w:t>
      </w:r>
      <w:r w:rsidRPr="00184B73">
        <w:rPr>
          <w:rFonts w:ascii="Times New Roman" w:hAnsi="Times New Roman" w:cs="Times New Roman"/>
          <w:i/>
          <w:sz w:val="28"/>
          <w:szCs w:val="28"/>
        </w:rPr>
        <w:t xml:space="preserve">(далее - Программы), соответствующих </w:t>
      </w:r>
      <w:r>
        <w:rPr>
          <w:rFonts w:ascii="Times New Roman" w:hAnsi="Times New Roman" w:cs="Times New Roman"/>
          <w:i/>
          <w:sz w:val="28"/>
          <w:szCs w:val="28"/>
        </w:rPr>
        <w:t>установленным</w:t>
      </w:r>
      <w:r w:rsidRPr="00184B73">
        <w:rPr>
          <w:rFonts w:ascii="Times New Roman" w:hAnsi="Times New Roman" w:cs="Times New Roman"/>
          <w:i/>
          <w:sz w:val="28"/>
          <w:szCs w:val="28"/>
        </w:rPr>
        <w:t xml:space="preserve"> департаментом требованиям к </w:t>
      </w:r>
      <w:r>
        <w:rPr>
          <w:rFonts w:ascii="Times New Roman" w:hAnsi="Times New Roman" w:cs="Times New Roman"/>
          <w:i/>
          <w:sz w:val="28"/>
          <w:szCs w:val="28"/>
        </w:rPr>
        <w:t>П</w:t>
      </w:r>
      <w:r w:rsidRPr="00184B73">
        <w:rPr>
          <w:rFonts w:ascii="Times New Roman" w:hAnsi="Times New Roman" w:cs="Times New Roman"/>
          <w:i/>
          <w:sz w:val="28"/>
          <w:szCs w:val="28"/>
        </w:rPr>
        <w:t xml:space="preserve">рограммам, и непредставление регулируемыми организациями </w:t>
      </w:r>
      <w:r>
        <w:rPr>
          <w:rFonts w:ascii="Times New Roman" w:hAnsi="Times New Roman" w:cs="Times New Roman"/>
          <w:i/>
          <w:sz w:val="28"/>
          <w:szCs w:val="28"/>
        </w:rPr>
        <w:t xml:space="preserve">в департамент </w:t>
      </w:r>
      <w:r w:rsidRPr="00184B73">
        <w:rPr>
          <w:rFonts w:ascii="Times New Roman" w:hAnsi="Times New Roman" w:cs="Times New Roman"/>
          <w:i/>
          <w:sz w:val="28"/>
          <w:szCs w:val="28"/>
        </w:rPr>
        <w:t xml:space="preserve">ежегодных отчетов о фактическом исполнении требований </w:t>
      </w:r>
      <w:r>
        <w:rPr>
          <w:rFonts w:ascii="Times New Roman" w:hAnsi="Times New Roman" w:cs="Times New Roman"/>
          <w:i/>
          <w:sz w:val="28"/>
          <w:szCs w:val="28"/>
        </w:rPr>
        <w:t>утвержденных такими организациями П</w:t>
      </w:r>
      <w:r w:rsidRPr="00184B73">
        <w:rPr>
          <w:rFonts w:ascii="Times New Roman" w:hAnsi="Times New Roman" w:cs="Times New Roman"/>
          <w:i/>
          <w:sz w:val="28"/>
          <w:szCs w:val="28"/>
        </w:rPr>
        <w:t>рограмм.</w:t>
      </w:r>
    </w:p>
    <w:p w:rsidR="00DB0113" w:rsidRPr="00DA67CC" w:rsidRDefault="00DB0113" w:rsidP="00DB0113">
      <w:pPr>
        <w:pStyle w:val="ConsPlusNormal"/>
        <w:ind w:firstLine="709"/>
        <w:jc w:val="both"/>
        <w:rPr>
          <w:rFonts w:ascii="Times New Roman" w:hAnsi="Times New Roman" w:cs="Times New Roman"/>
          <w:sz w:val="28"/>
          <w:szCs w:val="28"/>
        </w:rPr>
      </w:pPr>
      <w:r w:rsidRPr="00DA67CC">
        <w:rPr>
          <w:rFonts w:ascii="Times New Roman" w:hAnsi="Times New Roman" w:cs="Times New Roman"/>
          <w:sz w:val="28"/>
          <w:szCs w:val="28"/>
        </w:rPr>
        <w:t>Выявл</w:t>
      </w:r>
      <w:r>
        <w:rPr>
          <w:rFonts w:ascii="Times New Roman" w:hAnsi="Times New Roman" w:cs="Times New Roman"/>
          <w:sz w:val="28"/>
          <w:szCs w:val="28"/>
        </w:rPr>
        <w:t>енные</w:t>
      </w:r>
      <w:r w:rsidRPr="00DA67CC">
        <w:rPr>
          <w:rFonts w:ascii="Times New Roman" w:hAnsi="Times New Roman" w:cs="Times New Roman"/>
          <w:sz w:val="28"/>
          <w:szCs w:val="28"/>
        </w:rPr>
        <w:t xml:space="preserve"> департаментом нарушения заключаются в следующем:</w:t>
      </w:r>
    </w:p>
    <w:p w:rsidR="00DB0113" w:rsidRPr="00DA67CC" w:rsidRDefault="00DB0113" w:rsidP="00DB0113">
      <w:pPr>
        <w:pStyle w:val="ConsPlusNormal"/>
        <w:ind w:firstLine="709"/>
        <w:jc w:val="both"/>
        <w:rPr>
          <w:rFonts w:ascii="Times New Roman" w:hAnsi="Times New Roman" w:cs="Times New Roman"/>
          <w:sz w:val="28"/>
          <w:szCs w:val="28"/>
        </w:rPr>
      </w:pPr>
      <w:r w:rsidRPr="00DA67CC">
        <w:rPr>
          <w:rFonts w:ascii="Times New Roman" w:hAnsi="Times New Roman" w:cs="Times New Roman"/>
          <w:sz w:val="28"/>
          <w:szCs w:val="28"/>
        </w:rPr>
        <w:t>-отсутствие у организаци</w:t>
      </w:r>
      <w:r>
        <w:rPr>
          <w:rFonts w:ascii="Times New Roman" w:hAnsi="Times New Roman" w:cs="Times New Roman"/>
          <w:sz w:val="28"/>
          <w:szCs w:val="28"/>
        </w:rPr>
        <w:t>й</w:t>
      </w:r>
      <w:r w:rsidRPr="00DA67CC">
        <w:rPr>
          <w:rFonts w:ascii="Times New Roman" w:hAnsi="Times New Roman" w:cs="Times New Roman"/>
          <w:sz w:val="28"/>
          <w:szCs w:val="28"/>
        </w:rPr>
        <w:t>, осуществляющ</w:t>
      </w:r>
      <w:r>
        <w:rPr>
          <w:rFonts w:ascii="Times New Roman" w:hAnsi="Times New Roman" w:cs="Times New Roman"/>
          <w:sz w:val="28"/>
          <w:szCs w:val="28"/>
        </w:rPr>
        <w:t>их</w:t>
      </w:r>
      <w:r w:rsidRPr="00DA67CC">
        <w:rPr>
          <w:rFonts w:ascii="Times New Roman" w:hAnsi="Times New Roman" w:cs="Times New Roman"/>
          <w:sz w:val="28"/>
          <w:szCs w:val="28"/>
        </w:rPr>
        <w:t xml:space="preserve"> регулируемую деятельность на территории Новосибирской области, цены (тарифы) на товары и услуги котор</w:t>
      </w:r>
      <w:r>
        <w:rPr>
          <w:rFonts w:ascii="Times New Roman" w:hAnsi="Times New Roman" w:cs="Times New Roman"/>
          <w:sz w:val="28"/>
          <w:szCs w:val="28"/>
        </w:rPr>
        <w:t>ых</w:t>
      </w:r>
      <w:r w:rsidRPr="00DA67CC">
        <w:rPr>
          <w:rFonts w:ascii="Times New Roman" w:hAnsi="Times New Roman" w:cs="Times New Roman"/>
          <w:sz w:val="28"/>
          <w:szCs w:val="28"/>
        </w:rPr>
        <w:t xml:space="preserve"> устанавливаются департаментом, утвержденных Программ по соответствующим осуществляемым так</w:t>
      </w:r>
      <w:r>
        <w:rPr>
          <w:rFonts w:ascii="Times New Roman" w:hAnsi="Times New Roman" w:cs="Times New Roman"/>
          <w:sz w:val="28"/>
          <w:szCs w:val="28"/>
        </w:rPr>
        <w:t>ими</w:t>
      </w:r>
      <w:r w:rsidRPr="00DA67CC">
        <w:rPr>
          <w:rFonts w:ascii="Times New Roman" w:hAnsi="Times New Roman" w:cs="Times New Roman"/>
          <w:sz w:val="28"/>
          <w:szCs w:val="28"/>
        </w:rPr>
        <w:t xml:space="preserve"> организаци</w:t>
      </w:r>
      <w:r>
        <w:rPr>
          <w:rFonts w:ascii="Times New Roman" w:hAnsi="Times New Roman" w:cs="Times New Roman"/>
          <w:sz w:val="28"/>
          <w:szCs w:val="28"/>
        </w:rPr>
        <w:t>ями</w:t>
      </w:r>
      <w:r w:rsidRPr="00DA67CC">
        <w:rPr>
          <w:rFonts w:ascii="Times New Roman" w:hAnsi="Times New Roman" w:cs="Times New Roman"/>
          <w:sz w:val="28"/>
          <w:szCs w:val="28"/>
        </w:rPr>
        <w:t xml:space="preserve"> регулируемым видам деятельности, либо несоответствие утвержденных </w:t>
      </w:r>
      <w:r>
        <w:rPr>
          <w:rFonts w:ascii="Times New Roman" w:hAnsi="Times New Roman" w:cs="Times New Roman"/>
          <w:sz w:val="28"/>
          <w:szCs w:val="28"/>
        </w:rPr>
        <w:t>ими</w:t>
      </w:r>
      <w:r w:rsidRPr="00DA67CC">
        <w:rPr>
          <w:rFonts w:ascii="Times New Roman" w:hAnsi="Times New Roman" w:cs="Times New Roman"/>
          <w:sz w:val="28"/>
          <w:szCs w:val="28"/>
        </w:rPr>
        <w:t xml:space="preserve"> Программ установленным департаментом требованиям</w:t>
      </w:r>
      <w:r>
        <w:rPr>
          <w:rFonts w:ascii="Times New Roman" w:hAnsi="Times New Roman" w:cs="Times New Roman"/>
          <w:sz w:val="28"/>
          <w:szCs w:val="28"/>
        </w:rPr>
        <w:t xml:space="preserve"> к таким Программам</w:t>
      </w:r>
      <w:r w:rsidRPr="00DA67CC">
        <w:rPr>
          <w:rFonts w:ascii="Times New Roman" w:hAnsi="Times New Roman" w:cs="Times New Roman"/>
          <w:sz w:val="28"/>
          <w:szCs w:val="28"/>
        </w:rPr>
        <w:t>;</w:t>
      </w:r>
      <w:r>
        <w:rPr>
          <w:rFonts w:ascii="Times New Roman" w:hAnsi="Times New Roman" w:cs="Times New Roman"/>
          <w:sz w:val="28"/>
          <w:szCs w:val="28"/>
        </w:rPr>
        <w:t xml:space="preserve"> </w:t>
      </w:r>
    </w:p>
    <w:p w:rsidR="00DB0113" w:rsidRPr="00DA67CC" w:rsidRDefault="00DB0113" w:rsidP="00DB0113">
      <w:pPr>
        <w:pStyle w:val="ConsPlusNormal"/>
        <w:ind w:firstLine="709"/>
        <w:jc w:val="both"/>
        <w:rPr>
          <w:rFonts w:ascii="Times New Roman" w:hAnsi="Times New Roman" w:cs="Times New Roman"/>
          <w:sz w:val="28"/>
          <w:szCs w:val="28"/>
        </w:rPr>
      </w:pPr>
      <w:r w:rsidRPr="00DA67CC">
        <w:rPr>
          <w:rFonts w:ascii="Times New Roman" w:hAnsi="Times New Roman" w:cs="Times New Roman"/>
          <w:sz w:val="28"/>
          <w:szCs w:val="28"/>
        </w:rPr>
        <w:t>-непредставление вышеуказанн</w:t>
      </w:r>
      <w:r>
        <w:rPr>
          <w:rFonts w:ascii="Times New Roman" w:hAnsi="Times New Roman" w:cs="Times New Roman"/>
          <w:sz w:val="28"/>
          <w:szCs w:val="28"/>
        </w:rPr>
        <w:t>ыми</w:t>
      </w:r>
      <w:r w:rsidRPr="00DA67CC">
        <w:rPr>
          <w:rFonts w:ascii="Times New Roman" w:hAnsi="Times New Roman" w:cs="Times New Roman"/>
          <w:sz w:val="28"/>
          <w:szCs w:val="28"/>
        </w:rPr>
        <w:t xml:space="preserve"> организаци</w:t>
      </w:r>
      <w:r>
        <w:rPr>
          <w:rFonts w:ascii="Times New Roman" w:hAnsi="Times New Roman" w:cs="Times New Roman"/>
          <w:sz w:val="28"/>
          <w:szCs w:val="28"/>
        </w:rPr>
        <w:t>ями</w:t>
      </w:r>
      <w:r w:rsidRPr="00DA67CC">
        <w:rPr>
          <w:rFonts w:ascii="Times New Roman" w:hAnsi="Times New Roman" w:cs="Times New Roman"/>
          <w:sz w:val="28"/>
          <w:szCs w:val="28"/>
        </w:rPr>
        <w:t xml:space="preserve"> в департамент в срок до 1 февраля </w:t>
      </w:r>
      <w:r>
        <w:rPr>
          <w:rFonts w:ascii="Times New Roman" w:hAnsi="Times New Roman" w:cs="Times New Roman"/>
          <w:sz w:val="28"/>
          <w:szCs w:val="28"/>
        </w:rPr>
        <w:t xml:space="preserve">2024 года </w:t>
      </w:r>
      <w:r w:rsidRPr="00DA67CC">
        <w:rPr>
          <w:rFonts w:ascii="Times New Roman" w:hAnsi="Times New Roman" w:cs="Times New Roman"/>
          <w:sz w:val="28"/>
          <w:szCs w:val="28"/>
        </w:rPr>
        <w:t>отчет</w:t>
      </w:r>
      <w:r>
        <w:rPr>
          <w:rFonts w:ascii="Times New Roman" w:hAnsi="Times New Roman" w:cs="Times New Roman"/>
          <w:sz w:val="28"/>
          <w:szCs w:val="28"/>
        </w:rPr>
        <w:t>ов</w:t>
      </w:r>
      <w:r w:rsidRPr="00DA67CC">
        <w:rPr>
          <w:rFonts w:ascii="Times New Roman" w:hAnsi="Times New Roman" w:cs="Times New Roman"/>
          <w:sz w:val="28"/>
          <w:szCs w:val="28"/>
        </w:rPr>
        <w:t xml:space="preserve"> о фактическом </w:t>
      </w:r>
      <w:r>
        <w:rPr>
          <w:rFonts w:ascii="Times New Roman" w:hAnsi="Times New Roman" w:cs="Times New Roman"/>
          <w:sz w:val="28"/>
          <w:szCs w:val="28"/>
        </w:rPr>
        <w:t>вы</w:t>
      </w:r>
      <w:r w:rsidRPr="00DA67CC">
        <w:rPr>
          <w:rFonts w:ascii="Times New Roman" w:hAnsi="Times New Roman" w:cs="Times New Roman"/>
          <w:sz w:val="28"/>
          <w:szCs w:val="28"/>
        </w:rPr>
        <w:t>полнении установленных требований к Программ</w:t>
      </w:r>
      <w:r>
        <w:rPr>
          <w:rFonts w:ascii="Times New Roman" w:hAnsi="Times New Roman" w:cs="Times New Roman"/>
          <w:sz w:val="28"/>
          <w:szCs w:val="28"/>
        </w:rPr>
        <w:t>ам</w:t>
      </w:r>
      <w:r w:rsidRPr="00DA67CC">
        <w:rPr>
          <w:rFonts w:ascii="Times New Roman" w:hAnsi="Times New Roman" w:cs="Times New Roman"/>
          <w:sz w:val="28"/>
          <w:szCs w:val="28"/>
        </w:rPr>
        <w:t xml:space="preserve"> по каждому осуществляемому регулируемому виду деятельности </w:t>
      </w:r>
      <w:r>
        <w:rPr>
          <w:rFonts w:ascii="Times New Roman" w:hAnsi="Times New Roman" w:cs="Times New Roman"/>
          <w:sz w:val="28"/>
          <w:szCs w:val="28"/>
        </w:rPr>
        <w:t>по</w:t>
      </w:r>
      <w:r w:rsidRPr="00DA67CC">
        <w:rPr>
          <w:rFonts w:ascii="Times New Roman" w:hAnsi="Times New Roman" w:cs="Times New Roman"/>
          <w:sz w:val="28"/>
          <w:szCs w:val="28"/>
        </w:rPr>
        <w:t xml:space="preserve"> установленной форм</w:t>
      </w:r>
      <w:r>
        <w:rPr>
          <w:rFonts w:ascii="Times New Roman" w:hAnsi="Times New Roman" w:cs="Times New Roman"/>
          <w:sz w:val="28"/>
          <w:szCs w:val="28"/>
        </w:rPr>
        <w:t>е</w:t>
      </w:r>
      <w:r w:rsidRPr="00DA67CC">
        <w:rPr>
          <w:rFonts w:ascii="Times New Roman" w:hAnsi="Times New Roman" w:cs="Times New Roman"/>
          <w:sz w:val="28"/>
          <w:szCs w:val="28"/>
        </w:rPr>
        <w:t xml:space="preserve"> (наиболее типичное нарушение).</w:t>
      </w:r>
    </w:p>
    <w:p w:rsidR="00DB0113" w:rsidRPr="00C078A0" w:rsidRDefault="00DB0113" w:rsidP="00DB0113">
      <w:pPr>
        <w:pStyle w:val="ConsPlusNormal"/>
        <w:ind w:firstLine="709"/>
        <w:jc w:val="both"/>
        <w:rPr>
          <w:rFonts w:ascii="Times New Roman" w:hAnsi="Times New Roman" w:cs="Times New Roman"/>
          <w:i/>
          <w:sz w:val="28"/>
          <w:szCs w:val="28"/>
        </w:rPr>
      </w:pPr>
      <w:r w:rsidRPr="00C078A0">
        <w:rPr>
          <w:rFonts w:ascii="Times New Roman" w:hAnsi="Times New Roman" w:cs="Times New Roman"/>
          <w:i/>
          <w:sz w:val="28"/>
          <w:szCs w:val="28"/>
        </w:rPr>
        <w:t>3. Нарушение порядка ценообразования</w:t>
      </w:r>
      <w:r>
        <w:rPr>
          <w:rFonts w:ascii="Times New Roman" w:hAnsi="Times New Roman" w:cs="Times New Roman"/>
          <w:i/>
          <w:sz w:val="28"/>
          <w:szCs w:val="28"/>
        </w:rPr>
        <w:t>.</w:t>
      </w:r>
    </w:p>
    <w:p w:rsidR="00DB0113" w:rsidRPr="00EF2BD5" w:rsidRDefault="00DB0113" w:rsidP="00DB0113">
      <w:pPr>
        <w:pStyle w:val="ConsPlusNormal"/>
        <w:ind w:firstLine="709"/>
        <w:jc w:val="both"/>
        <w:rPr>
          <w:rFonts w:ascii="Times New Roman" w:hAnsi="Times New Roman" w:cs="Times New Roman"/>
          <w:sz w:val="28"/>
          <w:szCs w:val="28"/>
        </w:rPr>
      </w:pPr>
      <w:r w:rsidRPr="00EF2BD5">
        <w:rPr>
          <w:rFonts w:ascii="Times New Roman" w:hAnsi="Times New Roman" w:cs="Times New Roman"/>
          <w:sz w:val="28"/>
          <w:szCs w:val="28"/>
        </w:rPr>
        <w:t>Выявл</w:t>
      </w:r>
      <w:r>
        <w:rPr>
          <w:rFonts w:ascii="Times New Roman" w:hAnsi="Times New Roman" w:cs="Times New Roman"/>
          <w:sz w:val="28"/>
          <w:szCs w:val="28"/>
        </w:rPr>
        <w:t>енные</w:t>
      </w:r>
      <w:r w:rsidRPr="00EF2BD5">
        <w:rPr>
          <w:rFonts w:ascii="Times New Roman" w:hAnsi="Times New Roman" w:cs="Times New Roman"/>
          <w:sz w:val="28"/>
          <w:szCs w:val="28"/>
        </w:rPr>
        <w:t xml:space="preserve"> департаментом нарушения заключаются в следующем: </w:t>
      </w:r>
    </w:p>
    <w:p w:rsidR="00DB0113" w:rsidRPr="00EF2BD5" w:rsidRDefault="00DB0113" w:rsidP="00DB0113">
      <w:pPr>
        <w:pStyle w:val="ConsPlusNormal"/>
        <w:ind w:firstLine="709"/>
        <w:jc w:val="both"/>
        <w:rPr>
          <w:rFonts w:ascii="Times New Roman" w:hAnsi="Times New Roman" w:cs="Times New Roman"/>
          <w:sz w:val="28"/>
          <w:szCs w:val="28"/>
        </w:rPr>
      </w:pPr>
      <w:r w:rsidRPr="00EF2BD5">
        <w:rPr>
          <w:rFonts w:ascii="Times New Roman" w:hAnsi="Times New Roman" w:cs="Times New Roman"/>
          <w:sz w:val="28"/>
          <w:szCs w:val="28"/>
        </w:rPr>
        <w:t>-в самостоятельном определении хозяйствующим субъектом размера цены на товары и (или) услуги, являющиеся результатом осуществления регулируемого вида деятельности</w:t>
      </w:r>
      <w:r>
        <w:rPr>
          <w:rFonts w:ascii="Times New Roman" w:hAnsi="Times New Roman" w:cs="Times New Roman"/>
          <w:sz w:val="28"/>
          <w:szCs w:val="28"/>
        </w:rPr>
        <w:t>,</w:t>
      </w:r>
      <w:r w:rsidRPr="00EF2BD5">
        <w:rPr>
          <w:rFonts w:ascii="Times New Roman" w:hAnsi="Times New Roman" w:cs="Times New Roman"/>
          <w:sz w:val="28"/>
          <w:szCs w:val="28"/>
        </w:rPr>
        <w:t xml:space="preserve"> в случаях, когда действующим </w:t>
      </w:r>
      <w:r w:rsidRPr="00EF2BD5">
        <w:rPr>
          <w:rFonts w:ascii="Times New Roman" w:hAnsi="Times New Roman" w:cs="Times New Roman"/>
          <w:sz w:val="28"/>
          <w:szCs w:val="28"/>
        </w:rPr>
        <w:lastRenderedPageBreak/>
        <w:t xml:space="preserve">законодательством предусмотрено осуществление государственного регулирования соответствующих цен (тарифов, надбавок) и не предусмотрена возможность их определения по соглашению сторон; </w:t>
      </w:r>
    </w:p>
    <w:p w:rsidR="00DB0113" w:rsidRDefault="00DB0113" w:rsidP="00DB0113">
      <w:pPr>
        <w:pStyle w:val="ConsPlusNormal"/>
        <w:ind w:firstLine="709"/>
        <w:jc w:val="both"/>
        <w:rPr>
          <w:rFonts w:ascii="Times New Roman" w:hAnsi="Times New Roman" w:cs="Times New Roman"/>
          <w:sz w:val="28"/>
          <w:szCs w:val="28"/>
        </w:rPr>
      </w:pPr>
      <w:r w:rsidRPr="00EF2BD5">
        <w:rPr>
          <w:rFonts w:ascii="Times New Roman" w:hAnsi="Times New Roman" w:cs="Times New Roman"/>
          <w:sz w:val="28"/>
          <w:szCs w:val="28"/>
        </w:rPr>
        <w:t xml:space="preserve">-в </w:t>
      </w:r>
      <w:r>
        <w:rPr>
          <w:rFonts w:ascii="Times New Roman" w:hAnsi="Times New Roman" w:cs="Times New Roman"/>
          <w:sz w:val="28"/>
          <w:szCs w:val="28"/>
        </w:rPr>
        <w:t xml:space="preserve">неприменении или </w:t>
      </w:r>
      <w:r w:rsidRPr="00EF2BD5">
        <w:rPr>
          <w:rFonts w:ascii="Times New Roman" w:hAnsi="Times New Roman" w:cs="Times New Roman"/>
          <w:sz w:val="28"/>
          <w:szCs w:val="28"/>
        </w:rPr>
        <w:t>неправильном применении установлен</w:t>
      </w:r>
      <w:r>
        <w:rPr>
          <w:rFonts w:ascii="Times New Roman" w:hAnsi="Times New Roman" w:cs="Times New Roman"/>
          <w:sz w:val="28"/>
          <w:szCs w:val="28"/>
        </w:rPr>
        <w:t>ных департаментом цен (тарифов);</w:t>
      </w:r>
    </w:p>
    <w:p w:rsidR="00DB0113" w:rsidRPr="006836AC" w:rsidRDefault="00DB0113" w:rsidP="00DB0113">
      <w:pPr>
        <w:pStyle w:val="ConsPlusNormal"/>
        <w:ind w:firstLine="709"/>
        <w:jc w:val="both"/>
        <w:rPr>
          <w:rFonts w:ascii="Times New Roman" w:hAnsi="Times New Roman" w:cs="Times New Roman"/>
          <w:sz w:val="28"/>
          <w:szCs w:val="28"/>
        </w:rPr>
      </w:pPr>
      <w:r w:rsidRPr="00F5075E">
        <w:rPr>
          <w:rFonts w:ascii="Times New Roman" w:hAnsi="Times New Roman" w:cs="Times New Roman"/>
          <w:sz w:val="28"/>
          <w:szCs w:val="28"/>
        </w:rPr>
        <w:t>-в отсутствии ведения регулируемыми организациями раздельного учета доходов и расходов, показателей по осуществляемым ими регулируемым (и нерегулируемым) видам деятельности.</w:t>
      </w:r>
    </w:p>
    <w:p w:rsidR="00DB0113" w:rsidRPr="00F55DD6" w:rsidRDefault="00DB0113" w:rsidP="00DB0113">
      <w:pPr>
        <w:pStyle w:val="ConsPlusNormal"/>
        <w:ind w:firstLine="709"/>
        <w:jc w:val="both"/>
        <w:rPr>
          <w:rFonts w:ascii="Times New Roman" w:hAnsi="Times New Roman" w:cs="Times New Roman"/>
          <w:i/>
          <w:sz w:val="28"/>
          <w:szCs w:val="28"/>
        </w:rPr>
      </w:pPr>
      <w:r w:rsidRPr="00184B73">
        <w:rPr>
          <w:rFonts w:ascii="Times New Roman" w:hAnsi="Times New Roman" w:cs="Times New Roman"/>
          <w:i/>
          <w:sz w:val="28"/>
          <w:szCs w:val="28"/>
        </w:rPr>
        <w:t xml:space="preserve">4. Непредставление или несвоевременное представление в </w:t>
      </w:r>
      <w:r>
        <w:rPr>
          <w:rFonts w:ascii="Times New Roman" w:hAnsi="Times New Roman" w:cs="Times New Roman"/>
          <w:i/>
          <w:sz w:val="28"/>
          <w:szCs w:val="28"/>
        </w:rPr>
        <w:t>департамент</w:t>
      </w:r>
      <w:r w:rsidRPr="00184B73">
        <w:rPr>
          <w:rFonts w:ascii="Times New Roman" w:hAnsi="Times New Roman" w:cs="Times New Roman"/>
          <w:i/>
          <w:sz w:val="28"/>
          <w:szCs w:val="28"/>
        </w:rPr>
        <w:t xml:space="preserve"> сведений, если обязательность представления </w:t>
      </w:r>
      <w:r>
        <w:rPr>
          <w:rFonts w:ascii="Times New Roman" w:hAnsi="Times New Roman" w:cs="Times New Roman"/>
          <w:i/>
          <w:sz w:val="28"/>
          <w:szCs w:val="28"/>
        </w:rPr>
        <w:t xml:space="preserve">таких </w:t>
      </w:r>
      <w:r w:rsidRPr="00184B73">
        <w:rPr>
          <w:rFonts w:ascii="Times New Roman" w:hAnsi="Times New Roman" w:cs="Times New Roman"/>
          <w:i/>
          <w:sz w:val="28"/>
          <w:szCs w:val="28"/>
        </w:rPr>
        <w:t>сведений предусмотрена нормативными правовыми актами для установления, изменения, введения или отмены тарифов</w:t>
      </w:r>
      <w:r>
        <w:rPr>
          <w:rFonts w:ascii="Times New Roman" w:hAnsi="Times New Roman" w:cs="Times New Roman"/>
          <w:i/>
          <w:sz w:val="28"/>
          <w:szCs w:val="28"/>
        </w:rPr>
        <w:t xml:space="preserve">; </w:t>
      </w:r>
      <w:r w:rsidRPr="00F55DD6">
        <w:rPr>
          <w:rFonts w:ascii="Times New Roman" w:hAnsi="Times New Roman" w:cs="Times New Roman"/>
          <w:i/>
          <w:sz w:val="28"/>
          <w:szCs w:val="28"/>
        </w:rPr>
        <w:t xml:space="preserve">предоставление </w:t>
      </w:r>
      <w:r w:rsidRPr="00184B73">
        <w:rPr>
          <w:rFonts w:ascii="Times New Roman" w:hAnsi="Times New Roman" w:cs="Times New Roman"/>
          <w:i/>
          <w:sz w:val="28"/>
          <w:szCs w:val="28"/>
        </w:rPr>
        <w:t xml:space="preserve">в </w:t>
      </w:r>
      <w:r>
        <w:rPr>
          <w:rFonts w:ascii="Times New Roman" w:hAnsi="Times New Roman" w:cs="Times New Roman"/>
          <w:i/>
          <w:sz w:val="28"/>
          <w:szCs w:val="28"/>
        </w:rPr>
        <w:t>департамент</w:t>
      </w:r>
      <w:r w:rsidRPr="00184B73">
        <w:rPr>
          <w:rFonts w:ascii="Times New Roman" w:hAnsi="Times New Roman" w:cs="Times New Roman"/>
          <w:i/>
          <w:sz w:val="28"/>
          <w:szCs w:val="28"/>
        </w:rPr>
        <w:t xml:space="preserve"> </w:t>
      </w:r>
      <w:r w:rsidRPr="00F55DD6">
        <w:rPr>
          <w:rFonts w:ascii="Times New Roman" w:hAnsi="Times New Roman" w:cs="Times New Roman"/>
          <w:i/>
          <w:sz w:val="28"/>
          <w:szCs w:val="28"/>
        </w:rPr>
        <w:t>заведомо недостоверных сведений</w:t>
      </w:r>
      <w:r>
        <w:rPr>
          <w:rFonts w:ascii="Times New Roman" w:hAnsi="Times New Roman" w:cs="Times New Roman"/>
          <w:i/>
          <w:sz w:val="28"/>
          <w:szCs w:val="28"/>
        </w:rPr>
        <w:t>.</w:t>
      </w:r>
    </w:p>
    <w:p w:rsidR="00DB0113" w:rsidRPr="002C2505" w:rsidRDefault="00DB0113" w:rsidP="00184C22">
      <w:pPr>
        <w:pStyle w:val="4"/>
      </w:pPr>
      <w:bookmarkStart w:id="147" w:name="_Toc130993343"/>
      <w:bookmarkStart w:id="148" w:name="_Toc130997867"/>
      <w:bookmarkStart w:id="149" w:name="_Toc131067998"/>
      <w:bookmarkStart w:id="150" w:name="_Toc193810595"/>
      <w:r w:rsidRPr="002C2505">
        <w:t>3.3. Участие в судопроизводстве (судебная практика)</w:t>
      </w:r>
      <w:bookmarkEnd w:id="147"/>
      <w:bookmarkEnd w:id="148"/>
      <w:bookmarkEnd w:id="149"/>
      <w:r w:rsidRPr="002C2505">
        <w:t>.</w:t>
      </w:r>
      <w:bookmarkEnd w:id="150"/>
      <w:r w:rsidRPr="002C2505">
        <w:t xml:space="preserve"> </w:t>
      </w:r>
    </w:p>
    <w:p w:rsidR="00DB0113" w:rsidRPr="002C2505" w:rsidRDefault="00DB0113" w:rsidP="00DB0113">
      <w:pPr>
        <w:autoSpaceDE w:val="0"/>
        <w:autoSpaceDN w:val="0"/>
        <w:adjustRightInd w:val="0"/>
        <w:spacing w:after="0" w:line="240" w:lineRule="auto"/>
        <w:ind w:firstLine="709"/>
        <w:jc w:val="both"/>
        <w:rPr>
          <w:szCs w:val="28"/>
        </w:rPr>
      </w:pPr>
      <w:r w:rsidRPr="002C2505">
        <w:rPr>
          <w:szCs w:val="28"/>
        </w:rPr>
        <w:t>В 202</w:t>
      </w:r>
      <w:r>
        <w:rPr>
          <w:szCs w:val="28"/>
        </w:rPr>
        <w:t>4</w:t>
      </w:r>
      <w:r w:rsidRPr="002C2505">
        <w:rPr>
          <w:szCs w:val="28"/>
        </w:rPr>
        <w:t xml:space="preserve"> году в судебном порядке оспаривалось </w:t>
      </w:r>
      <w:r>
        <w:rPr>
          <w:szCs w:val="28"/>
        </w:rPr>
        <w:t>9</w:t>
      </w:r>
      <w:r w:rsidRPr="002C2505">
        <w:rPr>
          <w:szCs w:val="28"/>
        </w:rPr>
        <w:t xml:space="preserve"> решений департамента, в том числе:</w:t>
      </w:r>
    </w:p>
    <w:p w:rsidR="00DB0113" w:rsidRDefault="00DB0113" w:rsidP="00DB0113">
      <w:pPr>
        <w:autoSpaceDE w:val="0"/>
        <w:autoSpaceDN w:val="0"/>
        <w:adjustRightInd w:val="0"/>
        <w:spacing w:after="0" w:line="240" w:lineRule="auto"/>
        <w:ind w:firstLine="709"/>
        <w:jc w:val="both"/>
        <w:rPr>
          <w:szCs w:val="28"/>
        </w:rPr>
      </w:pPr>
      <w:r>
        <w:rPr>
          <w:szCs w:val="28"/>
        </w:rPr>
        <w:t>3 вынесенных департаментом постановления о привлечении юридических лиц, должностных лиц к административной ответственности (1 постановление отменено);</w:t>
      </w:r>
    </w:p>
    <w:p w:rsidR="00DB0113" w:rsidRDefault="00DB0113" w:rsidP="00DB0113">
      <w:pPr>
        <w:autoSpaceDE w:val="0"/>
        <w:autoSpaceDN w:val="0"/>
        <w:adjustRightInd w:val="0"/>
        <w:spacing w:after="0" w:line="240" w:lineRule="auto"/>
        <w:ind w:firstLine="709"/>
        <w:jc w:val="both"/>
        <w:rPr>
          <w:szCs w:val="28"/>
        </w:rPr>
      </w:pPr>
      <w:r>
        <w:rPr>
          <w:szCs w:val="28"/>
        </w:rPr>
        <w:t>1 нормативный правовой акт (тарифное решение) департамента (отказано в признании его незаконным);</w:t>
      </w:r>
    </w:p>
    <w:p w:rsidR="00DB0113" w:rsidRDefault="00DB0113" w:rsidP="00DB0113">
      <w:pPr>
        <w:autoSpaceDE w:val="0"/>
        <w:autoSpaceDN w:val="0"/>
        <w:adjustRightInd w:val="0"/>
        <w:spacing w:after="0" w:line="240" w:lineRule="auto"/>
        <w:ind w:firstLine="709"/>
        <w:jc w:val="both"/>
        <w:rPr>
          <w:szCs w:val="28"/>
        </w:rPr>
      </w:pPr>
      <w:r>
        <w:rPr>
          <w:szCs w:val="28"/>
        </w:rPr>
        <w:t xml:space="preserve">5 дел об оспаривании ненормативных правовых актов (действий, бездействий) департамента (отказано в признании их незаконными) </w:t>
      </w:r>
    </w:p>
    <w:p w:rsidR="00DB0113" w:rsidRPr="00531EB8" w:rsidRDefault="00DB0113" w:rsidP="00DB0113">
      <w:pPr>
        <w:autoSpaceDE w:val="0"/>
        <w:autoSpaceDN w:val="0"/>
        <w:adjustRightInd w:val="0"/>
        <w:spacing w:after="0" w:line="240" w:lineRule="auto"/>
        <w:ind w:firstLine="709"/>
        <w:jc w:val="both"/>
        <w:rPr>
          <w:szCs w:val="28"/>
        </w:rPr>
      </w:pPr>
    </w:p>
    <w:p w:rsidR="00585C99" w:rsidRDefault="00585C99"/>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184C22" w:rsidRDefault="00184C22"/>
    <w:p w:rsidR="00585C99" w:rsidRDefault="00585C99"/>
    <w:p w:rsidR="00585C99" w:rsidRPr="00CE04C8" w:rsidRDefault="00585C99" w:rsidP="00184C22">
      <w:pPr>
        <w:pStyle w:val="20231"/>
      </w:pPr>
      <w:bookmarkStart w:id="151" w:name="_Toc162431971"/>
      <w:bookmarkStart w:id="152" w:name="_Toc193810596"/>
      <w:r w:rsidRPr="00CE04C8">
        <w:t>4. Прочие мероприятия в установленных сферах деятельности</w:t>
      </w:r>
      <w:bookmarkEnd w:id="151"/>
      <w:bookmarkEnd w:id="152"/>
    </w:p>
    <w:p w:rsidR="00585C99" w:rsidRPr="00184C22" w:rsidRDefault="00585C99" w:rsidP="00184C22">
      <w:pPr>
        <w:pStyle w:val="4"/>
      </w:pPr>
      <w:r w:rsidRPr="00184C22">
        <w:t xml:space="preserve"> </w:t>
      </w:r>
      <w:bookmarkStart w:id="153" w:name="_Toc131068002"/>
      <w:bookmarkStart w:id="154" w:name="_Toc162431972"/>
      <w:bookmarkStart w:id="155" w:name="_Toc193810597"/>
      <w:r w:rsidRPr="00184C22">
        <w:t>4.1 Межотраслевой совет потребителей по вопросам деятельности субъектов естественных монополий при Губернаторе Новосибирской области</w:t>
      </w:r>
      <w:bookmarkEnd w:id="153"/>
      <w:bookmarkEnd w:id="154"/>
      <w:bookmarkEnd w:id="155"/>
      <w:r w:rsidRPr="00184C22">
        <w:t xml:space="preserve"> </w:t>
      </w:r>
    </w:p>
    <w:p w:rsidR="00777DCF" w:rsidRDefault="00777DCF" w:rsidP="00777DCF">
      <w:pPr>
        <w:spacing w:after="0" w:line="240" w:lineRule="auto"/>
        <w:ind w:firstLine="709"/>
        <w:jc w:val="both"/>
        <w:rPr>
          <w:szCs w:val="28"/>
        </w:rPr>
      </w:pPr>
      <w:r w:rsidRPr="003E4FD9">
        <w:rPr>
          <w:szCs w:val="28"/>
        </w:rPr>
        <w:t xml:space="preserve">Постановлением Губернатора Новосибирской области от 23.03.2017 </w:t>
      </w:r>
      <w:r>
        <w:rPr>
          <w:szCs w:val="28"/>
        </w:rPr>
        <w:t>№ </w:t>
      </w:r>
      <w:r w:rsidRPr="003E4FD9">
        <w:rPr>
          <w:szCs w:val="28"/>
        </w:rPr>
        <w:t>51 «Об образовании межотраслевого совета потребителей по вопросам деятельности субъектов естественных монополий при Губернаторе Новосибирской</w:t>
      </w:r>
      <w:r>
        <w:rPr>
          <w:szCs w:val="28"/>
        </w:rPr>
        <w:t xml:space="preserve"> </w:t>
      </w:r>
      <w:r w:rsidRPr="003E4FD9">
        <w:rPr>
          <w:szCs w:val="28"/>
        </w:rPr>
        <w:t xml:space="preserve">области» </w:t>
      </w:r>
      <w:r>
        <w:rPr>
          <w:szCs w:val="28"/>
        </w:rPr>
        <w:t>(в ред</w:t>
      </w:r>
      <w:r w:rsidR="00184C22">
        <w:rPr>
          <w:szCs w:val="28"/>
        </w:rPr>
        <w:t>акции</w:t>
      </w:r>
      <w:r>
        <w:rPr>
          <w:szCs w:val="28"/>
        </w:rPr>
        <w:t xml:space="preserve"> от 22.11.2017 № 219, от 16.05.2019 № </w:t>
      </w:r>
      <w:r w:rsidRPr="003E4FD9">
        <w:rPr>
          <w:szCs w:val="28"/>
        </w:rPr>
        <w:t>140</w:t>
      </w:r>
      <w:r>
        <w:rPr>
          <w:szCs w:val="28"/>
        </w:rPr>
        <w:t>, от 28.03.2024 № 67</w:t>
      </w:r>
      <w:r w:rsidRPr="003E4FD9">
        <w:rPr>
          <w:szCs w:val="28"/>
        </w:rPr>
        <w:t xml:space="preserve">) создан </w:t>
      </w:r>
      <w:r w:rsidR="006E2A6E">
        <w:rPr>
          <w:szCs w:val="28"/>
        </w:rPr>
        <w:t>м</w:t>
      </w:r>
      <w:r w:rsidRPr="003E4FD9">
        <w:rPr>
          <w:szCs w:val="28"/>
        </w:rPr>
        <w:t>ежотраслевой совет потребителей по вопросам деятельности субъектов естественных монополий и утвержден его состав.</w:t>
      </w:r>
    </w:p>
    <w:p w:rsidR="00777DCF" w:rsidRPr="003E4FD9" w:rsidRDefault="00777DCF" w:rsidP="00777DCF">
      <w:pPr>
        <w:spacing w:after="0" w:line="240" w:lineRule="auto"/>
        <w:ind w:firstLine="709"/>
        <w:jc w:val="both"/>
        <w:rPr>
          <w:szCs w:val="28"/>
        </w:rPr>
      </w:pPr>
      <w:r w:rsidRPr="003E4FD9">
        <w:rPr>
          <w:szCs w:val="28"/>
        </w:rPr>
        <w:t xml:space="preserve">Межотраслевой совет потребителей по вопросам деятельности субъектов естественных монополий при Губернаторе Новосибирской области </w:t>
      </w:r>
      <w:r w:rsidRPr="003E4FD9">
        <w:rPr>
          <w:szCs w:val="28"/>
        </w:rPr>
        <w:br/>
        <w:t>(далее - Совет) является постоянно действующим совещательным органом и создан в соответствии с постановлением Губернатора Новосибирской области от 31.01.2017 № 10 «Об утверждении Положения о межотраслевом совете потребителей по вопросам деятельности субъектов естественных монополий при Губернаторе Новосибирской области».</w:t>
      </w:r>
    </w:p>
    <w:p w:rsidR="00777DCF" w:rsidRPr="003E4FD9" w:rsidRDefault="00777DCF" w:rsidP="00777DCF">
      <w:pPr>
        <w:spacing w:after="0" w:line="240" w:lineRule="auto"/>
        <w:ind w:firstLine="709"/>
        <w:jc w:val="both"/>
        <w:rPr>
          <w:szCs w:val="28"/>
        </w:rPr>
      </w:pPr>
      <w:r w:rsidRPr="003E4FD9">
        <w:rPr>
          <w:szCs w:val="28"/>
        </w:rPr>
        <w:t>Целью деятельности Совета является доведение до сведения областных исполнительных органов государственной власти Новосибирской области в области государственного регулирования тарифов и субъектов естественных монополий позиции потребителей, достижение баланса интересов потребителей и субъектов естественных монополий, обеспечивающего доступность реализуемых субъектами естественных монополий товаров и услуг для потребителей.</w:t>
      </w:r>
    </w:p>
    <w:p w:rsidR="00777DCF" w:rsidRDefault="00777DCF" w:rsidP="00777DCF">
      <w:pPr>
        <w:spacing w:after="0" w:line="240" w:lineRule="auto"/>
        <w:ind w:firstLine="709"/>
        <w:jc w:val="both"/>
        <w:rPr>
          <w:szCs w:val="28"/>
        </w:rPr>
      </w:pPr>
      <w:r>
        <w:rPr>
          <w:szCs w:val="28"/>
        </w:rPr>
        <w:t>Состав Совета утверждается</w:t>
      </w:r>
      <w:r w:rsidRPr="003E4FD9">
        <w:rPr>
          <w:szCs w:val="28"/>
        </w:rPr>
        <w:t xml:space="preserve"> Губернатором Новосибирской области по представлению Общественной палаты Новосибирской области сроком на три года. Совет сформирован в количестве 18 человек. </w:t>
      </w:r>
      <w:r>
        <w:rPr>
          <w:szCs w:val="28"/>
        </w:rPr>
        <w:t xml:space="preserve">Постановлением </w:t>
      </w:r>
      <w:r w:rsidRPr="007B239C">
        <w:rPr>
          <w:rFonts w:eastAsia="Times New Roman"/>
          <w:szCs w:val="28"/>
        </w:rPr>
        <w:t>Губернатора Новосибирской области от 28.03.2024 № 67</w:t>
      </w:r>
      <w:r>
        <w:rPr>
          <w:rFonts w:eastAsia="Times New Roman"/>
          <w:szCs w:val="28"/>
        </w:rPr>
        <w:t xml:space="preserve"> утвержден </w:t>
      </w:r>
      <w:r w:rsidRPr="007B239C">
        <w:rPr>
          <w:rFonts w:eastAsia="Times New Roman"/>
          <w:szCs w:val="28"/>
        </w:rPr>
        <w:t>состав</w:t>
      </w:r>
      <w:r>
        <w:rPr>
          <w:rFonts w:eastAsia="Times New Roman"/>
          <w:szCs w:val="28"/>
        </w:rPr>
        <w:t xml:space="preserve"> Совета на период 2024-2026 годов. </w:t>
      </w:r>
    </w:p>
    <w:p w:rsidR="00777DCF" w:rsidRPr="003E4FD9" w:rsidRDefault="00777DCF" w:rsidP="00777DCF">
      <w:pPr>
        <w:spacing w:after="0" w:line="240" w:lineRule="auto"/>
        <w:ind w:firstLine="709"/>
        <w:jc w:val="both"/>
        <w:rPr>
          <w:szCs w:val="28"/>
        </w:rPr>
      </w:pPr>
      <w:r>
        <w:rPr>
          <w:szCs w:val="28"/>
        </w:rPr>
        <w:t>В</w:t>
      </w:r>
      <w:r w:rsidRPr="003E4FD9">
        <w:rPr>
          <w:szCs w:val="28"/>
        </w:rPr>
        <w:t>озглавляет Совет первый заместитель Председателя Правительства Новосибирской области.</w:t>
      </w:r>
      <w:r>
        <w:rPr>
          <w:szCs w:val="28"/>
        </w:rPr>
        <w:t xml:space="preserve"> </w:t>
      </w:r>
    </w:p>
    <w:p w:rsidR="00777DCF" w:rsidRPr="003E4FD9" w:rsidRDefault="00777DCF" w:rsidP="00777DCF">
      <w:pPr>
        <w:spacing w:after="0" w:line="240" w:lineRule="auto"/>
        <w:ind w:firstLine="567"/>
        <w:jc w:val="both"/>
        <w:rPr>
          <w:szCs w:val="28"/>
        </w:rPr>
      </w:pPr>
      <w:r w:rsidRPr="003E4FD9">
        <w:rPr>
          <w:szCs w:val="28"/>
        </w:rPr>
        <w:t>Департамент осуществляет организационно-техническое обеспечение деятельности Совета.</w:t>
      </w:r>
    </w:p>
    <w:p w:rsidR="00777DCF" w:rsidRDefault="00777DCF" w:rsidP="00777DCF">
      <w:pPr>
        <w:spacing w:after="0" w:line="240" w:lineRule="auto"/>
        <w:ind w:firstLine="709"/>
        <w:jc w:val="both"/>
        <w:rPr>
          <w:szCs w:val="28"/>
        </w:rPr>
      </w:pPr>
      <w:r w:rsidRPr="003E4FD9">
        <w:rPr>
          <w:szCs w:val="28"/>
        </w:rPr>
        <w:t>В 202</w:t>
      </w:r>
      <w:r>
        <w:rPr>
          <w:szCs w:val="28"/>
        </w:rPr>
        <w:t>4</w:t>
      </w:r>
      <w:r w:rsidRPr="003E4FD9">
        <w:rPr>
          <w:szCs w:val="28"/>
        </w:rPr>
        <w:t xml:space="preserve"> году состоялось </w:t>
      </w:r>
      <w:r>
        <w:rPr>
          <w:szCs w:val="28"/>
        </w:rPr>
        <w:t>3 заседания Совета</w:t>
      </w:r>
      <w:r w:rsidRPr="003E4FD9">
        <w:rPr>
          <w:szCs w:val="28"/>
        </w:rPr>
        <w:t>, на которых были рассмотрены</w:t>
      </w:r>
      <w:r>
        <w:rPr>
          <w:szCs w:val="28"/>
        </w:rPr>
        <w:t xml:space="preserve"> следующие вопросы:</w:t>
      </w:r>
    </w:p>
    <w:p w:rsidR="00777DCF" w:rsidRDefault="00777DCF" w:rsidP="00777DCF">
      <w:pPr>
        <w:spacing w:after="0" w:line="240" w:lineRule="auto"/>
        <w:ind w:firstLine="709"/>
        <w:jc w:val="both"/>
        <w:rPr>
          <w:szCs w:val="28"/>
        </w:rPr>
      </w:pPr>
      <w:r>
        <w:rPr>
          <w:szCs w:val="28"/>
        </w:rPr>
        <w:t>- о </w:t>
      </w:r>
      <w:r w:rsidRPr="00101D6A">
        <w:rPr>
          <w:szCs w:val="28"/>
        </w:rPr>
        <w:t>дифференцированных по объемам потребления тарифах на электрическую энергию в Новосибирской области</w:t>
      </w:r>
      <w:r>
        <w:rPr>
          <w:szCs w:val="28"/>
        </w:rPr>
        <w:t>;</w:t>
      </w:r>
    </w:p>
    <w:p w:rsidR="00777DCF" w:rsidRDefault="00777DCF" w:rsidP="00777DCF">
      <w:pPr>
        <w:spacing w:after="0" w:line="240" w:lineRule="auto"/>
        <w:ind w:firstLine="709"/>
        <w:jc w:val="both"/>
        <w:rPr>
          <w:szCs w:val="28"/>
        </w:rPr>
      </w:pPr>
      <w:r>
        <w:rPr>
          <w:szCs w:val="28"/>
        </w:rPr>
        <w:t>- о рассмотрении</w:t>
      </w:r>
      <w:r w:rsidRPr="00101D6A">
        <w:rPr>
          <w:szCs w:val="28"/>
        </w:rPr>
        <w:t xml:space="preserve"> проекта корректировки инвестиционной программы </w:t>
      </w:r>
      <w:r>
        <w:rPr>
          <w:szCs w:val="28"/>
        </w:rPr>
        <w:br/>
      </w:r>
      <w:r w:rsidRPr="00101D6A">
        <w:rPr>
          <w:szCs w:val="28"/>
        </w:rPr>
        <w:t xml:space="preserve">АО «Оборонэнерго» в лице филиала «Забайкальский» в сфере электроэнергетики на 2020-2024 годы и проекта инвестиционной программы </w:t>
      </w:r>
      <w:r w:rsidRPr="00101D6A">
        <w:rPr>
          <w:szCs w:val="28"/>
        </w:rPr>
        <w:lastRenderedPageBreak/>
        <w:t xml:space="preserve">АО «Оборонэнерго» в лице филиала «Забайкальский» на период </w:t>
      </w:r>
      <w:r>
        <w:rPr>
          <w:szCs w:val="28"/>
        </w:rPr>
        <w:t>2025-2029 годы;</w:t>
      </w:r>
    </w:p>
    <w:p w:rsidR="00777DCF" w:rsidRDefault="00777DCF" w:rsidP="00777DCF">
      <w:pPr>
        <w:spacing w:after="0" w:line="240" w:lineRule="auto"/>
        <w:ind w:firstLine="709"/>
        <w:jc w:val="both"/>
        <w:rPr>
          <w:szCs w:val="28"/>
        </w:rPr>
      </w:pPr>
      <w:r>
        <w:rPr>
          <w:szCs w:val="28"/>
        </w:rPr>
        <w:t>- о рассмотрении</w:t>
      </w:r>
      <w:r w:rsidRPr="00101D6A">
        <w:rPr>
          <w:szCs w:val="28"/>
        </w:rPr>
        <w:t xml:space="preserve"> проекта корректировки инвестиционной программы </w:t>
      </w:r>
      <w:r>
        <w:rPr>
          <w:szCs w:val="28"/>
        </w:rPr>
        <w:br/>
      </w:r>
      <w:r w:rsidRPr="00101D6A">
        <w:rPr>
          <w:szCs w:val="28"/>
        </w:rPr>
        <w:t>ФГУП «УЭВ» «Развитие системы электроснабжения Советского района (Академгородок) на период 2020-2024 годы» на 2024 год</w:t>
      </w:r>
      <w:r>
        <w:rPr>
          <w:szCs w:val="28"/>
        </w:rPr>
        <w:t>;</w:t>
      </w:r>
    </w:p>
    <w:p w:rsidR="00777DCF" w:rsidRDefault="00777DCF" w:rsidP="00777DCF">
      <w:pPr>
        <w:spacing w:after="0" w:line="240" w:lineRule="auto"/>
        <w:ind w:firstLine="709"/>
        <w:jc w:val="both"/>
        <w:rPr>
          <w:szCs w:val="28"/>
        </w:rPr>
      </w:pPr>
      <w:r>
        <w:rPr>
          <w:szCs w:val="28"/>
        </w:rPr>
        <w:t>- о рассмотрении</w:t>
      </w:r>
      <w:r w:rsidRPr="00101D6A">
        <w:rPr>
          <w:szCs w:val="28"/>
        </w:rPr>
        <w:t xml:space="preserve"> проекта инвестиционной программы ОАО «РЖД» по строительству и реконструкции объектов электросетевого хозяйства в 2025-2029 годах в границах Новосибирской области</w:t>
      </w:r>
      <w:r>
        <w:rPr>
          <w:szCs w:val="28"/>
        </w:rPr>
        <w:t>;</w:t>
      </w:r>
    </w:p>
    <w:p w:rsidR="00777DCF" w:rsidRDefault="00777DCF" w:rsidP="00777DCF">
      <w:pPr>
        <w:spacing w:after="0" w:line="240" w:lineRule="auto"/>
        <w:ind w:firstLine="709"/>
        <w:jc w:val="both"/>
        <w:rPr>
          <w:szCs w:val="28"/>
        </w:rPr>
      </w:pPr>
      <w:r>
        <w:rPr>
          <w:szCs w:val="28"/>
        </w:rPr>
        <w:t>- о рассмотрении</w:t>
      </w:r>
      <w:r w:rsidRPr="00101D6A">
        <w:rPr>
          <w:szCs w:val="28"/>
        </w:rPr>
        <w:t xml:space="preserve"> проекта корректировки инвестиционной программы Общества с ограниченной ответственностью «НРСК-Сибирь» на 2021-2025 годы</w:t>
      </w:r>
      <w:r>
        <w:rPr>
          <w:szCs w:val="28"/>
        </w:rPr>
        <w:t>;</w:t>
      </w:r>
    </w:p>
    <w:p w:rsidR="00777DCF" w:rsidRDefault="00777DCF" w:rsidP="00777DCF">
      <w:pPr>
        <w:spacing w:after="0" w:line="240" w:lineRule="auto"/>
        <w:ind w:firstLine="709"/>
        <w:jc w:val="both"/>
        <w:rPr>
          <w:szCs w:val="28"/>
        </w:rPr>
      </w:pPr>
      <w:r>
        <w:rPr>
          <w:szCs w:val="28"/>
        </w:rPr>
        <w:t>- о рассмотрении</w:t>
      </w:r>
      <w:r w:rsidRPr="00101D6A">
        <w:rPr>
          <w:szCs w:val="28"/>
        </w:rPr>
        <w:t xml:space="preserve"> проекта корректировки инвестиционной программы Общества с ограниченной ответственностью «Новосибирская городская сетевая компания» на 2021-2025 годы</w:t>
      </w:r>
      <w:r>
        <w:rPr>
          <w:szCs w:val="28"/>
        </w:rPr>
        <w:t>;</w:t>
      </w:r>
    </w:p>
    <w:p w:rsidR="00777DCF" w:rsidRDefault="00777DCF" w:rsidP="00777DCF">
      <w:pPr>
        <w:spacing w:after="0" w:line="240" w:lineRule="auto"/>
        <w:ind w:firstLine="709"/>
        <w:jc w:val="both"/>
        <w:rPr>
          <w:szCs w:val="28"/>
        </w:rPr>
      </w:pPr>
      <w:r>
        <w:rPr>
          <w:szCs w:val="28"/>
        </w:rPr>
        <w:t>- о</w:t>
      </w:r>
      <w:r w:rsidRPr="00101D6A">
        <w:rPr>
          <w:szCs w:val="28"/>
        </w:rPr>
        <w:t>б исполнении инвестиционной программы Муниципального унитарного предприятия г. Новосибирска «ГОРВОДОКАНАЛ» «Развитие систем водоснабжения и водоотведения» на 2020-2024 годы и ее корректировка по факту 2024 года</w:t>
      </w:r>
      <w:r>
        <w:rPr>
          <w:szCs w:val="28"/>
        </w:rPr>
        <w:t>;</w:t>
      </w:r>
    </w:p>
    <w:p w:rsidR="00777DCF" w:rsidRDefault="00777DCF" w:rsidP="00777DCF">
      <w:pPr>
        <w:spacing w:after="0" w:line="240" w:lineRule="auto"/>
        <w:ind w:firstLine="709"/>
        <w:jc w:val="both"/>
        <w:rPr>
          <w:szCs w:val="28"/>
        </w:rPr>
      </w:pPr>
      <w:r>
        <w:rPr>
          <w:szCs w:val="28"/>
        </w:rPr>
        <w:t>- о</w:t>
      </w:r>
      <w:r w:rsidRPr="00101D6A">
        <w:rPr>
          <w:szCs w:val="28"/>
        </w:rPr>
        <w:t>б утверждении инвестиционной программы Муниципального унитарного предприятия г. Новосибирска «ГОРВОДОКАНАЛ» «Развитие систем водоснабжения и водоотведения» на 2025-2029 годы</w:t>
      </w:r>
      <w:r>
        <w:rPr>
          <w:szCs w:val="28"/>
        </w:rPr>
        <w:t>.</w:t>
      </w:r>
    </w:p>
    <w:p w:rsidR="00777DCF" w:rsidRPr="00101D6A" w:rsidRDefault="00777DCF" w:rsidP="00777DCF">
      <w:pPr>
        <w:spacing w:after="0" w:line="240" w:lineRule="auto"/>
        <w:ind w:firstLine="709"/>
        <w:jc w:val="both"/>
        <w:rPr>
          <w:szCs w:val="28"/>
        </w:rPr>
      </w:pPr>
      <w:r w:rsidRPr="00101D6A">
        <w:rPr>
          <w:szCs w:val="28"/>
        </w:rPr>
        <w:t>Кроме того, были заслушаны отчеты о реализации утвержденных на территории Новосибирской области инвестиционных программ в сферах электроэнергетики, водоснабжения и водоотведения.</w:t>
      </w:r>
    </w:p>
    <w:p w:rsidR="00777DCF" w:rsidRDefault="00777DCF" w:rsidP="00777DCF">
      <w:pPr>
        <w:spacing w:after="0" w:line="240" w:lineRule="auto"/>
        <w:ind w:firstLine="709"/>
        <w:jc w:val="both"/>
        <w:rPr>
          <w:szCs w:val="28"/>
        </w:rPr>
      </w:pPr>
      <w:r w:rsidRPr="003E4FD9">
        <w:rPr>
          <w:szCs w:val="28"/>
        </w:rPr>
        <w:t xml:space="preserve">С информацией о Совете и его деятельности (положение о Совете, повестки заседания Совета, протоколы заседаний) можно ознакомиться на официальном сайте департамента в сети «Интернет» </w:t>
      </w:r>
      <w:hyperlink r:id="rId205" w:history="1">
        <w:r w:rsidRPr="00B90C45">
          <w:rPr>
            <w:rStyle w:val="a3"/>
          </w:rPr>
          <w:t>https://tarif.nso.ru/page/149</w:t>
        </w:r>
      </w:hyperlink>
      <w:r>
        <w:rPr>
          <w:szCs w:val="28"/>
        </w:rPr>
        <w:t>.</w:t>
      </w:r>
    </w:p>
    <w:p w:rsidR="00777DCF" w:rsidRPr="003E4FD9" w:rsidRDefault="00777DCF" w:rsidP="00777DCF">
      <w:pPr>
        <w:keepNext/>
        <w:spacing w:before="240" w:after="0" w:line="240" w:lineRule="auto"/>
        <w:ind w:firstLine="708"/>
        <w:jc w:val="both"/>
        <w:outlineLvl w:val="3"/>
        <w:rPr>
          <w:rFonts w:eastAsia="Calibri"/>
          <w:b/>
          <w:bCs/>
          <w:szCs w:val="28"/>
        </w:rPr>
      </w:pPr>
      <w:r w:rsidRPr="003E4FD9">
        <w:rPr>
          <w:rFonts w:eastAsia="Calibri"/>
          <w:b/>
          <w:bCs/>
          <w:szCs w:val="28"/>
        </w:rPr>
        <w:t>4.2. Совет при департаменте по тарифам Новосибирской области</w:t>
      </w:r>
    </w:p>
    <w:p w:rsidR="00777DCF" w:rsidRDefault="00777DCF" w:rsidP="00777DCF">
      <w:pPr>
        <w:spacing w:after="0" w:line="240" w:lineRule="auto"/>
        <w:ind w:firstLine="709"/>
        <w:jc w:val="both"/>
        <w:rPr>
          <w:szCs w:val="28"/>
        </w:rPr>
      </w:pPr>
    </w:p>
    <w:p w:rsidR="00777DCF" w:rsidRPr="003E4FD9" w:rsidRDefault="00777DCF" w:rsidP="00777DCF">
      <w:pPr>
        <w:spacing w:after="0" w:line="240" w:lineRule="auto"/>
        <w:ind w:firstLine="709"/>
        <w:jc w:val="both"/>
        <w:rPr>
          <w:szCs w:val="28"/>
        </w:rPr>
      </w:pPr>
      <w:r w:rsidRPr="003E4FD9">
        <w:rPr>
          <w:szCs w:val="28"/>
        </w:rPr>
        <w:t>Приказом департамента от 28.08.2017 № 312 «О создании Совета при департаменте по тарифам Новосибирской области» создан совещательный орган при департаменте (далее – Совет при департаменте).</w:t>
      </w:r>
    </w:p>
    <w:p w:rsidR="00585C99" w:rsidRPr="00777DCF" w:rsidRDefault="00585C99" w:rsidP="00585C99">
      <w:pPr>
        <w:spacing w:after="0" w:line="240" w:lineRule="auto"/>
        <w:ind w:firstLine="709"/>
        <w:jc w:val="both"/>
        <w:rPr>
          <w:szCs w:val="28"/>
        </w:rPr>
      </w:pPr>
      <w:r w:rsidRPr="00777DCF">
        <w:rPr>
          <w:szCs w:val="28"/>
        </w:rPr>
        <w:t>В 202</w:t>
      </w:r>
      <w:r w:rsidR="00777DCF" w:rsidRPr="00777DCF">
        <w:rPr>
          <w:szCs w:val="28"/>
        </w:rPr>
        <w:t>4</w:t>
      </w:r>
      <w:r w:rsidRPr="00777DCF">
        <w:rPr>
          <w:szCs w:val="28"/>
        </w:rPr>
        <w:t xml:space="preserve"> году заседания Совета при департаменте не проводились.</w:t>
      </w:r>
    </w:p>
    <w:p w:rsidR="00585C99" w:rsidRDefault="00585C99"/>
    <w:p w:rsidR="00585C99" w:rsidRDefault="00585C99"/>
    <w:p w:rsidR="006E2A6E" w:rsidRDefault="006E2A6E"/>
    <w:p w:rsidR="006E2A6E" w:rsidRDefault="006E2A6E"/>
    <w:p w:rsidR="006E2A6E" w:rsidRDefault="006E2A6E"/>
    <w:p w:rsidR="006E2A6E" w:rsidRDefault="006E2A6E"/>
    <w:p w:rsidR="006E2A6E" w:rsidRDefault="006E2A6E"/>
    <w:p w:rsidR="006E2A6E" w:rsidRDefault="006E2A6E"/>
    <w:p w:rsidR="00585C99" w:rsidRPr="00585C99" w:rsidRDefault="00585C99" w:rsidP="006E2A6E">
      <w:pPr>
        <w:pStyle w:val="20231"/>
      </w:pPr>
      <w:bookmarkStart w:id="156" w:name="_Toc415563591"/>
      <w:bookmarkStart w:id="157" w:name="_Toc162431974"/>
      <w:bookmarkStart w:id="158" w:name="_Toc193810598"/>
      <w:r w:rsidRPr="00585C99">
        <w:t>5. Государственная гражданская служба в департаменте</w:t>
      </w:r>
      <w:bookmarkEnd w:id="156"/>
      <w:bookmarkEnd w:id="157"/>
      <w:bookmarkEnd w:id="158"/>
    </w:p>
    <w:p w:rsidR="00585C99" w:rsidRPr="00AB0F72" w:rsidRDefault="00585C99" w:rsidP="006E2A6E">
      <w:pPr>
        <w:pStyle w:val="4"/>
      </w:pPr>
      <w:bookmarkStart w:id="159" w:name="_Toc193810599"/>
      <w:r>
        <w:t>5</w:t>
      </w:r>
      <w:r w:rsidRPr="00AB0F72">
        <w:t>.1. Государственная гражданская служба в департаменте</w:t>
      </w:r>
      <w:bookmarkEnd w:id="159"/>
    </w:p>
    <w:p w:rsidR="00585C99" w:rsidRPr="00E77369" w:rsidRDefault="00585C99" w:rsidP="006D3FBF">
      <w:pPr>
        <w:pStyle w:val="17"/>
        <w:ind w:firstLine="708"/>
        <w:jc w:val="both"/>
        <w:rPr>
          <w:rFonts w:ascii="Times New Roman" w:hAnsi="Times New Roman"/>
          <w:sz w:val="28"/>
          <w:szCs w:val="28"/>
          <w:lang w:val="ru-RU"/>
        </w:rPr>
      </w:pPr>
      <w:r w:rsidRPr="00E77369">
        <w:rPr>
          <w:rFonts w:ascii="Times New Roman" w:hAnsi="Times New Roman"/>
          <w:sz w:val="28"/>
          <w:szCs w:val="28"/>
          <w:lang w:val="ru-RU"/>
        </w:rPr>
        <w:t xml:space="preserve">На </w:t>
      </w:r>
      <w:r w:rsidR="006E2A6E">
        <w:rPr>
          <w:rFonts w:ascii="Times New Roman" w:hAnsi="Times New Roman"/>
          <w:sz w:val="28"/>
          <w:szCs w:val="28"/>
          <w:lang w:val="ru-RU"/>
        </w:rPr>
        <w:t>отчетную дату</w:t>
      </w:r>
      <w:r w:rsidRPr="00E77369">
        <w:rPr>
          <w:rFonts w:ascii="Times New Roman" w:hAnsi="Times New Roman"/>
          <w:sz w:val="28"/>
          <w:szCs w:val="28"/>
          <w:lang w:val="ru-RU"/>
        </w:rPr>
        <w:t xml:space="preserve"> организационно-штатная структура департамента, </w:t>
      </w:r>
    </w:p>
    <w:p w:rsidR="00585C99" w:rsidRPr="00AB0F72" w:rsidRDefault="00585C99" w:rsidP="006D3FBF">
      <w:pPr>
        <w:pStyle w:val="17"/>
        <w:jc w:val="both"/>
        <w:rPr>
          <w:rFonts w:ascii="Times New Roman" w:hAnsi="Times New Roman"/>
          <w:sz w:val="28"/>
          <w:szCs w:val="28"/>
          <w:lang w:val="ru-RU"/>
        </w:rPr>
      </w:pPr>
      <w:r w:rsidRPr="00E77369">
        <w:rPr>
          <w:rFonts w:ascii="Times New Roman" w:hAnsi="Times New Roman"/>
          <w:sz w:val="28"/>
          <w:szCs w:val="28"/>
          <w:lang w:val="ru-RU"/>
        </w:rPr>
        <w:t>сформированная в рамках установленной Губернатором Новосибирской области предельной штатной численности</w:t>
      </w:r>
      <w:r>
        <w:rPr>
          <w:rFonts w:ascii="Times New Roman" w:hAnsi="Times New Roman"/>
          <w:sz w:val="28"/>
          <w:szCs w:val="28"/>
          <w:lang w:val="ru-RU"/>
        </w:rPr>
        <w:t>,</w:t>
      </w:r>
      <w:r w:rsidRPr="00E77369">
        <w:rPr>
          <w:rFonts w:ascii="Times New Roman" w:hAnsi="Times New Roman"/>
          <w:sz w:val="28"/>
          <w:szCs w:val="28"/>
          <w:lang w:val="ru-RU"/>
        </w:rPr>
        <w:t xml:space="preserve"> составляет 85 штатных единиц, представлена 9 отделами и построена по единому функциональному принципу на базе Реестра должностей государственной гражданской службы Новосибирской области в соответствии с Законом Новосибирской области от 06.04.2005 № 287-ОЗ «О Реестре должностей государственной гражданской службы Новосибирской области».</w:t>
      </w:r>
    </w:p>
    <w:p w:rsidR="00585C99" w:rsidRDefault="00585C99" w:rsidP="006D3FBF">
      <w:pPr>
        <w:pStyle w:val="17"/>
        <w:ind w:firstLine="720"/>
        <w:jc w:val="both"/>
        <w:rPr>
          <w:rFonts w:ascii="Times New Roman" w:hAnsi="Times New Roman"/>
          <w:sz w:val="28"/>
          <w:szCs w:val="28"/>
          <w:lang w:val="ru-RU"/>
        </w:rPr>
      </w:pPr>
      <w:r w:rsidRPr="00257376">
        <w:rPr>
          <w:rFonts w:ascii="Times New Roman" w:hAnsi="Times New Roman"/>
          <w:sz w:val="28"/>
          <w:szCs w:val="28"/>
          <w:lang w:val="ru-RU"/>
        </w:rPr>
        <w:t>По состоянию на 31 декабря 2024 года фактическая численность департамента составляет 77</w:t>
      </w:r>
      <w:r>
        <w:rPr>
          <w:rFonts w:ascii="Times New Roman" w:hAnsi="Times New Roman"/>
          <w:sz w:val="28"/>
          <w:szCs w:val="28"/>
          <w:lang w:val="ru-RU"/>
        </w:rPr>
        <w:t xml:space="preserve"> человек:</w:t>
      </w:r>
    </w:p>
    <w:p w:rsidR="00585C99" w:rsidRDefault="00585C99" w:rsidP="006D3FBF">
      <w:pPr>
        <w:pStyle w:val="17"/>
        <w:ind w:firstLine="720"/>
        <w:jc w:val="both"/>
        <w:rPr>
          <w:rFonts w:ascii="Times New Roman" w:hAnsi="Times New Roman"/>
          <w:sz w:val="28"/>
          <w:szCs w:val="28"/>
          <w:lang w:val="ru-RU"/>
        </w:rPr>
      </w:pPr>
      <w:r w:rsidRPr="00257376">
        <w:rPr>
          <w:rFonts w:ascii="Times New Roman" w:hAnsi="Times New Roman"/>
          <w:sz w:val="28"/>
          <w:szCs w:val="28"/>
          <w:lang w:val="ru-RU"/>
        </w:rPr>
        <w:t>70</w:t>
      </w:r>
      <w:r>
        <w:rPr>
          <w:rFonts w:ascii="Times New Roman" w:hAnsi="Times New Roman"/>
          <w:sz w:val="28"/>
          <w:szCs w:val="28"/>
          <w:lang w:val="ru-RU"/>
        </w:rPr>
        <w:t xml:space="preserve"> человек – </w:t>
      </w:r>
      <w:r w:rsidRPr="00257376">
        <w:rPr>
          <w:rFonts w:ascii="Times New Roman" w:hAnsi="Times New Roman"/>
          <w:sz w:val="28"/>
          <w:szCs w:val="28"/>
          <w:lang w:val="ru-RU"/>
        </w:rPr>
        <w:t>государственны</w:t>
      </w:r>
      <w:r>
        <w:rPr>
          <w:rFonts w:ascii="Times New Roman" w:hAnsi="Times New Roman"/>
          <w:sz w:val="28"/>
          <w:szCs w:val="28"/>
          <w:lang w:val="ru-RU"/>
        </w:rPr>
        <w:t>е</w:t>
      </w:r>
      <w:r w:rsidRPr="00257376">
        <w:rPr>
          <w:rFonts w:ascii="Times New Roman" w:hAnsi="Times New Roman"/>
          <w:sz w:val="28"/>
          <w:szCs w:val="28"/>
          <w:lang w:val="ru-RU"/>
        </w:rPr>
        <w:t xml:space="preserve"> гражданские служащие</w:t>
      </w:r>
      <w:r>
        <w:rPr>
          <w:rFonts w:ascii="Times New Roman" w:hAnsi="Times New Roman"/>
          <w:sz w:val="28"/>
          <w:szCs w:val="28"/>
          <w:lang w:val="ru-RU"/>
        </w:rPr>
        <w:t>;</w:t>
      </w:r>
    </w:p>
    <w:p w:rsidR="00585C99" w:rsidRPr="00AB0F72" w:rsidRDefault="00585C99" w:rsidP="006D3FBF">
      <w:pPr>
        <w:pStyle w:val="17"/>
        <w:ind w:firstLine="720"/>
        <w:jc w:val="both"/>
        <w:rPr>
          <w:rFonts w:ascii="Times New Roman" w:hAnsi="Times New Roman"/>
          <w:sz w:val="28"/>
          <w:szCs w:val="28"/>
          <w:lang w:val="ru-RU"/>
        </w:rPr>
      </w:pPr>
      <w:r w:rsidRPr="00257376">
        <w:rPr>
          <w:rFonts w:ascii="Times New Roman" w:hAnsi="Times New Roman"/>
          <w:sz w:val="28"/>
          <w:szCs w:val="28"/>
          <w:lang w:val="ru-RU"/>
        </w:rPr>
        <w:t>7</w:t>
      </w:r>
      <w:r>
        <w:rPr>
          <w:rFonts w:ascii="Times New Roman" w:hAnsi="Times New Roman"/>
          <w:sz w:val="28"/>
          <w:szCs w:val="28"/>
          <w:lang w:val="ru-RU"/>
        </w:rPr>
        <w:t xml:space="preserve"> человек </w:t>
      </w:r>
      <w:r w:rsidRPr="00257376">
        <w:rPr>
          <w:rFonts w:ascii="Times New Roman" w:hAnsi="Times New Roman"/>
          <w:sz w:val="28"/>
          <w:szCs w:val="28"/>
          <w:lang w:val="ru-RU"/>
        </w:rPr>
        <w:t>занимают должности, не являющиеся должностями государственной гражданской службы.</w:t>
      </w:r>
    </w:p>
    <w:p w:rsidR="008803C5" w:rsidRDefault="00585C99" w:rsidP="008803C5">
      <w:pPr>
        <w:autoSpaceDE w:val="0"/>
        <w:autoSpaceDN w:val="0"/>
        <w:adjustRightInd w:val="0"/>
        <w:spacing w:after="0" w:line="240" w:lineRule="auto"/>
        <w:ind w:firstLine="708"/>
        <w:jc w:val="both"/>
        <w:rPr>
          <w:szCs w:val="28"/>
        </w:rPr>
      </w:pPr>
      <w:r w:rsidRPr="00AB0F72">
        <w:rPr>
          <w:szCs w:val="28"/>
        </w:rPr>
        <w:t xml:space="preserve">Всего </w:t>
      </w:r>
      <w:r>
        <w:rPr>
          <w:szCs w:val="28"/>
        </w:rPr>
        <w:t>в 2024 году в департаменте были:</w:t>
      </w:r>
    </w:p>
    <w:p w:rsidR="00585C99" w:rsidRPr="00B33348" w:rsidRDefault="00585C99" w:rsidP="008803C5">
      <w:pPr>
        <w:autoSpaceDE w:val="0"/>
        <w:autoSpaceDN w:val="0"/>
        <w:adjustRightInd w:val="0"/>
        <w:spacing w:after="0" w:line="240" w:lineRule="auto"/>
        <w:ind w:firstLine="708"/>
        <w:jc w:val="both"/>
        <w:rPr>
          <w:rFonts w:eastAsia="Calibri"/>
          <w:szCs w:val="28"/>
        </w:rPr>
      </w:pPr>
      <w:r>
        <w:rPr>
          <w:szCs w:val="28"/>
        </w:rPr>
        <w:t>1) приняты и назначены на должности государственной гражданской службы 11 человек, в том числе, 8</w:t>
      </w:r>
      <w:r w:rsidRPr="003D5F49">
        <w:rPr>
          <w:szCs w:val="28"/>
        </w:rPr>
        <w:t xml:space="preserve"> – из кадрового резерва, 1 – по срочному служебному контракту, 1 – по результатам конкурса, 1 – в связи с </w:t>
      </w:r>
      <w:r>
        <w:rPr>
          <w:rFonts w:eastAsia="Calibri"/>
          <w:szCs w:val="28"/>
        </w:rPr>
        <w:t xml:space="preserve">сокращением замещаемой гражданским служащим должности гражданской службы </w:t>
      </w:r>
      <w:r>
        <w:rPr>
          <w:szCs w:val="28"/>
        </w:rPr>
        <w:t>(</w:t>
      </w:r>
      <w:r w:rsidRPr="003D5F49">
        <w:rPr>
          <w:szCs w:val="28"/>
        </w:rPr>
        <w:t>средний возраст</w:t>
      </w:r>
      <w:r>
        <w:rPr>
          <w:szCs w:val="28"/>
        </w:rPr>
        <w:t xml:space="preserve"> принятых и назначенных гражданских служащих</w:t>
      </w:r>
      <w:r w:rsidRPr="003D5F49">
        <w:rPr>
          <w:szCs w:val="28"/>
        </w:rPr>
        <w:t xml:space="preserve"> составляет 42 года</w:t>
      </w:r>
      <w:r>
        <w:rPr>
          <w:szCs w:val="28"/>
        </w:rPr>
        <w:t>)</w:t>
      </w:r>
      <w:r w:rsidRPr="003D5F49">
        <w:rPr>
          <w:szCs w:val="28"/>
        </w:rPr>
        <w:t>;</w:t>
      </w:r>
      <w:r w:rsidRPr="003D5F49">
        <w:rPr>
          <w:i/>
          <w:szCs w:val="28"/>
        </w:rPr>
        <w:t xml:space="preserve"> </w:t>
      </w:r>
    </w:p>
    <w:p w:rsidR="00585C99" w:rsidRPr="00B33348" w:rsidRDefault="00585C99" w:rsidP="008803C5">
      <w:pPr>
        <w:autoSpaceDE w:val="0"/>
        <w:autoSpaceDN w:val="0"/>
        <w:adjustRightInd w:val="0"/>
        <w:spacing w:after="0" w:line="240" w:lineRule="auto"/>
        <w:ind w:firstLine="708"/>
        <w:jc w:val="both"/>
        <w:rPr>
          <w:rFonts w:eastAsia="Calibri"/>
          <w:szCs w:val="28"/>
        </w:rPr>
      </w:pPr>
      <w:r w:rsidRPr="00B33348">
        <w:rPr>
          <w:szCs w:val="28"/>
        </w:rPr>
        <w:t>2) приняты на должности, не являющиеся должностями государственной гражданской службы, 2 человека</w:t>
      </w:r>
      <w:r>
        <w:rPr>
          <w:szCs w:val="28"/>
        </w:rPr>
        <w:t>;</w:t>
      </w:r>
      <w:r w:rsidRPr="00B33348">
        <w:rPr>
          <w:szCs w:val="28"/>
        </w:rPr>
        <w:t xml:space="preserve"> средний возраст принятых – 34 года.</w:t>
      </w:r>
    </w:p>
    <w:p w:rsidR="00585C99" w:rsidRPr="00C3512B" w:rsidRDefault="00585C99" w:rsidP="008803C5">
      <w:pPr>
        <w:autoSpaceDE w:val="0"/>
        <w:autoSpaceDN w:val="0"/>
        <w:adjustRightInd w:val="0"/>
        <w:spacing w:after="0" w:line="240" w:lineRule="auto"/>
        <w:ind w:firstLine="708"/>
        <w:jc w:val="both"/>
        <w:rPr>
          <w:rFonts w:eastAsia="Calibri"/>
          <w:szCs w:val="28"/>
        </w:rPr>
      </w:pPr>
      <w:r>
        <w:rPr>
          <w:szCs w:val="28"/>
        </w:rPr>
        <w:t>В 2024 году с государственной гражданской службы было уволено 5</w:t>
      </w:r>
      <w:r w:rsidRPr="00C3512B">
        <w:rPr>
          <w:szCs w:val="28"/>
        </w:rPr>
        <w:t xml:space="preserve"> государственных гражданских</w:t>
      </w:r>
      <w:r>
        <w:rPr>
          <w:szCs w:val="28"/>
        </w:rPr>
        <w:t xml:space="preserve"> служащих, все по</w:t>
      </w:r>
      <w:r w:rsidRPr="00C3512B">
        <w:rPr>
          <w:szCs w:val="28"/>
        </w:rPr>
        <w:t xml:space="preserve"> </w:t>
      </w:r>
      <w:r>
        <w:rPr>
          <w:szCs w:val="28"/>
        </w:rPr>
        <w:t>собственной инициативе.</w:t>
      </w:r>
      <w:r w:rsidRPr="00C3512B">
        <w:rPr>
          <w:szCs w:val="28"/>
        </w:rPr>
        <w:t xml:space="preserve"> </w:t>
      </w:r>
    </w:p>
    <w:p w:rsidR="00585C99" w:rsidRPr="00194877" w:rsidRDefault="00585C99" w:rsidP="006D3FBF">
      <w:pPr>
        <w:pStyle w:val="17"/>
        <w:ind w:firstLine="720"/>
        <w:jc w:val="both"/>
        <w:rPr>
          <w:rFonts w:ascii="Times New Roman" w:hAnsi="Times New Roman"/>
          <w:sz w:val="28"/>
          <w:szCs w:val="28"/>
          <w:lang w:val="ru-RU"/>
        </w:rPr>
      </w:pPr>
      <w:r w:rsidRPr="00C3512B">
        <w:rPr>
          <w:rFonts w:ascii="Times New Roman" w:hAnsi="Times New Roman"/>
          <w:sz w:val="28"/>
          <w:szCs w:val="28"/>
          <w:lang w:val="ru-RU"/>
        </w:rPr>
        <w:t>Из числа фактически работающих государственных г</w:t>
      </w:r>
      <w:r w:rsidRPr="00194877">
        <w:rPr>
          <w:rFonts w:ascii="Times New Roman" w:hAnsi="Times New Roman"/>
          <w:sz w:val="28"/>
          <w:szCs w:val="28"/>
          <w:lang w:val="ru-RU"/>
        </w:rPr>
        <w:t>ражданских служащих:</w:t>
      </w:r>
    </w:p>
    <w:p w:rsidR="00585C99" w:rsidRPr="00AA4583" w:rsidRDefault="00585C99" w:rsidP="006D3FBF">
      <w:pPr>
        <w:pStyle w:val="17"/>
        <w:ind w:firstLine="720"/>
        <w:jc w:val="both"/>
        <w:rPr>
          <w:rFonts w:ascii="Times New Roman" w:hAnsi="Times New Roman"/>
          <w:sz w:val="28"/>
          <w:szCs w:val="28"/>
          <w:lang w:val="ru-RU"/>
        </w:rPr>
      </w:pPr>
      <w:r>
        <w:rPr>
          <w:rFonts w:ascii="Times New Roman" w:hAnsi="Times New Roman"/>
          <w:sz w:val="28"/>
          <w:szCs w:val="28"/>
          <w:lang w:val="ru-RU"/>
        </w:rPr>
        <w:t>ж</w:t>
      </w:r>
      <w:r w:rsidRPr="009768FC">
        <w:rPr>
          <w:rFonts w:ascii="Times New Roman" w:hAnsi="Times New Roman"/>
          <w:sz w:val="28"/>
          <w:szCs w:val="28"/>
          <w:lang w:val="ru-RU"/>
        </w:rPr>
        <w:t xml:space="preserve">енщин </w:t>
      </w:r>
      <w:r w:rsidRPr="00AA4583">
        <w:rPr>
          <w:rFonts w:ascii="Times New Roman" w:hAnsi="Times New Roman"/>
          <w:sz w:val="28"/>
          <w:szCs w:val="28"/>
          <w:lang w:val="ru-RU"/>
        </w:rPr>
        <w:t xml:space="preserve">– </w:t>
      </w:r>
      <w:r>
        <w:rPr>
          <w:rFonts w:ascii="Times New Roman" w:hAnsi="Times New Roman"/>
          <w:sz w:val="28"/>
          <w:szCs w:val="28"/>
          <w:lang w:val="ru-RU"/>
        </w:rPr>
        <w:t>70</w:t>
      </w:r>
      <w:r w:rsidRPr="00AA4583">
        <w:rPr>
          <w:rFonts w:ascii="Times New Roman" w:hAnsi="Times New Roman"/>
          <w:sz w:val="28"/>
          <w:szCs w:val="28"/>
          <w:lang w:val="ru-RU"/>
        </w:rPr>
        <w:t xml:space="preserve"> человек (91%);</w:t>
      </w:r>
    </w:p>
    <w:p w:rsidR="00585C99" w:rsidRPr="00AB0F72" w:rsidRDefault="00585C99" w:rsidP="006D3FBF">
      <w:pPr>
        <w:pStyle w:val="17"/>
        <w:ind w:firstLine="720"/>
        <w:jc w:val="both"/>
        <w:rPr>
          <w:rFonts w:ascii="Times New Roman" w:hAnsi="Times New Roman"/>
          <w:sz w:val="28"/>
          <w:szCs w:val="28"/>
          <w:lang w:val="ru-RU"/>
        </w:rPr>
      </w:pPr>
      <w:r w:rsidRPr="00AA4583">
        <w:rPr>
          <w:rFonts w:ascii="Times New Roman" w:hAnsi="Times New Roman"/>
          <w:sz w:val="28"/>
          <w:szCs w:val="28"/>
          <w:lang w:val="ru-RU"/>
        </w:rPr>
        <w:t xml:space="preserve">мужчин – 7 человек </w:t>
      </w:r>
      <w:r>
        <w:rPr>
          <w:rFonts w:ascii="Times New Roman" w:hAnsi="Times New Roman"/>
          <w:sz w:val="28"/>
          <w:szCs w:val="28"/>
          <w:lang w:val="ru-RU"/>
        </w:rPr>
        <w:t>(9</w:t>
      </w:r>
      <w:r w:rsidRPr="00AA4583">
        <w:rPr>
          <w:rFonts w:ascii="Times New Roman" w:hAnsi="Times New Roman"/>
          <w:sz w:val="28"/>
          <w:szCs w:val="28"/>
          <w:lang w:val="ru-RU"/>
        </w:rPr>
        <w:t>%).</w:t>
      </w:r>
      <w:r w:rsidRPr="00AB0F72">
        <w:rPr>
          <w:rFonts w:ascii="Times New Roman" w:hAnsi="Times New Roman"/>
          <w:sz w:val="28"/>
          <w:szCs w:val="28"/>
          <w:lang w:val="ru-RU"/>
        </w:rPr>
        <w:t xml:space="preserve"> </w:t>
      </w:r>
    </w:p>
    <w:p w:rsidR="00585C99" w:rsidRPr="00623996" w:rsidRDefault="00585C99" w:rsidP="006D3FBF">
      <w:pPr>
        <w:pStyle w:val="17"/>
        <w:ind w:firstLine="720"/>
        <w:jc w:val="both"/>
        <w:rPr>
          <w:rFonts w:ascii="Times New Roman" w:hAnsi="Times New Roman"/>
          <w:sz w:val="28"/>
          <w:szCs w:val="28"/>
          <w:lang w:val="ru-RU"/>
        </w:rPr>
      </w:pPr>
      <w:r w:rsidRPr="00623996">
        <w:rPr>
          <w:rFonts w:ascii="Times New Roman" w:hAnsi="Times New Roman"/>
          <w:sz w:val="28"/>
          <w:szCs w:val="28"/>
          <w:lang w:val="ru-RU"/>
        </w:rPr>
        <w:t>По возрастному признаку состав работающих государственных гражданских служащих распределяется следующим образом:</w:t>
      </w:r>
    </w:p>
    <w:p w:rsidR="00585C99" w:rsidRPr="003E4A64" w:rsidRDefault="00585C99" w:rsidP="006D3FBF">
      <w:pPr>
        <w:pStyle w:val="17"/>
        <w:ind w:firstLine="708"/>
        <w:jc w:val="both"/>
        <w:rPr>
          <w:rFonts w:ascii="Times New Roman" w:hAnsi="Times New Roman"/>
          <w:sz w:val="28"/>
          <w:szCs w:val="28"/>
          <w:lang w:val="ru-RU"/>
        </w:rPr>
      </w:pPr>
      <w:r w:rsidRPr="003E4A64">
        <w:rPr>
          <w:rFonts w:ascii="Times New Roman" w:hAnsi="Times New Roman"/>
          <w:sz w:val="28"/>
          <w:szCs w:val="28"/>
          <w:lang w:val="ru-RU"/>
        </w:rPr>
        <w:t>от 50 лет и старше – 22 человека (28%) - сотрудники опытные и способные передавать коллегам накопленные знания и трудовой опыт;</w:t>
      </w:r>
    </w:p>
    <w:p w:rsidR="00585C99" w:rsidRPr="003E4A64" w:rsidRDefault="00585C99" w:rsidP="006D3FBF">
      <w:pPr>
        <w:pStyle w:val="17"/>
        <w:ind w:firstLine="720"/>
        <w:jc w:val="both"/>
        <w:rPr>
          <w:rFonts w:ascii="Times New Roman" w:hAnsi="Times New Roman"/>
          <w:sz w:val="28"/>
          <w:szCs w:val="28"/>
          <w:lang w:val="ru-RU"/>
        </w:rPr>
      </w:pPr>
      <w:r w:rsidRPr="003E4A64">
        <w:rPr>
          <w:rFonts w:ascii="Times New Roman" w:hAnsi="Times New Roman"/>
          <w:sz w:val="28"/>
          <w:szCs w:val="28"/>
          <w:lang w:val="ru-RU"/>
        </w:rPr>
        <w:t>от 30 до 50 лет – 49 человек (64%) - сотрудники, находящиеся в самом трудоспособном возрасте;</w:t>
      </w:r>
    </w:p>
    <w:p w:rsidR="00585C99" w:rsidRPr="009768FC" w:rsidRDefault="00585C99" w:rsidP="006D3FBF">
      <w:pPr>
        <w:pStyle w:val="17"/>
        <w:ind w:firstLine="720"/>
        <w:jc w:val="both"/>
        <w:rPr>
          <w:rFonts w:ascii="Times New Roman" w:hAnsi="Times New Roman"/>
          <w:sz w:val="28"/>
          <w:szCs w:val="28"/>
          <w:lang w:val="ru-RU"/>
        </w:rPr>
      </w:pPr>
      <w:r w:rsidRPr="003E4A64">
        <w:rPr>
          <w:rFonts w:ascii="Times New Roman" w:hAnsi="Times New Roman"/>
          <w:sz w:val="28"/>
          <w:szCs w:val="28"/>
          <w:lang w:val="ru-RU"/>
        </w:rPr>
        <w:t>до 30 лет – 6 человек (8%) - молодые сотрудники, накапливающие трудовой опыт.</w:t>
      </w:r>
    </w:p>
    <w:p w:rsidR="00585C99" w:rsidRPr="00221E7D" w:rsidRDefault="00585C99" w:rsidP="006D3FBF">
      <w:pPr>
        <w:pStyle w:val="17"/>
        <w:ind w:firstLine="708"/>
        <w:jc w:val="both"/>
        <w:rPr>
          <w:rFonts w:ascii="Times New Roman" w:hAnsi="Times New Roman"/>
          <w:sz w:val="28"/>
          <w:szCs w:val="28"/>
          <w:lang w:val="ru-RU"/>
        </w:rPr>
      </w:pPr>
      <w:r w:rsidRPr="009768FC">
        <w:rPr>
          <w:rFonts w:ascii="Times New Roman" w:hAnsi="Times New Roman"/>
          <w:sz w:val="28"/>
          <w:szCs w:val="28"/>
          <w:lang w:val="ru-RU"/>
        </w:rPr>
        <w:t>По анализу</w:t>
      </w:r>
      <w:r w:rsidRPr="00221E7D">
        <w:rPr>
          <w:rFonts w:ascii="Times New Roman" w:hAnsi="Times New Roman"/>
          <w:sz w:val="28"/>
          <w:szCs w:val="28"/>
          <w:lang w:val="ru-RU"/>
        </w:rPr>
        <w:t xml:space="preserve"> возрастного признака кадрового состава можно рекомендовать увеличение количества молодых сотрудников.</w:t>
      </w:r>
    </w:p>
    <w:p w:rsidR="00585C99" w:rsidRDefault="00585C99" w:rsidP="006D3FBF">
      <w:pPr>
        <w:pStyle w:val="17"/>
        <w:ind w:firstLine="720"/>
        <w:jc w:val="both"/>
        <w:rPr>
          <w:rFonts w:ascii="Times New Roman" w:hAnsi="Times New Roman"/>
          <w:sz w:val="28"/>
          <w:szCs w:val="28"/>
          <w:lang w:val="ru-RU"/>
        </w:rPr>
      </w:pPr>
      <w:r w:rsidRPr="0075380D">
        <w:rPr>
          <w:rFonts w:ascii="Times New Roman" w:hAnsi="Times New Roman"/>
          <w:sz w:val="28"/>
          <w:szCs w:val="28"/>
          <w:lang w:val="ru-RU"/>
        </w:rPr>
        <w:lastRenderedPageBreak/>
        <w:t xml:space="preserve">Распределение сотрудников, замещающих должности государственной гражданской службы Новосибирской области в </w:t>
      </w:r>
      <w:r>
        <w:rPr>
          <w:rFonts w:ascii="Times New Roman" w:hAnsi="Times New Roman"/>
          <w:sz w:val="28"/>
          <w:szCs w:val="28"/>
          <w:lang w:val="ru-RU"/>
        </w:rPr>
        <w:t>д</w:t>
      </w:r>
      <w:r w:rsidRPr="0075380D">
        <w:rPr>
          <w:rFonts w:ascii="Times New Roman" w:hAnsi="Times New Roman"/>
          <w:sz w:val="28"/>
          <w:szCs w:val="28"/>
          <w:lang w:val="ru-RU"/>
        </w:rPr>
        <w:t>епартаменте, по стажу работы в государственных органах выглядит так:</w:t>
      </w:r>
    </w:p>
    <w:p w:rsidR="00585C99" w:rsidRPr="009701B2" w:rsidRDefault="00585C99" w:rsidP="006D3FBF">
      <w:pPr>
        <w:pStyle w:val="17"/>
        <w:ind w:firstLine="720"/>
        <w:jc w:val="both"/>
        <w:rPr>
          <w:rFonts w:ascii="Times New Roman" w:hAnsi="Times New Roman"/>
          <w:sz w:val="28"/>
          <w:szCs w:val="28"/>
          <w:lang w:val="ru-RU"/>
        </w:rPr>
      </w:pPr>
      <w:r w:rsidRPr="009701B2">
        <w:rPr>
          <w:rFonts w:ascii="Times New Roman" w:hAnsi="Times New Roman"/>
          <w:sz w:val="28"/>
          <w:szCs w:val="28"/>
          <w:lang w:val="ru-RU"/>
        </w:rPr>
        <w:t xml:space="preserve">менее 1 года – </w:t>
      </w:r>
      <w:r>
        <w:rPr>
          <w:rFonts w:ascii="Times New Roman" w:hAnsi="Times New Roman"/>
          <w:sz w:val="28"/>
          <w:szCs w:val="28"/>
          <w:lang w:val="ru-RU"/>
        </w:rPr>
        <w:t>2 человека (3</w:t>
      </w:r>
      <w:r w:rsidRPr="009701B2">
        <w:rPr>
          <w:rFonts w:ascii="Times New Roman" w:hAnsi="Times New Roman"/>
          <w:sz w:val="28"/>
          <w:szCs w:val="28"/>
          <w:lang w:val="ru-RU"/>
        </w:rPr>
        <w:t>%);</w:t>
      </w:r>
    </w:p>
    <w:p w:rsidR="00585C99" w:rsidRPr="009701B2" w:rsidRDefault="00585C99" w:rsidP="006D3FBF">
      <w:pPr>
        <w:pStyle w:val="17"/>
        <w:ind w:firstLine="708"/>
        <w:jc w:val="both"/>
        <w:rPr>
          <w:rFonts w:ascii="Times New Roman" w:hAnsi="Times New Roman"/>
          <w:sz w:val="28"/>
          <w:szCs w:val="28"/>
          <w:lang w:val="ru-RU"/>
        </w:rPr>
      </w:pPr>
      <w:r w:rsidRPr="009701B2">
        <w:rPr>
          <w:rFonts w:ascii="Times New Roman" w:hAnsi="Times New Roman"/>
          <w:sz w:val="28"/>
          <w:szCs w:val="28"/>
          <w:lang w:val="ru-RU"/>
        </w:rPr>
        <w:t xml:space="preserve">от 1 до 5 лет – </w:t>
      </w:r>
      <w:r>
        <w:rPr>
          <w:rFonts w:ascii="Times New Roman" w:hAnsi="Times New Roman"/>
          <w:sz w:val="28"/>
          <w:szCs w:val="28"/>
          <w:lang w:val="ru-RU"/>
        </w:rPr>
        <w:t>5</w:t>
      </w:r>
      <w:r w:rsidRPr="009701B2">
        <w:rPr>
          <w:rFonts w:ascii="Times New Roman" w:hAnsi="Times New Roman"/>
          <w:sz w:val="28"/>
          <w:szCs w:val="28"/>
          <w:lang w:val="ru-RU"/>
        </w:rPr>
        <w:t xml:space="preserve"> человек (</w:t>
      </w:r>
      <w:r>
        <w:rPr>
          <w:rFonts w:ascii="Times New Roman" w:hAnsi="Times New Roman"/>
          <w:sz w:val="28"/>
          <w:szCs w:val="28"/>
          <w:lang w:val="ru-RU"/>
        </w:rPr>
        <w:t>7</w:t>
      </w:r>
      <w:r w:rsidRPr="009701B2">
        <w:rPr>
          <w:rFonts w:ascii="Times New Roman" w:hAnsi="Times New Roman"/>
          <w:sz w:val="28"/>
          <w:szCs w:val="28"/>
          <w:lang w:val="ru-RU"/>
        </w:rPr>
        <w:t>%);</w:t>
      </w:r>
    </w:p>
    <w:p w:rsidR="00585C99" w:rsidRPr="009701B2" w:rsidRDefault="00585C99" w:rsidP="006D3FBF">
      <w:pPr>
        <w:pStyle w:val="17"/>
        <w:ind w:firstLine="708"/>
        <w:jc w:val="both"/>
        <w:rPr>
          <w:rFonts w:ascii="Times New Roman" w:hAnsi="Times New Roman"/>
          <w:sz w:val="28"/>
          <w:szCs w:val="28"/>
          <w:lang w:val="ru-RU"/>
        </w:rPr>
      </w:pPr>
      <w:r w:rsidRPr="009701B2">
        <w:rPr>
          <w:rFonts w:ascii="Times New Roman" w:hAnsi="Times New Roman"/>
          <w:sz w:val="28"/>
          <w:szCs w:val="28"/>
          <w:lang w:val="ru-RU"/>
        </w:rPr>
        <w:t xml:space="preserve">от 5 до 10 лет – </w:t>
      </w:r>
      <w:r>
        <w:rPr>
          <w:rFonts w:ascii="Times New Roman" w:hAnsi="Times New Roman"/>
          <w:sz w:val="28"/>
          <w:szCs w:val="28"/>
          <w:lang w:val="ru-RU"/>
        </w:rPr>
        <w:t>19</w:t>
      </w:r>
      <w:r w:rsidRPr="009701B2">
        <w:rPr>
          <w:rFonts w:ascii="Times New Roman" w:hAnsi="Times New Roman"/>
          <w:sz w:val="28"/>
          <w:szCs w:val="28"/>
          <w:lang w:val="ru-RU"/>
        </w:rPr>
        <w:t xml:space="preserve"> человек (</w:t>
      </w:r>
      <w:r>
        <w:rPr>
          <w:rFonts w:ascii="Times New Roman" w:hAnsi="Times New Roman"/>
          <w:sz w:val="28"/>
          <w:szCs w:val="28"/>
          <w:lang w:val="ru-RU"/>
        </w:rPr>
        <w:t>27</w:t>
      </w:r>
      <w:r w:rsidRPr="009701B2">
        <w:rPr>
          <w:rFonts w:ascii="Times New Roman" w:hAnsi="Times New Roman"/>
          <w:sz w:val="28"/>
          <w:szCs w:val="28"/>
          <w:lang w:val="ru-RU"/>
        </w:rPr>
        <w:t>%);</w:t>
      </w:r>
    </w:p>
    <w:p w:rsidR="00585C99" w:rsidRPr="00221E7D" w:rsidRDefault="00585C99" w:rsidP="006D3FBF">
      <w:pPr>
        <w:pStyle w:val="17"/>
        <w:ind w:firstLine="708"/>
        <w:jc w:val="both"/>
        <w:rPr>
          <w:rFonts w:ascii="Times New Roman" w:hAnsi="Times New Roman"/>
          <w:sz w:val="28"/>
          <w:szCs w:val="28"/>
          <w:lang w:val="ru-RU"/>
        </w:rPr>
      </w:pPr>
      <w:r w:rsidRPr="009701B2">
        <w:rPr>
          <w:rFonts w:ascii="Times New Roman" w:hAnsi="Times New Roman"/>
          <w:sz w:val="28"/>
          <w:szCs w:val="28"/>
          <w:lang w:val="ru-RU"/>
        </w:rPr>
        <w:t xml:space="preserve">свыше 10 лет – </w:t>
      </w:r>
      <w:r>
        <w:rPr>
          <w:rFonts w:ascii="Times New Roman" w:hAnsi="Times New Roman"/>
          <w:sz w:val="28"/>
          <w:szCs w:val="28"/>
          <w:lang w:val="ru-RU"/>
        </w:rPr>
        <w:t>44</w:t>
      </w:r>
      <w:r w:rsidRPr="009701B2">
        <w:rPr>
          <w:rFonts w:ascii="Times New Roman" w:hAnsi="Times New Roman"/>
          <w:sz w:val="28"/>
          <w:szCs w:val="28"/>
          <w:lang w:val="ru-RU"/>
        </w:rPr>
        <w:t xml:space="preserve"> человек (</w:t>
      </w:r>
      <w:r>
        <w:rPr>
          <w:rFonts w:ascii="Times New Roman" w:hAnsi="Times New Roman"/>
          <w:sz w:val="28"/>
          <w:szCs w:val="28"/>
          <w:lang w:val="ru-RU"/>
        </w:rPr>
        <w:t>63</w:t>
      </w:r>
      <w:r w:rsidRPr="009701B2">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AB0F72">
        <w:rPr>
          <w:rFonts w:ascii="Times New Roman" w:hAnsi="Times New Roman"/>
          <w:sz w:val="28"/>
          <w:szCs w:val="28"/>
          <w:lang w:val="ru-RU"/>
        </w:rPr>
        <w:t>Вышеуказанные цифры показывают большой опыт и высокий профессиона</w:t>
      </w:r>
      <w:r>
        <w:rPr>
          <w:rFonts w:ascii="Times New Roman" w:hAnsi="Times New Roman"/>
          <w:sz w:val="28"/>
          <w:szCs w:val="28"/>
          <w:lang w:val="ru-RU"/>
        </w:rPr>
        <w:t>лизм сотрудников департамента.</w:t>
      </w:r>
    </w:p>
    <w:p w:rsidR="00585C99" w:rsidRPr="00AB0F72" w:rsidRDefault="00585C99" w:rsidP="006D3FBF">
      <w:pPr>
        <w:pStyle w:val="17"/>
        <w:ind w:firstLine="708"/>
        <w:jc w:val="both"/>
        <w:rPr>
          <w:rFonts w:ascii="Times New Roman" w:hAnsi="Times New Roman"/>
          <w:sz w:val="28"/>
          <w:szCs w:val="28"/>
          <w:lang w:val="ru-RU"/>
        </w:rPr>
      </w:pPr>
      <w:r w:rsidRPr="0075380D">
        <w:rPr>
          <w:rFonts w:ascii="Times New Roman" w:hAnsi="Times New Roman"/>
          <w:sz w:val="28"/>
          <w:szCs w:val="28"/>
          <w:lang w:val="ru-RU"/>
        </w:rPr>
        <w:t xml:space="preserve">Образовательный уровень специалистов </w:t>
      </w:r>
      <w:r>
        <w:rPr>
          <w:rFonts w:ascii="Times New Roman" w:hAnsi="Times New Roman"/>
          <w:sz w:val="28"/>
          <w:szCs w:val="28"/>
          <w:lang w:val="ru-RU"/>
        </w:rPr>
        <w:t>д</w:t>
      </w:r>
      <w:r w:rsidRPr="0075380D">
        <w:rPr>
          <w:rFonts w:ascii="Times New Roman" w:hAnsi="Times New Roman"/>
          <w:sz w:val="28"/>
          <w:szCs w:val="28"/>
          <w:lang w:val="ru-RU"/>
        </w:rPr>
        <w:t>епартамента представлен следующим образом:</w:t>
      </w:r>
      <w:r>
        <w:rPr>
          <w:rFonts w:ascii="Times New Roman" w:hAnsi="Times New Roman"/>
          <w:sz w:val="28"/>
          <w:szCs w:val="28"/>
          <w:lang w:val="ru-RU"/>
        </w:rPr>
        <w:t xml:space="preserve"> </w:t>
      </w:r>
      <w:r w:rsidRPr="001B3454">
        <w:rPr>
          <w:rFonts w:ascii="Times New Roman" w:hAnsi="Times New Roman"/>
          <w:sz w:val="28"/>
          <w:szCs w:val="28"/>
          <w:lang w:val="ru-RU"/>
        </w:rPr>
        <w:t xml:space="preserve">высшее образование </w:t>
      </w:r>
      <w:r w:rsidRPr="006A3461">
        <w:rPr>
          <w:rFonts w:ascii="Times New Roman" w:hAnsi="Times New Roman"/>
          <w:sz w:val="28"/>
          <w:szCs w:val="28"/>
          <w:lang w:val="ru-RU"/>
        </w:rPr>
        <w:t>имеют 77 человек (100</w:t>
      </w:r>
      <w:r>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152429">
        <w:rPr>
          <w:rFonts w:ascii="Times New Roman" w:hAnsi="Times New Roman"/>
          <w:sz w:val="28"/>
          <w:szCs w:val="28"/>
          <w:lang w:val="ru-RU"/>
        </w:rPr>
        <w:t xml:space="preserve">Из общей численности </w:t>
      </w:r>
      <w:r>
        <w:rPr>
          <w:rFonts w:ascii="Times New Roman" w:hAnsi="Times New Roman"/>
          <w:sz w:val="28"/>
          <w:szCs w:val="28"/>
          <w:lang w:val="ru-RU"/>
        </w:rPr>
        <w:t xml:space="preserve">сотрудников департамента имеют </w:t>
      </w:r>
      <w:r w:rsidRPr="001B3454">
        <w:rPr>
          <w:rFonts w:ascii="Times New Roman" w:hAnsi="Times New Roman"/>
          <w:sz w:val="28"/>
          <w:szCs w:val="28"/>
          <w:lang w:val="ru-RU"/>
        </w:rPr>
        <w:t>два и более высших образования – 1</w:t>
      </w:r>
      <w:r>
        <w:rPr>
          <w:rFonts w:ascii="Times New Roman" w:hAnsi="Times New Roman"/>
          <w:sz w:val="28"/>
          <w:szCs w:val="28"/>
          <w:lang w:val="ru-RU"/>
        </w:rPr>
        <w:t>4</w:t>
      </w:r>
      <w:r w:rsidRPr="001B3454">
        <w:rPr>
          <w:rFonts w:ascii="Times New Roman" w:hAnsi="Times New Roman"/>
          <w:sz w:val="28"/>
          <w:szCs w:val="28"/>
          <w:lang w:val="ru-RU"/>
        </w:rPr>
        <w:t xml:space="preserve"> человек (</w:t>
      </w:r>
      <w:r>
        <w:rPr>
          <w:rFonts w:ascii="Times New Roman" w:hAnsi="Times New Roman"/>
          <w:sz w:val="28"/>
          <w:szCs w:val="28"/>
          <w:lang w:val="ru-RU"/>
        </w:rPr>
        <w:t>17</w:t>
      </w:r>
      <w:r w:rsidRPr="001B3454">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983394">
        <w:rPr>
          <w:rFonts w:ascii="Times New Roman" w:hAnsi="Times New Roman"/>
          <w:sz w:val="28"/>
          <w:szCs w:val="28"/>
          <w:lang w:val="ru-RU"/>
        </w:rPr>
        <w:t>В соответствии с Федеральным законом от 27.07.2004 № 79-ФЗ «О государственной гражданской службе Российской Федерации» в департаменте в течение 202</w:t>
      </w:r>
      <w:r>
        <w:rPr>
          <w:rFonts w:ascii="Times New Roman" w:hAnsi="Times New Roman"/>
          <w:sz w:val="28"/>
          <w:szCs w:val="28"/>
          <w:lang w:val="ru-RU"/>
        </w:rPr>
        <w:t>4</w:t>
      </w:r>
      <w:r w:rsidRPr="00983394">
        <w:rPr>
          <w:rFonts w:ascii="Times New Roman" w:hAnsi="Times New Roman"/>
          <w:sz w:val="28"/>
          <w:szCs w:val="28"/>
          <w:lang w:val="ru-RU"/>
        </w:rPr>
        <w:t xml:space="preserve"> года:</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1) </w:t>
      </w:r>
      <w:r w:rsidRPr="00313703">
        <w:rPr>
          <w:rFonts w:ascii="Times New Roman" w:hAnsi="Times New Roman"/>
          <w:sz w:val="28"/>
          <w:szCs w:val="28"/>
          <w:lang w:val="ru-RU"/>
        </w:rPr>
        <w:t>при</w:t>
      </w:r>
      <w:r>
        <w:rPr>
          <w:rFonts w:ascii="Times New Roman" w:hAnsi="Times New Roman"/>
          <w:sz w:val="28"/>
          <w:szCs w:val="28"/>
          <w:lang w:val="ru-RU"/>
        </w:rPr>
        <w:t>своены очередные классные чины 5</w:t>
      </w:r>
      <w:r w:rsidRPr="000D669F">
        <w:rPr>
          <w:rFonts w:ascii="Times New Roman" w:hAnsi="Times New Roman"/>
          <w:sz w:val="28"/>
          <w:szCs w:val="28"/>
          <w:lang w:val="ru-RU"/>
        </w:rPr>
        <w:t xml:space="preserve"> государственным гражданским служащим;</w:t>
      </w:r>
    </w:p>
    <w:p w:rsidR="00585C99" w:rsidRPr="00313703"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2) из 25 гражданских служащих прошли аттестацию 24</w:t>
      </w:r>
      <w:r w:rsidRPr="00B6369A">
        <w:rPr>
          <w:rFonts w:ascii="Times New Roman" w:hAnsi="Times New Roman"/>
          <w:sz w:val="28"/>
          <w:szCs w:val="28"/>
          <w:lang w:val="ru-RU"/>
        </w:rPr>
        <w:t xml:space="preserve"> человек</w:t>
      </w:r>
      <w:r>
        <w:rPr>
          <w:rFonts w:ascii="Times New Roman" w:hAnsi="Times New Roman"/>
          <w:sz w:val="28"/>
          <w:szCs w:val="28"/>
          <w:lang w:val="ru-RU"/>
        </w:rPr>
        <w:t>а</w:t>
      </w:r>
      <w:r w:rsidRPr="00B6369A">
        <w:rPr>
          <w:rFonts w:ascii="Times New Roman" w:hAnsi="Times New Roman"/>
          <w:sz w:val="28"/>
          <w:szCs w:val="28"/>
          <w:lang w:val="ru-RU"/>
        </w:rPr>
        <w:t xml:space="preserve">, из них </w:t>
      </w:r>
      <w:r>
        <w:rPr>
          <w:rFonts w:ascii="Times New Roman" w:hAnsi="Times New Roman"/>
          <w:sz w:val="28"/>
          <w:szCs w:val="28"/>
          <w:lang w:val="ru-RU"/>
        </w:rPr>
        <w:t>18</w:t>
      </w:r>
      <w:r w:rsidRPr="00B6369A">
        <w:rPr>
          <w:rFonts w:ascii="Times New Roman" w:hAnsi="Times New Roman"/>
          <w:sz w:val="28"/>
          <w:szCs w:val="28"/>
          <w:lang w:val="ru-RU"/>
        </w:rPr>
        <w:t xml:space="preserve"> соответствуют замещаемой должности, </w:t>
      </w:r>
      <w:r>
        <w:rPr>
          <w:rFonts w:ascii="Times New Roman" w:hAnsi="Times New Roman"/>
          <w:sz w:val="28"/>
          <w:szCs w:val="28"/>
          <w:lang w:val="ru-RU"/>
        </w:rPr>
        <w:t>6</w:t>
      </w:r>
      <w:r w:rsidRPr="00B6369A">
        <w:rPr>
          <w:rFonts w:ascii="Times New Roman" w:hAnsi="Times New Roman"/>
          <w:sz w:val="28"/>
          <w:szCs w:val="28"/>
          <w:lang w:val="ru-RU"/>
        </w:rPr>
        <w:t xml:space="preserve"> соответствуют замещаемой должности и включены</w:t>
      </w:r>
      <w:r>
        <w:rPr>
          <w:rFonts w:ascii="Times New Roman" w:hAnsi="Times New Roman"/>
          <w:sz w:val="28"/>
          <w:szCs w:val="28"/>
          <w:lang w:val="ru-RU"/>
        </w:rPr>
        <w:t xml:space="preserve"> в кадровый </w:t>
      </w:r>
      <w:r w:rsidRPr="00B6369A">
        <w:rPr>
          <w:rFonts w:ascii="Times New Roman" w:hAnsi="Times New Roman"/>
          <w:sz w:val="28"/>
          <w:szCs w:val="28"/>
          <w:lang w:val="ru-RU"/>
        </w:rPr>
        <w:t>резерв</w:t>
      </w:r>
      <w:r>
        <w:rPr>
          <w:rFonts w:ascii="Times New Roman" w:hAnsi="Times New Roman"/>
          <w:sz w:val="28"/>
          <w:szCs w:val="28"/>
          <w:lang w:val="ru-RU"/>
        </w:rPr>
        <w:t xml:space="preserve"> (1 – главная группа должностей государственной гражданской службы, 5 – ведущая группа должностей государственной гражданской службы). В связи с временной нетрудоспособностью 1 гражданского служащего, его аттестация перенесена на 2025 год.</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За прошедший 2024</w:t>
      </w:r>
      <w:r w:rsidRPr="00445DC4">
        <w:rPr>
          <w:rFonts w:ascii="Times New Roman" w:hAnsi="Times New Roman"/>
          <w:sz w:val="28"/>
          <w:szCs w:val="28"/>
          <w:lang w:val="ru-RU"/>
        </w:rPr>
        <w:t xml:space="preserve"> год в </w:t>
      </w:r>
      <w:r>
        <w:rPr>
          <w:rFonts w:ascii="Times New Roman" w:hAnsi="Times New Roman"/>
          <w:sz w:val="28"/>
          <w:szCs w:val="28"/>
          <w:lang w:val="ru-RU"/>
        </w:rPr>
        <w:t>д</w:t>
      </w:r>
      <w:r w:rsidRPr="00445DC4">
        <w:rPr>
          <w:rFonts w:ascii="Times New Roman" w:hAnsi="Times New Roman"/>
          <w:sz w:val="28"/>
          <w:szCs w:val="28"/>
          <w:lang w:val="ru-RU"/>
        </w:rPr>
        <w:t>епартаменте прошли обучение по прогр</w:t>
      </w:r>
      <w:r>
        <w:rPr>
          <w:rFonts w:ascii="Times New Roman" w:hAnsi="Times New Roman"/>
          <w:sz w:val="28"/>
          <w:szCs w:val="28"/>
          <w:lang w:val="ru-RU"/>
        </w:rPr>
        <w:t>аммам повышения квалификации 45</w:t>
      </w:r>
      <w:r w:rsidRPr="00B6369A">
        <w:rPr>
          <w:rFonts w:ascii="Times New Roman" w:hAnsi="Times New Roman"/>
          <w:sz w:val="28"/>
          <w:szCs w:val="28"/>
          <w:lang w:val="ru-RU"/>
        </w:rPr>
        <w:t xml:space="preserve"> государственных гражданских служащих </w:t>
      </w:r>
      <w:r>
        <w:rPr>
          <w:rFonts w:ascii="Times New Roman" w:hAnsi="Times New Roman"/>
          <w:sz w:val="28"/>
          <w:szCs w:val="28"/>
          <w:lang w:val="ru-RU"/>
        </w:rPr>
        <w:t>(64</w:t>
      </w:r>
      <w:r w:rsidRPr="00B6369A">
        <w:rPr>
          <w:rFonts w:ascii="Times New Roman" w:hAnsi="Times New Roman"/>
          <w:sz w:val="28"/>
          <w:szCs w:val="28"/>
          <w:lang w:val="ru-RU"/>
        </w:rPr>
        <w:t>%). По итогам обучения всеми получены документы</w:t>
      </w:r>
      <w:r>
        <w:rPr>
          <w:rFonts w:ascii="Times New Roman" w:hAnsi="Times New Roman"/>
          <w:sz w:val="28"/>
          <w:szCs w:val="28"/>
          <w:lang w:val="ru-RU"/>
        </w:rPr>
        <w:t xml:space="preserve"> государственного образца </w:t>
      </w:r>
      <w:r w:rsidRPr="00AB0F72">
        <w:rPr>
          <w:rFonts w:ascii="Times New Roman" w:hAnsi="Times New Roman"/>
          <w:sz w:val="28"/>
          <w:szCs w:val="28"/>
          <w:lang w:val="ru-RU"/>
        </w:rPr>
        <w:t>о про</w:t>
      </w:r>
      <w:r>
        <w:rPr>
          <w:rFonts w:ascii="Times New Roman" w:hAnsi="Times New Roman"/>
          <w:sz w:val="28"/>
          <w:szCs w:val="28"/>
          <w:lang w:val="ru-RU"/>
        </w:rPr>
        <w:t>хождении повышения квалификации.</w:t>
      </w:r>
    </w:p>
    <w:p w:rsidR="00585C99" w:rsidRDefault="00585C99" w:rsidP="006D3FBF">
      <w:pPr>
        <w:pStyle w:val="17"/>
        <w:ind w:firstLine="708"/>
        <w:jc w:val="both"/>
        <w:rPr>
          <w:rFonts w:ascii="Times New Roman" w:hAnsi="Times New Roman"/>
          <w:sz w:val="28"/>
          <w:szCs w:val="28"/>
          <w:lang w:val="ru-RU"/>
        </w:rPr>
      </w:pPr>
      <w:r w:rsidRPr="00313703">
        <w:rPr>
          <w:rFonts w:ascii="Times New Roman" w:hAnsi="Times New Roman"/>
          <w:sz w:val="28"/>
          <w:szCs w:val="28"/>
          <w:lang w:val="ru-RU"/>
        </w:rPr>
        <w:t>Приоритетными направлениями обучения специалистов</w:t>
      </w:r>
      <w:r>
        <w:rPr>
          <w:rFonts w:ascii="Times New Roman" w:hAnsi="Times New Roman"/>
          <w:sz w:val="28"/>
          <w:szCs w:val="28"/>
          <w:lang w:val="ru-RU"/>
        </w:rPr>
        <w:t xml:space="preserve"> департамента в 2024 году явились</w:t>
      </w:r>
      <w:r w:rsidRPr="00313703">
        <w:rPr>
          <w:rFonts w:ascii="Times New Roman" w:hAnsi="Times New Roman"/>
          <w:sz w:val="28"/>
          <w:szCs w:val="28"/>
          <w:lang w:val="ru-RU"/>
        </w:rPr>
        <w:t xml:space="preserve"> планово-финансовое в с</w:t>
      </w:r>
      <w:r>
        <w:rPr>
          <w:rFonts w:ascii="Times New Roman" w:hAnsi="Times New Roman"/>
          <w:sz w:val="28"/>
          <w:szCs w:val="28"/>
          <w:lang w:val="ru-RU"/>
        </w:rPr>
        <w:t>ферах полномочий департамента, а также работа с отечественным программным обеспечением.</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Каждый государственный гражданский служащий д</w:t>
      </w:r>
      <w:r w:rsidRPr="0070686D">
        <w:rPr>
          <w:rFonts w:ascii="Times New Roman" w:hAnsi="Times New Roman"/>
          <w:sz w:val="28"/>
          <w:szCs w:val="28"/>
          <w:lang w:val="ru-RU"/>
        </w:rPr>
        <w:t xml:space="preserve">епартамента </w:t>
      </w:r>
      <w:r>
        <w:rPr>
          <w:rFonts w:ascii="Times New Roman" w:hAnsi="Times New Roman"/>
          <w:sz w:val="28"/>
          <w:szCs w:val="28"/>
          <w:lang w:val="ru-RU"/>
        </w:rPr>
        <w:t>(многие – неоднократно) принял</w:t>
      </w:r>
      <w:r w:rsidRPr="00AB0F72">
        <w:rPr>
          <w:rFonts w:ascii="Times New Roman" w:hAnsi="Times New Roman"/>
          <w:sz w:val="28"/>
          <w:szCs w:val="28"/>
          <w:lang w:val="ru-RU"/>
        </w:rPr>
        <w:t xml:space="preserve"> участие </w:t>
      </w:r>
      <w:r>
        <w:rPr>
          <w:rFonts w:ascii="Times New Roman" w:hAnsi="Times New Roman"/>
          <w:sz w:val="28"/>
          <w:szCs w:val="28"/>
          <w:lang w:val="ru-RU"/>
        </w:rPr>
        <w:t>в мероприятиях</w:t>
      </w:r>
      <w:r w:rsidRPr="000D4A2A">
        <w:rPr>
          <w:rFonts w:ascii="Times New Roman" w:hAnsi="Times New Roman"/>
          <w:sz w:val="28"/>
          <w:szCs w:val="28"/>
          <w:lang w:val="ru-RU"/>
        </w:rPr>
        <w:t xml:space="preserve"> по профессиональному развитию</w:t>
      </w:r>
      <w:r>
        <w:rPr>
          <w:rFonts w:ascii="Times New Roman" w:hAnsi="Times New Roman"/>
          <w:sz w:val="28"/>
          <w:szCs w:val="28"/>
          <w:lang w:val="ru-RU"/>
        </w:rPr>
        <w:t xml:space="preserve"> (вебинары, тренинги, электронные курсы и проч.), назначенных</w:t>
      </w:r>
      <w:r w:rsidRPr="000D4A2A">
        <w:rPr>
          <w:rFonts w:ascii="Times New Roman" w:hAnsi="Times New Roman"/>
          <w:sz w:val="28"/>
          <w:szCs w:val="28"/>
          <w:lang w:val="ru-RU"/>
        </w:rPr>
        <w:t xml:space="preserve"> на основании комплексных </w:t>
      </w:r>
      <w:r w:rsidRPr="009764A6">
        <w:rPr>
          <w:rFonts w:ascii="Times New Roman" w:hAnsi="Times New Roman"/>
          <w:sz w:val="28"/>
          <w:szCs w:val="28"/>
          <w:lang w:val="ru-RU"/>
        </w:rPr>
        <w:t xml:space="preserve">оценочных процедур и по собственной инициативе сотрудников. </w:t>
      </w:r>
    </w:p>
    <w:p w:rsidR="00585C99" w:rsidRPr="00DC60EB" w:rsidRDefault="00585C99" w:rsidP="006D3FBF">
      <w:pPr>
        <w:pStyle w:val="17"/>
        <w:ind w:firstLine="708"/>
        <w:jc w:val="both"/>
        <w:rPr>
          <w:rFonts w:ascii="Times New Roman" w:hAnsi="Times New Roman"/>
          <w:sz w:val="28"/>
          <w:szCs w:val="28"/>
          <w:lang w:val="ru-RU"/>
        </w:rPr>
      </w:pPr>
      <w:r w:rsidRPr="009764A6">
        <w:rPr>
          <w:rFonts w:ascii="Times New Roman" w:hAnsi="Times New Roman"/>
          <w:sz w:val="28"/>
          <w:szCs w:val="28"/>
          <w:lang w:val="ru-RU"/>
        </w:rPr>
        <w:t>В 202</w:t>
      </w:r>
      <w:r>
        <w:rPr>
          <w:rFonts w:ascii="Times New Roman" w:hAnsi="Times New Roman"/>
          <w:sz w:val="28"/>
          <w:szCs w:val="28"/>
          <w:lang w:val="ru-RU"/>
        </w:rPr>
        <w:t>4</w:t>
      </w:r>
      <w:r w:rsidRPr="009764A6">
        <w:rPr>
          <w:rFonts w:ascii="Times New Roman" w:hAnsi="Times New Roman"/>
          <w:sz w:val="28"/>
          <w:szCs w:val="28"/>
          <w:lang w:val="ru-RU"/>
        </w:rPr>
        <w:t xml:space="preserve"> году за особые заслуги в осуществлении государственного регулирования цен (тарифов) </w:t>
      </w:r>
      <w:r w:rsidRPr="00DC60EB">
        <w:rPr>
          <w:rFonts w:ascii="Times New Roman" w:hAnsi="Times New Roman"/>
          <w:sz w:val="28"/>
          <w:szCs w:val="28"/>
          <w:lang w:val="ru-RU"/>
        </w:rPr>
        <w:t xml:space="preserve">в Новосибирской области, за образцовое выполнение должностных обязанностей и особо </w:t>
      </w:r>
      <w:r>
        <w:rPr>
          <w:rFonts w:ascii="Times New Roman" w:hAnsi="Times New Roman"/>
          <w:sz w:val="28"/>
          <w:szCs w:val="28"/>
          <w:lang w:val="ru-RU"/>
        </w:rPr>
        <w:t xml:space="preserve">важных заданий </w:t>
      </w:r>
      <w:r w:rsidRPr="00DC60EB">
        <w:rPr>
          <w:rFonts w:ascii="Times New Roman" w:hAnsi="Times New Roman"/>
          <w:sz w:val="28"/>
          <w:szCs w:val="28"/>
          <w:lang w:val="ru-RU"/>
        </w:rPr>
        <w:t>награждены:</w:t>
      </w:r>
    </w:p>
    <w:p w:rsidR="00585C99" w:rsidRPr="00B33348" w:rsidRDefault="00585C99" w:rsidP="006D3FBF">
      <w:pPr>
        <w:pStyle w:val="17"/>
        <w:ind w:firstLine="708"/>
        <w:jc w:val="both"/>
        <w:rPr>
          <w:rFonts w:ascii="Times New Roman" w:hAnsi="Times New Roman"/>
          <w:sz w:val="28"/>
          <w:szCs w:val="28"/>
          <w:lang w:val="ru-RU"/>
        </w:rPr>
      </w:pPr>
      <w:r w:rsidRPr="00B33348">
        <w:rPr>
          <w:rFonts w:ascii="Times New Roman" w:hAnsi="Times New Roman"/>
          <w:sz w:val="28"/>
          <w:szCs w:val="28"/>
          <w:lang w:val="ru-RU"/>
        </w:rPr>
        <w:t>Почетной грамотой Губернатора Новосибирской области – 1</w:t>
      </w:r>
      <w:r>
        <w:rPr>
          <w:rFonts w:ascii="Times New Roman" w:hAnsi="Times New Roman"/>
          <w:sz w:val="28"/>
          <w:szCs w:val="28"/>
          <w:lang w:val="ru-RU"/>
        </w:rPr>
        <w:t xml:space="preserve"> сотрудник</w:t>
      </w:r>
      <w:r w:rsidRPr="00B33348">
        <w:rPr>
          <w:rFonts w:ascii="Times New Roman" w:hAnsi="Times New Roman"/>
          <w:sz w:val="28"/>
          <w:szCs w:val="28"/>
          <w:lang w:val="ru-RU"/>
        </w:rPr>
        <w:t>;</w:t>
      </w:r>
    </w:p>
    <w:p w:rsidR="00585C99" w:rsidRPr="00B33348" w:rsidRDefault="00585C99" w:rsidP="006D3FBF">
      <w:pPr>
        <w:pStyle w:val="17"/>
        <w:ind w:firstLine="708"/>
        <w:jc w:val="both"/>
        <w:rPr>
          <w:rFonts w:ascii="Times New Roman" w:hAnsi="Times New Roman"/>
          <w:sz w:val="28"/>
          <w:szCs w:val="28"/>
          <w:lang w:val="ru-RU"/>
        </w:rPr>
      </w:pPr>
      <w:r w:rsidRPr="00B33348">
        <w:rPr>
          <w:rFonts w:ascii="Times New Roman" w:hAnsi="Times New Roman"/>
          <w:sz w:val="28"/>
          <w:szCs w:val="28"/>
          <w:lang w:val="ru-RU"/>
        </w:rPr>
        <w:t xml:space="preserve">Почетной грамотой департамента по тарифам Новосибирской области – </w:t>
      </w:r>
      <w:r>
        <w:rPr>
          <w:rFonts w:ascii="Times New Roman" w:hAnsi="Times New Roman"/>
          <w:sz w:val="28"/>
          <w:szCs w:val="28"/>
          <w:lang w:val="ru-RU"/>
        </w:rPr>
        <w:t>5</w:t>
      </w:r>
      <w:r w:rsidRPr="00B33348">
        <w:rPr>
          <w:rFonts w:ascii="Times New Roman" w:hAnsi="Times New Roman"/>
          <w:sz w:val="28"/>
          <w:szCs w:val="28"/>
          <w:lang w:val="ru-RU"/>
        </w:rPr>
        <w:t xml:space="preserve"> </w:t>
      </w:r>
      <w:r>
        <w:rPr>
          <w:rFonts w:ascii="Times New Roman" w:hAnsi="Times New Roman"/>
          <w:sz w:val="28"/>
          <w:szCs w:val="28"/>
          <w:lang w:val="ru-RU"/>
        </w:rPr>
        <w:t>сотрудников</w:t>
      </w:r>
      <w:r w:rsidRPr="00B33348">
        <w:rPr>
          <w:rFonts w:ascii="Times New Roman" w:hAnsi="Times New Roman"/>
          <w:sz w:val="28"/>
          <w:szCs w:val="28"/>
          <w:lang w:val="ru-RU"/>
        </w:rPr>
        <w:t>;</w:t>
      </w:r>
    </w:p>
    <w:p w:rsidR="00585C99" w:rsidRPr="00B33348" w:rsidRDefault="00585C99" w:rsidP="006D3FBF">
      <w:pPr>
        <w:pStyle w:val="17"/>
        <w:ind w:firstLine="708"/>
        <w:jc w:val="both"/>
        <w:rPr>
          <w:rFonts w:ascii="Times New Roman" w:hAnsi="Times New Roman"/>
          <w:sz w:val="28"/>
          <w:szCs w:val="28"/>
          <w:lang w:val="ru-RU"/>
        </w:rPr>
      </w:pPr>
      <w:r w:rsidRPr="00B33348">
        <w:rPr>
          <w:rFonts w:ascii="Times New Roman" w:hAnsi="Times New Roman"/>
          <w:sz w:val="28"/>
          <w:szCs w:val="28"/>
          <w:lang w:val="ru-RU"/>
        </w:rPr>
        <w:lastRenderedPageBreak/>
        <w:t xml:space="preserve">объявлена благодарность Губернатора Новосибирской области – 1 </w:t>
      </w:r>
      <w:r>
        <w:rPr>
          <w:rFonts w:ascii="Times New Roman" w:hAnsi="Times New Roman"/>
          <w:sz w:val="28"/>
          <w:szCs w:val="28"/>
          <w:lang w:val="ru-RU"/>
        </w:rPr>
        <w:t>сотруднику</w:t>
      </w:r>
      <w:r w:rsidRPr="00B33348">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B33348">
        <w:rPr>
          <w:rFonts w:ascii="Times New Roman" w:hAnsi="Times New Roman"/>
          <w:sz w:val="28"/>
          <w:szCs w:val="28"/>
          <w:lang w:val="ru-RU"/>
        </w:rPr>
        <w:t xml:space="preserve">объявлена благодарность руководителя департамента по тарифам Новосибирской области – 11 </w:t>
      </w:r>
      <w:r>
        <w:rPr>
          <w:rFonts w:ascii="Times New Roman" w:hAnsi="Times New Roman"/>
          <w:sz w:val="28"/>
          <w:szCs w:val="28"/>
          <w:lang w:val="ru-RU"/>
        </w:rPr>
        <w:t>сотрудникам</w:t>
      </w:r>
      <w:r w:rsidRPr="00B33348">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5E1087">
        <w:rPr>
          <w:rFonts w:ascii="Times New Roman" w:hAnsi="Times New Roman"/>
          <w:sz w:val="28"/>
          <w:szCs w:val="28"/>
          <w:lang w:val="ru-RU"/>
        </w:rPr>
        <w:t>В 202</w:t>
      </w:r>
      <w:r>
        <w:rPr>
          <w:rFonts w:ascii="Times New Roman" w:hAnsi="Times New Roman"/>
          <w:sz w:val="28"/>
          <w:szCs w:val="28"/>
          <w:lang w:val="ru-RU"/>
        </w:rPr>
        <w:t xml:space="preserve">4 году в департаменте </w:t>
      </w:r>
      <w:r w:rsidRPr="005E1087">
        <w:rPr>
          <w:rFonts w:ascii="Times New Roman" w:hAnsi="Times New Roman"/>
          <w:sz w:val="28"/>
          <w:szCs w:val="28"/>
          <w:lang w:val="ru-RU"/>
        </w:rPr>
        <w:t xml:space="preserve">проводилась работа по реализации положений Федерального закона от 27.07.2004 № 79-ФЗ «О государственной гражданской службе Российской Федерации», закона Новосибирской области от 01.02.2005 № 265-ОЗ «О государственной гражданской службе Новосибирской области»: </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1. </w:t>
      </w:r>
      <w:r w:rsidR="008803C5">
        <w:rPr>
          <w:rFonts w:ascii="Times New Roman" w:hAnsi="Times New Roman"/>
          <w:sz w:val="28"/>
          <w:szCs w:val="28"/>
          <w:lang w:val="ru-RU"/>
        </w:rPr>
        <w:t>О</w:t>
      </w:r>
      <w:r w:rsidRPr="005E4B8A">
        <w:rPr>
          <w:rFonts w:ascii="Times New Roman" w:hAnsi="Times New Roman"/>
          <w:sz w:val="28"/>
          <w:szCs w:val="28"/>
          <w:lang w:val="ru-RU"/>
        </w:rPr>
        <w:t>тбор наиболее квалифицированных, опытных специалистов на основе объективной и комплексной оценки их профессиональных и личностных качеств при приеме</w:t>
      </w:r>
      <w:r>
        <w:rPr>
          <w:rFonts w:ascii="Times New Roman" w:hAnsi="Times New Roman"/>
          <w:sz w:val="28"/>
          <w:szCs w:val="28"/>
          <w:lang w:val="ru-RU"/>
        </w:rPr>
        <w:t xml:space="preserve"> на </w:t>
      </w:r>
      <w:r w:rsidRPr="005E4B8A">
        <w:rPr>
          <w:rFonts w:ascii="Times New Roman" w:hAnsi="Times New Roman"/>
          <w:sz w:val="28"/>
          <w:szCs w:val="28"/>
          <w:lang w:val="ru-RU"/>
        </w:rPr>
        <w:t xml:space="preserve">вакантные должности государственной гражданской службы Новосибирской области в </w:t>
      </w:r>
      <w:r>
        <w:rPr>
          <w:rFonts w:ascii="Times New Roman" w:hAnsi="Times New Roman"/>
          <w:sz w:val="28"/>
          <w:szCs w:val="28"/>
          <w:lang w:val="ru-RU"/>
        </w:rPr>
        <w:t>департаменте;</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2. </w:t>
      </w:r>
      <w:r w:rsidR="008803C5">
        <w:rPr>
          <w:rFonts w:ascii="Times New Roman" w:hAnsi="Times New Roman"/>
          <w:sz w:val="28"/>
          <w:szCs w:val="28"/>
          <w:lang w:val="ru-RU"/>
        </w:rPr>
        <w:t>Ф</w:t>
      </w:r>
      <w:r w:rsidRPr="005E4B8A">
        <w:rPr>
          <w:rFonts w:ascii="Times New Roman" w:hAnsi="Times New Roman"/>
          <w:sz w:val="28"/>
          <w:szCs w:val="28"/>
          <w:lang w:val="ru-RU"/>
        </w:rPr>
        <w:t>ормировался кадровый резерв за счет внутренних (по результатам аттестации) источников</w:t>
      </w:r>
      <w:r>
        <w:rPr>
          <w:rFonts w:ascii="Times New Roman" w:hAnsi="Times New Roman"/>
          <w:sz w:val="28"/>
          <w:szCs w:val="28"/>
          <w:lang w:val="ru-RU"/>
        </w:rPr>
        <w:t>, а также по результатам объявленных конкурсов</w:t>
      </w:r>
      <w:r w:rsidRPr="005E4B8A">
        <w:rPr>
          <w:rFonts w:ascii="Times New Roman" w:hAnsi="Times New Roman"/>
          <w:sz w:val="28"/>
          <w:szCs w:val="28"/>
          <w:lang w:val="ru-RU"/>
        </w:rPr>
        <w:t>, а также закрепление опытных, профессиональны</w:t>
      </w:r>
      <w:r>
        <w:rPr>
          <w:rFonts w:ascii="Times New Roman" w:hAnsi="Times New Roman"/>
          <w:sz w:val="28"/>
          <w:szCs w:val="28"/>
          <w:lang w:val="ru-RU"/>
        </w:rPr>
        <w:t>х кадров;</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3. </w:t>
      </w:r>
      <w:r w:rsidR="008803C5">
        <w:rPr>
          <w:rFonts w:ascii="Times New Roman" w:hAnsi="Times New Roman"/>
          <w:sz w:val="28"/>
          <w:szCs w:val="28"/>
          <w:lang w:val="ru-RU"/>
        </w:rPr>
        <w:t>Д</w:t>
      </w:r>
      <w:r w:rsidRPr="008715E6">
        <w:rPr>
          <w:rFonts w:ascii="Times New Roman" w:hAnsi="Times New Roman"/>
          <w:sz w:val="28"/>
          <w:szCs w:val="28"/>
          <w:lang w:val="ru-RU"/>
        </w:rPr>
        <w:t xml:space="preserve">ля оценки деловых и профессиональных качеств установлен испытательный срок </w:t>
      </w:r>
      <w:r>
        <w:rPr>
          <w:rFonts w:ascii="Times New Roman" w:hAnsi="Times New Roman"/>
          <w:sz w:val="28"/>
          <w:szCs w:val="28"/>
          <w:lang w:val="ru-RU"/>
        </w:rPr>
        <w:t>3</w:t>
      </w:r>
      <w:r w:rsidRPr="00AF2C98">
        <w:rPr>
          <w:rFonts w:ascii="Times New Roman" w:hAnsi="Times New Roman"/>
          <w:sz w:val="28"/>
          <w:szCs w:val="28"/>
          <w:lang w:val="ru-RU"/>
        </w:rPr>
        <w:t xml:space="preserve"> принятым сотрудникам</w:t>
      </w:r>
      <w:r>
        <w:rPr>
          <w:rFonts w:ascii="Times New Roman" w:hAnsi="Times New Roman"/>
          <w:sz w:val="28"/>
          <w:szCs w:val="28"/>
          <w:lang w:val="ru-RU"/>
        </w:rPr>
        <w:t xml:space="preserve"> и 3</w:t>
      </w:r>
      <w:r w:rsidRPr="00AF2C98">
        <w:rPr>
          <w:rFonts w:ascii="Times New Roman" w:hAnsi="Times New Roman"/>
          <w:sz w:val="28"/>
          <w:szCs w:val="28"/>
          <w:lang w:val="ru-RU"/>
        </w:rPr>
        <w:t xml:space="preserve"> назначенным на должности государственной гражданской службы Новосибирской области - три месяца</w:t>
      </w:r>
      <w:r>
        <w:rPr>
          <w:rFonts w:ascii="Times New Roman" w:hAnsi="Times New Roman"/>
          <w:sz w:val="28"/>
          <w:szCs w:val="28"/>
          <w:lang w:val="ru-RU"/>
        </w:rPr>
        <w:t>: 3</w:t>
      </w:r>
      <w:r w:rsidRPr="00AF2C98">
        <w:rPr>
          <w:rFonts w:ascii="Times New Roman" w:hAnsi="Times New Roman"/>
          <w:sz w:val="28"/>
          <w:szCs w:val="28"/>
          <w:lang w:val="ru-RU"/>
        </w:rPr>
        <w:t xml:space="preserve"> сотрудников успешно завершили испытательный срок</w:t>
      </w:r>
      <w:r>
        <w:rPr>
          <w:rFonts w:ascii="Times New Roman" w:hAnsi="Times New Roman"/>
          <w:sz w:val="28"/>
          <w:szCs w:val="28"/>
          <w:lang w:val="ru-RU"/>
        </w:rPr>
        <w:t>; у 3 служащих испытательный срок должен завершиться в 2025 году; у 1 сотрудника, принятого на государственную гражданскую службу в департамент в 2023 году, испытательный срок успешно завершился в 2024 году;</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4. </w:t>
      </w:r>
      <w:r w:rsidR="008803C5">
        <w:rPr>
          <w:rFonts w:ascii="Times New Roman" w:hAnsi="Times New Roman"/>
          <w:sz w:val="28"/>
          <w:szCs w:val="28"/>
          <w:lang w:val="ru-RU"/>
        </w:rPr>
        <w:t>Д</w:t>
      </w:r>
      <w:r w:rsidRPr="002A2E62">
        <w:rPr>
          <w:rFonts w:ascii="Times New Roman" w:hAnsi="Times New Roman"/>
          <w:sz w:val="28"/>
          <w:szCs w:val="28"/>
          <w:lang w:val="ru-RU"/>
        </w:rPr>
        <w:t xml:space="preserve">ля оказания содействия в профессиональном становлении назначены наставники и разработаны планы мероприятий по наставничеству </w:t>
      </w:r>
      <w:r>
        <w:rPr>
          <w:rFonts w:ascii="Times New Roman" w:hAnsi="Times New Roman"/>
          <w:sz w:val="28"/>
          <w:szCs w:val="28"/>
          <w:lang w:val="ru-RU"/>
        </w:rPr>
        <w:t>2</w:t>
      </w:r>
      <w:r w:rsidRPr="002A2E62">
        <w:rPr>
          <w:rFonts w:ascii="Times New Roman" w:hAnsi="Times New Roman"/>
          <w:sz w:val="28"/>
          <w:szCs w:val="28"/>
          <w:lang w:val="ru-RU"/>
        </w:rPr>
        <w:t xml:space="preserve"> вновь принятым на службу государственным гражданским служащим</w:t>
      </w:r>
      <w:r>
        <w:rPr>
          <w:rFonts w:ascii="Times New Roman" w:hAnsi="Times New Roman"/>
          <w:sz w:val="28"/>
          <w:szCs w:val="28"/>
          <w:lang w:val="ru-RU"/>
        </w:rPr>
        <w:t xml:space="preserve">, срок наставничества истекает в 2025 году; </w:t>
      </w:r>
      <w:r w:rsidRPr="002A2E62">
        <w:rPr>
          <w:rFonts w:ascii="Times New Roman" w:hAnsi="Times New Roman"/>
          <w:sz w:val="28"/>
          <w:szCs w:val="28"/>
          <w:lang w:val="ru-RU"/>
        </w:rPr>
        <w:t>у 1 государственного гражданского служащего</w:t>
      </w:r>
      <w:r>
        <w:rPr>
          <w:rFonts w:ascii="Times New Roman" w:hAnsi="Times New Roman"/>
          <w:sz w:val="28"/>
          <w:szCs w:val="28"/>
          <w:lang w:val="ru-RU"/>
        </w:rPr>
        <w:t>, назначенного в 2023 году,</w:t>
      </w:r>
      <w:r w:rsidRPr="002A2E62">
        <w:rPr>
          <w:rFonts w:ascii="Times New Roman" w:hAnsi="Times New Roman"/>
          <w:sz w:val="28"/>
          <w:szCs w:val="28"/>
          <w:lang w:val="ru-RU"/>
        </w:rPr>
        <w:t xml:space="preserve"> </w:t>
      </w:r>
      <w:r>
        <w:rPr>
          <w:rFonts w:ascii="Times New Roman" w:hAnsi="Times New Roman"/>
          <w:sz w:val="28"/>
          <w:szCs w:val="28"/>
          <w:lang w:val="ru-RU"/>
        </w:rPr>
        <w:t>успешно завершился план наставничества в 2024 году;</w:t>
      </w:r>
    </w:p>
    <w:p w:rsidR="00585C99"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5. </w:t>
      </w:r>
      <w:r w:rsidR="008803C5">
        <w:rPr>
          <w:rFonts w:ascii="Times New Roman" w:hAnsi="Times New Roman"/>
          <w:sz w:val="28"/>
          <w:szCs w:val="28"/>
          <w:lang w:val="ru-RU"/>
        </w:rPr>
        <w:t>С</w:t>
      </w:r>
      <w:r>
        <w:rPr>
          <w:rFonts w:ascii="Times New Roman" w:hAnsi="Times New Roman"/>
          <w:sz w:val="28"/>
          <w:szCs w:val="28"/>
          <w:lang w:val="ru-RU"/>
        </w:rPr>
        <w:t xml:space="preserve"> вновь принятым гражданским служащим</w:t>
      </w:r>
      <w:r w:rsidRPr="005E4B8A">
        <w:rPr>
          <w:rFonts w:ascii="Times New Roman" w:hAnsi="Times New Roman"/>
          <w:sz w:val="28"/>
          <w:szCs w:val="28"/>
          <w:lang w:val="ru-RU"/>
        </w:rPr>
        <w:t xml:space="preserve"> </w:t>
      </w:r>
      <w:r>
        <w:rPr>
          <w:rFonts w:ascii="Times New Roman" w:hAnsi="Times New Roman"/>
          <w:sz w:val="28"/>
          <w:szCs w:val="28"/>
          <w:lang w:val="ru-RU"/>
        </w:rPr>
        <w:t xml:space="preserve">департамента проводилась вводная разъяснительная беседа по </w:t>
      </w:r>
      <w:r w:rsidRPr="005E4B8A">
        <w:rPr>
          <w:rFonts w:ascii="Times New Roman" w:hAnsi="Times New Roman"/>
          <w:sz w:val="28"/>
          <w:szCs w:val="28"/>
          <w:lang w:val="ru-RU"/>
        </w:rPr>
        <w:t>соблюдению гра</w:t>
      </w:r>
      <w:r>
        <w:rPr>
          <w:rFonts w:ascii="Times New Roman" w:hAnsi="Times New Roman"/>
          <w:sz w:val="28"/>
          <w:szCs w:val="28"/>
          <w:lang w:val="ru-RU"/>
        </w:rPr>
        <w:t xml:space="preserve">жданскими служащими требований, </w:t>
      </w:r>
      <w:r w:rsidRPr="005E4B8A">
        <w:rPr>
          <w:rFonts w:ascii="Times New Roman" w:hAnsi="Times New Roman"/>
          <w:sz w:val="28"/>
          <w:szCs w:val="28"/>
          <w:lang w:val="ru-RU"/>
        </w:rPr>
        <w:t>ограничений и запретов, связанных с</w:t>
      </w:r>
      <w:r w:rsidRPr="005E4B8A">
        <w:rPr>
          <w:rFonts w:ascii="Times New Roman" w:hAnsi="Times New Roman"/>
          <w:sz w:val="28"/>
          <w:szCs w:val="28"/>
        </w:rPr>
        <w:t> </w:t>
      </w:r>
      <w:r w:rsidRPr="005E4B8A">
        <w:rPr>
          <w:rFonts w:ascii="Times New Roman" w:hAnsi="Times New Roman"/>
          <w:sz w:val="28"/>
          <w:szCs w:val="28"/>
          <w:lang w:val="ru-RU"/>
        </w:rPr>
        <w:t>прохождением гражданской службы</w:t>
      </w:r>
      <w:r w:rsidR="008803C5">
        <w:rPr>
          <w:rFonts w:ascii="Times New Roman" w:hAnsi="Times New Roman"/>
          <w:sz w:val="28"/>
          <w:szCs w:val="28"/>
          <w:lang w:val="ru-RU"/>
        </w:rPr>
        <w:t>.</w:t>
      </w:r>
    </w:p>
    <w:p w:rsidR="00585C99" w:rsidRPr="00C16F7F" w:rsidRDefault="008803C5"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В</w:t>
      </w:r>
      <w:r w:rsidR="00585C99" w:rsidRPr="005E4B8A">
        <w:rPr>
          <w:rFonts w:ascii="Times New Roman" w:hAnsi="Times New Roman"/>
          <w:sz w:val="28"/>
          <w:szCs w:val="28"/>
          <w:lang w:val="ru-RU"/>
        </w:rPr>
        <w:t xml:space="preserve"> соответствии с Федеральным законом от 16.12.2019 № 439-ФЗ «О внесении изменений в Трудовой кодекс Российской Федерации в части формирования и ведения сведений о трудовой деятельност</w:t>
      </w:r>
      <w:r w:rsidR="00585C99">
        <w:rPr>
          <w:rFonts w:ascii="Times New Roman" w:hAnsi="Times New Roman"/>
          <w:sz w:val="28"/>
          <w:szCs w:val="28"/>
          <w:lang w:val="ru-RU"/>
        </w:rPr>
        <w:t>и работника в электронном виде»,</w:t>
      </w:r>
      <w:r w:rsidR="00585C99" w:rsidRPr="005E4B8A">
        <w:rPr>
          <w:rFonts w:ascii="Times New Roman" w:hAnsi="Times New Roman"/>
          <w:sz w:val="28"/>
          <w:szCs w:val="28"/>
          <w:lang w:val="ru-RU"/>
        </w:rPr>
        <w:t xml:space="preserve"> Федеральным законом от 16.12.2019 № 436-ФЗ «О внесении изменений в Федеральный закон «Об индивидуальном (персонифицированном) учете в системе обязательного пенсионного страхования», сведения о ведении трудовых книжек, о тру</w:t>
      </w:r>
      <w:r w:rsidR="00585C99">
        <w:rPr>
          <w:rFonts w:ascii="Times New Roman" w:hAnsi="Times New Roman"/>
          <w:sz w:val="28"/>
          <w:szCs w:val="28"/>
          <w:lang w:val="ru-RU"/>
        </w:rPr>
        <w:t>довой деятельности сотрудников д</w:t>
      </w:r>
      <w:r w:rsidR="00585C99" w:rsidRPr="005E4B8A">
        <w:rPr>
          <w:rFonts w:ascii="Times New Roman" w:hAnsi="Times New Roman"/>
          <w:sz w:val="28"/>
          <w:szCs w:val="28"/>
          <w:lang w:val="ru-RU"/>
        </w:rPr>
        <w:t>епартамента,</w:t>
      </w:r>
      <w:r w:rsidR="00585C99" w:rsidRPr="005E4B8A">
        <w:rPr>
          <w:lang w:val="ru-RU"/>
        </w:rPr>
        <w:t xml:space="preserve"> </w:t>
      </w:r>
      <w:r w:rsidR="00585C99" w:rsidRPr="005E4B8A">
        <w:rPr>
          <w:rFonts w:ascii="Times New Roman" w:hAnsi="Times New Roman"/>
          <w:sz w:val="28"/>
          <w:szCs w:val="28"/>
          <w:lang w:val="ru-RU"/>
        </w:rPr>
        <w:t>регулярно в порядке и сроки, установленные законодательством, направляются</w:t>
      </w:r>
      <w:r w:rsidR="00585C99" w:rsidRPr="005E4B8A">
        <w:rPr>
          <w:lang w:val="ru-RU"/>
        </w:rPr>
        <w:t xml:space="preserve"> </w:t>
      </w:r>
      <w:r w:rsidR="00585C99" w:rsidRPr="005E4B8A">
        <w:rPr>
          <w:rFonts w:ascii="Times New Roman" w:hAnsi="Times New Roman"/>
          <w:sz w:val="28"/>
          <w:szCs w:val="28"/>
          <w:lang w:val="ru-RU"/>
        </w:rPr>
        <w:t xml:space="preserve">в электронном виде в </w:t>
      </w:r>
      <w:bookmarkStart w:id="160" w:name="_Toc415563592"/>
      <w:r w:rsidR="00585C99" w:rsidRPr="00C16F7F">
        <w:rPr>
          <w:rFonts w:ascii="Times New Roman" w:hAnsi="Times New Roman"/>
          <w:sz w:val="28"/>
          <w:szCs w:val="28"/>
          <w:lang w:val="ru-RU"/>
        </w:rPr>
        <w:t>Фонд пенсионного и социального страхования РФ</w:t>
      </w:r>
      <w:r w:rsidR="00585C99">
        <w:rPr>
          <w:rFonts w:ascii="Times New Roman" w:hAnsi="Times New Roman"/>
          <w:sz w:val="28"/>
          <w:szCs w:val="28"/>
          <w:lang w:val="ru-RU"/>
        </w:rPr>
        <w:t>.</w:t>
      </w:r>
    </w:p>
    <w:p w:rsidR="00585C99" w:rsidRDefault="00585C99" w:rsidP="006D3FBF">
      <w:pPr>
        <w:pStyle w:val="17"/>
        <w:ind w:firstLine="708"/>
        <w:jc w:val="both"/>
        <w:rPr>
          <w:rFonts w:ascii="Times New Roman" w:hAnsi="Times New Roman"/>
          <w:sz w:val="28"/>
          <w:szCs w:val="28"/>
          <w:lang w:val="ru-RU"/>
        </w:rPr>
      </w:pPr>
      <w:r w:rsidRPr="009E5861">
        <w:rPr>
          <w:rFonts w:ascii="Times New Roman" w:hAnsi="Times New Roman"/>
          <w:sz w:val="28"/>
          <w:szCs w:val="28"/>
          <w:lang w:val="ru-RU"/>
        </w:rPr>
        <w:lastRenderedPageBreak/>
        <w:t>Госуда</w:t>
      </w:r>
      <w:r>
        <w:rPr>
          <w:rFonts w:ascii="Times New Roman" w:hAnsi="Times New Roman"/>
          <w:sz w:val="28"/>
          <w:szCs w:val="28"/>
          <w:lang w:val="ru-RU"/>
        </w:rPr>
        <w:t>рственные гражданские служащие д</w:t>
      </w:r>
      <w:r w:rsidRPr="009E5861">
        <w:rPr>
          <w:rFonts w:ascii="Times New Roman" w:hAnsi="Times New Roman"/>
          <w:sz w:val="28"/>
          <w:szCs w:val="28"/>
          <w:lang w:val="ru-RU"/>
        </w:rPr>
        <w:t>епартамента периодически уведомляются об обязанности оперативно сообщать кадровому работнику об изменении данных, подлежащих включению в личные дела, в целях своевременной актуализации и предотвращения возможного конфликта интересов. В личной беседе уточняются сведения о родственниках и свойственниках гражданского служащего, содержащиеся в анкетах, представляемых при назначении на должности и поступлении на службу.</w:t>
      </w:r>
    </w:p>
    <w:p w:rsidR="00585C99" w:rsidRDefault="00585C99" w:rsidP="006D3FBF">
      <w:pPr>
        <w:pStyle w:val="17"/>
        <w:ind w:firstLine="708"/>
        <w:jc w:val="both"/>
        <w:rPr>
          <w:rFonts w:ascii="Times New Roman" w:hAnsi="Times New Roman"/>
          <w:sz w:val="28"/>
          <w:szCs w:val="28"/>
          <w:lang w:val="ru-RU"/>
        </w:rPr>
      </w:pPr>
      <w:r w:rsidRPr="009E5861">
        <w:rPr>
          <w:rFonts w:ascii="Times New Roman" w:hAnsi="Times New Roman"/>
          <w:sz w:val="28"/>
          <w:szCs w:val="28"/>
          <w:lang w:val="ru-RU"/>
        </w:rPr>
        <w:t xml:space="preserve">Информация в личных делах </w:t>
      </w:r>
      <w:r>
        <w:rPr>
          <w:rFonts w:ascii="Times New Roman" w:hAnsi="Times New Roman"/>
          <w:sz w:val="28"/>
          <w:szCs w:val="28"/>
          <w:lang w:val="ru-RU"/>
        </w:rPr>
        <w:t>гражданские служащие д</w:t>
      </w:r>
      <w:r w:rsidRPr="009E5861">
        <w:rPr>
          <w:rFonts w:ascii="Times New Roman" w:hAnsi="Times New Roman"/>
          <w:sz w:val="28"/>
          <w:szCs w:val="28"/>
          <w:lang w:val="ru-RU"/>
        </w:rPr>
        <w:t xml:space="preserve">епартамента актуализируется при поступлении изменений. </w:t>
      </w:r>
      <w:r w:rsidRPr="00F61874">
        <w:rPr>
          <w:rFonts w:ascii="Times New Roman" w:hAnsi="Times New Roman"/>
          <w:sz w:val="28"/>
          <w:szCs w:val="28"/>
          <w:lang w:val="ru-RU"/>
        </w:rPr>
        <w:t xml:space="preserve">После актуализации сведения, содержащиеся в анкетах государственных гражданских служащих </w:t>
      </w:r>
      <w:r>
        <w:rPr>
          <w:rFonts w:ascii="Times New Roman" w:hAnsi="Times New Roman"/>
          <w:sz w:val="28"/>
          <w:szCs w:val="28"/>
          <w:lang w:val="ru-RU"/>
        </w:rPr>
        <w:t>д</w:t>
      </w:r>
      <w:r w:rsidRPr="00F61874">
        <w:rPr>
          <w:rFonts w:ascii="Times New Roman" w:hAnsi="Times New Roman"/>
          <w:sz w:val="28"/>
          <w:szCs w:val="28"/>
          <w:lang w:val="ru-RU"/>
        </w:rPr>
        <w:t xml:space="preserve">епартамента, анализируются. </w:t>
      </w:r>
    </w:p>
    <w:p w:rsidR="00585C99" w:rsidRPr="009E5861" w:rsidRDefault="00585C99" w:rsidP="006D3FBF">
      <w:pPr>
        <w:pStyle w:val="17"/>
        <w:ind w:firstLine="708"/>
        <w:jc w:val="both"/>
        <w:rPr>
          <w:rFonts w:ascii="Times New Roman" w:hAnsi="Times New Roman"/>
          <w:sz w:val="28"/>
          <w:szCs w:val="28"/>
          <w:lang w:val="ru-RU"/>
        </w:rPr>
      </w:pPr>
      <w:r w:rsidRPr="009E5861">
        <w:rPr>
          <w:rFonts w:ascii="Times New Roman" w:hAnsi="Times New Roman"/>
          <w:sz w:val="28"/>
          <w:szCs w:val="28"/>
          <w:lang w:val="ru-RU"/>
        </w:rPr>
        <w:t>Ситуаций возможности возникновения личной заинтересованности, конфликта интересов не было выявлено.</w:t>
      </w:r>
    </w:p>
    <w:p w:rsidR="00585C99" w:rsidRPr="005E1087" w:rsidRDefault="00585C99" w:rsidP="006D3FBF">
      <w:pPr>
        <w:pStyle w:val="2b"/>
        <w:jc w:val="both"/>
        <w:rPr>
          <w:b w:val="0"/>
          <w:sz w:val="28"/>
        </w:rPr>
      </w:pPr>
    </w:p>
    <w:p w:rsidR="00585C99" w:rsidRPr="00AB0F72" w:rsidRDefault="00585C99" w:rsidP="008803C5">
      <w:pPr>
        <w:pStyle w:val="4"/>
      </w:pPr>
      <w:bookmarkStart w:id="161" w:name="_Toc193810600"/>
      <w:r>
        <w:t>5</w:t>
      </w:r>
      <w:r w:rsidRPr="00AB0F72">
        <w:t>.2. Реализация мероприятий по противодействию коррупции в департаменте.</w:t>
      </w:r>
      <w:bookmarkEnd w:id="160"/>
      <w:bookmarkEnd w:id="161"/>
    </w:p>
    <w:p w:rsidR="00585C99" w:rsidRPr="00A20D58" w:rsidRDefault="00585C99" w:rsidP="006D3FBF">
      <w:pPr>
        <w:pStyle w:val="17"/>
        <w:ind w:firstLine="708"/>
        <w:jc w:val="both"/>
        <w:rPr>
          <w:rFonts w:ascii="Times New Roman" w:hAnsi="Times New Roman"/>
          <w:sz w:val="28"/>
          <w:szCs w:val="28"/>
          <w:lang w:val="ru-RU"/>
        </w:rPr>
      </w:pPr>
      <w:r>
        <w:rPr>
          <w:rFonts w:ascii="Times New Roman" w:hAnsi="Times New Roman"/>
          <w:sz w:val="28"/>
          <w:szCs w:val="28"/>
          <w:lang w:val="ru-RU"/>
        </w:rPr>
        <w:t xml:space="preserve">В </w:t>
      </w:r>
      <w:r w:rsidRPr="00A20D58">
        <w:rPr>
          <w:rFonts w:ascii="Times New Roman" w:hAnsi="Times New Roman"/>
          <w:sz w:val="28"/>
          <w:szCs w:val="28"/>
          <w:lang w:val="ru-RU"/>
        </w:rPr>
        <w:t>целях устранения причин и условий, порождающих коррупцию,</w:t>
      </w:r>
      <w:r>
        <w:rPr>
          <w:rFonts w:ascii="Times New Roman" w:hAnsi="Times New Roman"/>
          <w:sz w:val="28"/>
          <w:szCs w:val="28"/>
          <w:lang w:val="ru-RU"/>
        </w:rPr>
        <w:t xml:space="preserve"> в</w:t>
      </w:r>
      <w:r w:rsidRPr="00A20D58">
        <w:rPr>
          <w:rFonts w:ascii="Times New Roman" w:hAnsi="Times New Roman"/>
          <w:sz w:val="28"/>
          <w:szCs w:val="28"/>
          <w:lang w:val="ru-RU"/>
        </w:rPr>
        <w:t xml:space="preserve"> соответствии с Федеральным законом от 25.12.2008 № 273-ФЗ «О противодействии коррупции», </w:t>
      </w:r>
      <w:r w:rsidRPr="00623996">
        <w:rPr>
          <w:rFonts w:ascii="Times New Roman" w:hAnsi="Times New Roman"/>
          <w:sz w:val="28"/>
          <w:szCs w:val="28"/>
          <w:lang w:val="ru-RU"/>
        </w:rPr>
        <w:t xml:space="preserve">Указом Президента Российской Федерации от 16.08.2021 № 478 «О Национальном плане противодействия коррупции на 2021-2024 годы», </w:t>
      </w:r>
      <w:hyperlink r:id="rId206" w:history="1">
        <w:r w:rsidRPr="00A20D58">
          <w:rPr>
            <w:rFonts w:ascii="Times New Roman" w:hAnsi="Times New Roman"/>
            <w:sz w:val="28"/>
            <w:szCs w:val="28"/>
            <w:lang w:val="ru-RU"/>
          </w:rPr>
          <w:t>Законом</w:t>
        </w:r>
      </w:hyperlink>
      <w:r w:rsidRPr="00A20D58">
        <w:rPr>
          <w:rFonts w:ascii="Times New Roman" w:hAnsi="Times New Roman"/>
          <w:sz w:val="28"/>
          <w:szCs w:val="28"/>
          <w:lang w:val="ru-RU"/>
        </w:rPr>
        <w:t xml:space="preserve"> Новосибирской области от 27.04.2010 № 486-ОЗ «О мерах по профилактике коррупции в Новосибирской области»</w:t>
      </w:r>
      <w:r>
        <w:rPr>
          <w:rFonts w:ascii="Times New Roman" w:hAnsi="Times New Roman"/>
          <w:sz w:val="28"/>
          <w:szCs w:val="28"/>
          <w:lang w:val="ru-RU"/>
        </w:rPr>
        <w:t>, планом</w:t>
      </w:r>
      <w:r w:rsidRPr="00A20D58">
        <w:rPr>
          <w:rFonts w:ascii="Times New Roman" w:hAnsi="Times New Roman"/>
          <w:sz w:val="28"/>
          <w:szCs w:val="28"/>
          <w:lang w:val="ru-RU"/>
        </w:rPr>
        <w:t xml:space="preserve"> «Противодействие коррупции в департаменте по тариф</w:t>
      </w:r>
      <w:r>
        <w:rPr>
          <w:rFonts w:ascii="Times New Roman" w:hAnsi="Times New Roman"/>
          <w:sz w:val="28"/>
          <w:szCs w:val="28"/>
          <w:lang w:val="ru-RU"/>
        </w:rPr>
        <w:t>ам Новосибирской области на 2021</w:t>
      </w:r>
      <w:r w:rsidRPr="00A20D58">
        <w:rPr>
          <w:rFonts w:ascii="Times New Roman" w:hAnsi="Times New Roman"/>
          <w:sz w:val="28"/>
          <w:szCs w:val="28"/>
          <w:lang w:val="ru-RU"/>
        </w:rPr>
        <w:t xml:space="preserve"> – 202</w:t>
      </w:r>
      <w:r>
        <w:rPr>
          <w:rFonts w:ascii="Times New Roman" w:hAnsi="Times New Roman"/>
          <w:sz w:val="28"/>
          <w:szCs w:val="28"/>
          <w:lang w:val="ru-RU"/>
        </w:rPr>
        <w:t>4</w:t>
      </w:r>
      <w:r w:rsidRPr="00A20D58">
        <w:rPr>
          <w:rFonts w:ascii="Times New Roman" w:hAnsi="Times New Roman"/>
          <w:sz w:val="28"/>
          <w:szCs w:val="28"/>
          <w:lang w:val="ru-RU"/>
        </w:rPr>
        <w:t xml:space="preserve"> годы»</w:t>
      </w:r>
      <w:r w:rsidRPr="00A20D58">
        <w:rPr>
          <w:rFonts w:ascii="Times New Roman" w:hAnsi="Times New Roman"/>
          <w:szCs w:val="28"/>
          <w:lang w:val="ru-RU"/>
        </w:rPr>
        <w:t xml:space="preserve"> </w:t>
      </w:r>
      <w:r w:rsidRPr="00A20D58">
        <w:rPr>
          <w:rFonts w:ascii="Times New Roman" w:hAnsi="Times New Roman"/>
          <w:sz w:val="28"/>
          <w:szCs w:val="28"/>
          <w:lang w:val="ru-RU"/>
        </w:rPr>
        <w:t>(далее – П</w:t>
      </w:r>
      <w:r>
        <w:rPr>
          <w:rFonts w:ascii="Times New Roman" w:hAnsi="Times New Roman"/>
          <w:sz w:val="28"/>
          <w:szCs w:val="28"/>
          <w:lang w:val="ru-RU"/>
        </w:rPr>
        <w:t>лан</w:t>
      </w:r>
      <w:r w:rsidRPr="00A20D58">
        <w:rPr>
          <w:rFonts w:ascii="Times New Roman" w:hAnsi="Times New Roman"/>
          <w:sz w:val="28"/>
          <w:szCs w:val="28"/>
          <w:lang w:val="ru-RU"/>
        </w:rPr>
        <w:t>),</w:t>
      </w:r>
      <w:r w:rsidRPr="00A20D58">
        <w:rPr>
          <w:rFonts w:ascii="Times New Roman" w:hAnsi="Times New Roman"/>
          <w:szCs w:val="28"/>
          <w:lang w:val="ru-RU"/>
        </w:rPr>
        <w:t xml:space="preserve"> </w:t>
      </w:r>
      <w:r w:rsidRPr="00A20D58">
        <w:rPr>
          <w:rFonts w:ascii="Times New Roman" w:eastAsia="Times New Roman" w:hAnsi="Times New Roman"/>
          <w:sz w:val="28"/>
          <w:szCs w:val="28"/>
          <w:lang w:val="ru-RU"/>
        </w:rPr>
        <w:t>у</w:t>
      </w:r>
      <w:r>
        <w:rPr>
          <w:rFonts w:ascii="Times New Roman" w:hAnsi="Times New Roman"/>
          <w:sz w:val="28"/>
          <w:szCs w:val="28"/>
          <w:lang w:val="ru-RU"/>
        </w:rPr>
        <w:t xml:space="preserve">твержденным приказом руководителя </w:t>
      </w:r>
      <w:r w:rsidR="008803C5">
        <w:rPr>
          <w:rFonts w:ascii="Times New Roman" w:hAnsi="Times New Roman"/>
          <w:sz w:val="28"/>
          <w:szCs w:val="28"/>
          <w:lang w:val="ru-RU"/>
        </w:rPr>
        <w:t>д</w:t>
      </w:r>
      <w:r w:rsidRPr="00A20D58">
        <w:rPr>
          <w:rFonts w:ascii="Times New Roman" w:hAnsi="Times New Roman"/>
          <w:sz w:val="28"/>
          <w:szCs w:val="28"/>
          <w:lang w:val="ru-RU"/>
        </w:rPr>
        <w:t>епартамента о</w:t>
      </w:r>
      <w:r>
        <w:rPr>
          <w:rFonts w:ascii="Times New Roman" w:hAnsi="Times New Roman"/>
          <w:sz w:val="28"/>
          <w:szCs w:val="28"/>
          <w:lang w:val="ru-RU"/>
        </w:rPr>
        <w:t xml:space="preserve">т </w:t>
      </w:r>
      <w:r w:rsidRPr="009E5861">
        <w:rPr>
          <w:rFonts w:ascii="Times New Roman" w:hAnsi="Times New Roman"/>
          <w:sz w:val="28"/>
          <w:szCs w:val="28"/>
          <w:lang w:val="ru-RU"/>
        </w:rPr>
        <w:t>08.09.2</w:t>
      </w:r>
      <w:r>
        <w:rPr>
          <w:rFonts w:ascii="Times New Roman" w:hAnsi="Times New Roman"/>
          <w:sz w:val="28"/>
          <w:szCs w:val="28"/>
          <w:lang w:val="ru-RU"/>
        </w:rPr>
        <w:t xml:space="preserve">021 </w:t>
      </w:r>
      <w:r w:rsidRPr="009E5861">
        <w:rPr>
          <w:rFonts w:ascii="Times New Roman" w:hAnsi="Times New Roman"/>
          <w:sz w:val="28"/>
          <w:szCs w:val="28"/>
          <w:lang w:val="ru-RU"/>
        </w:rPr>
        <w:t>№ 11-пк,</w:t>
      </w:r>
      <w:r w:rsidRPr="00A20D58">
        <w:rPr>
          <w:rFonts w:ascii="Times New Roman" w:hAnsi="Times New Roman"/>
          <w:sz w:val="28"/>
          <w:szCs w:val="28"/>
          <w:lang w:val="ru-RU"/>
        </w:rPr>
        <w:t xml:space="preserve"> </w:t>
      </w:r>
      <w:r>
        <w:rPr>
          <w:rFonts w:ascii="Times New Roman" w:hAnsi="Times New Roman"/>
          <w:sz w:val="28"/>
          <w:szCs w:val="28"/>
          <w:lang w:val="ru-RU"/>
        </w:rPr>
        <w:t>мероприятия Плана</w:t>
      </w:r>
      <w:r w:rsidRPr="00A20D58">
        <w:rPr>
          <w:rFonts w:ascii="Times New Roman" w:hAnsi="Times New Roman"/>
          <w:sz w:val="28"/>
          <w:szCs w:val="28"/>
          <w:lang w:val="ru-RU"/>
        </w:rPr>
        <w:t xml:space="preserve"> </w:t>
      </w:r>
      <w:r>
        <w:rPr>
          <w:rFonts w:ascii="Times New Roman" w:hAnsi="Times New Roman"/>
          <w:sz w:val="28"/>
          <w:szCs w:val="28"/>
          <w:lang w:val="ru-RU"/>
        </w:rPr>
        <w:t>выполняются в полной мере в установленные сроки.</w:t>
      </w:r>
    </w:p>
    <w:p w:rsidR="00585C99" w:rsidRPr="00F61874" w:rsidRDefault="00585C99" w:rsidP="006D3FBF">
      <w:pPr>
        <w:pStyle w:val="17"/>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В ходе реализации в </w:t>
      </w:r>
      <w:r>
        <w:rPr>
          <w:rFonts w:ascii="Times New Roman" w:hAnsi="Times New Roman"/>
          <w:sz w:val="28"/>
          <w:szCs w:val="28"/>
          <w:lang w:val="ru-RU"/>
        </w:rPr>
        <w:t>2024 г</w:t>
      </w:r>
      <w:r w:rsidRPr="00AB0F72">
        <w:rPr>
          <w:rFonts w:ascii="Times New Roman" w:hAnsi="Times New Roman"/>
          <w:sz w:val="28"/>
          <w:szCs w:val="28"/>
          <w:lang w:val="ru-RU"/>
        </w:rPr>
        <w:t xml:space="preserve">оду требований законодательства о противодействии коррупции и </w:t>
      </w:r>
      <w:r>
        <w:rPr>
          <w:rFonts w:ascii="Times New Roman" w:hAnsi="Times New Roman"/>
          <w:sz w:val="28"/>
          <w:szCs w:val="28"/>
          <w:lang w:val="ru-RU"/>
        </w:rPr>
        <w:t xml:space="preserve">в соответствии с </w:t>
      </w:r>
      <w:r w:rsidRPr="00AB0F72">
        <w:rPr>
          <w:rFonts w:ascii="Times New Roman" w:hAnsi="Times New Roman"/>
          <w:sz w:val="28"/>
          <w:szCs w:val="28"/>
          <w:lang w:val="ru-RU"/>
        </w:rPr>
        <w:t>П</w:t>
      </w:r>
      <w:r>
        <w:rPr>
          <w:rFonts w:ascii="Times New Roman" w:hAnsi="Times New Roman"/>
          <w:sz w:val="28"/>
          <w:szCs w:val="28"/>
          <w:lang w:val="ru-RU"/>
        </w:rPr>
        <w:t>ланом</w:t>
      </w:r>
      <w:r w:rsidRPr="00AB0F72">
        <w:rPr>
          <w:rFonts w:ascii="Times New Roman" w:hAnsi="Times New Roman"/>
          <w:sz w:val="28"/>
          <w:szCs w:val="28"/>
          <w:lang w:val="ru-RU"/>
        </w:rPr>
        <w:t xml:space="preserve"> в </w:t>
      </w:r>
      <w:r>
        <w:rPr>
          <w:rFonts w:ascii="Times New Roman" w:hAnsi="Times New Roman"/>
          <w:sz w:val="28"/>
          <w:szCs w:val="28"/>
          <w:lang w:val="ru-RU"/>
        </w:rPr>
        <w:t>д</w:t>
      </w:r>
      <w:r w:rsidRPr="00AB0F72">
        <w:rPr>
          <w:rFonts w:ascii="Times New Roman" w:hAnsi="Times New Roman"/>
          <w:sz w:val="28"/>
          <w:szCs w:val="28"/>
          <w:lang w:val="ru-RU"/>
        </w:rPr>
        <w:t xml:space="preserve">епартаменте были </w:t>
      </w:r>
      <w:r w:rsidRPr="00F61874">
        <w:rPr>
          <w:rFonts w:ascii="Times New Roman" w:hAnsi="Times New Roman"/>
          <w:sz w:val="28"/>
          <w:szCs w:val="28"/>
          <w:lang w:val="ru-RU"/>
        </w:rPr>
        <w:t>проведены нижеперечисленные мероприятия:</w:t>
      </w:r>
    </w:p>
    <w:p w:rsidR="00585C99" w:rsidRPr="00C16F7F" w:rsidRDefault="00585C99" w:rsidP="006D3FBF">
      <w:pPr>
        <w:pStyle w:val="17"/>
        <w:ind w:firstLine="708"/>
        <w:jc w:val="both"/>
        <w:rPr>
          <w:rFonts w:ascii="Times New Roman" w:hAnsi="Times New Roman"/>
          <w:sz w:val="28"/>
          <w:szCs w:val="28"/>
          <w:lang w:val="ru-RU"/>
        </w:rPr>
      </w:pPr>
      <w:r w:rsidRPr="00C16F7F">
        <w:rPr>
          <w:rFonts w:ascii="Times New Roman" w:hAnsi="Times New Roman"/>
          <w:sz w:val="28"/>
          <w:szCs w:val="28"/>
          <w:lang w:val="ru-RU"/>
        </w:rPr>
        <w:t xml:space="preserve">1. Приказами руководителя департамента утверждены следующие нормативные правовые акты, направленные на реализацию антикоррупционной политики: </w:t>
      </w:r>
    </w:p>
    <w:p w:rsidR="00585C99" w:rsidRPr="00C16F7F" w:rsidRDefault="00585C99" w:rsidP="006D3FBF">
      <w:pPr>
        <w:spacing w:line="240" w:lineRule="auto"/>
        <w:ind w:firstLine="708"/>
        <w:contextualSpacing/>
        <w:jc w:val="both"/>
        <w:rPr>
          <w:rFonts w:eastAsia="Times New Roman"/>
          <w:szCs w:val="28"/>
        </w:rPr>
      </w:pPr>
      <w:r w:rsidRPr="00C16F7F">
        <w:rPr>
          <w:rFonts w:eastAsia="Times New Roman"/>
          <w:szCs w:val="28"/>
        </w:rPr>
        <w:t>от 07.03.2024 № 2-пк «О комиссии по соблюдению требований к служебному поведению государственных гражданских</w:t>
      </w:r>
      <w:r>
        <w:rPr>
          <w:rFonts w:eastAsia="Times New Roman"/>
          <w:szCs w:val="28"/>
        </w:rPr>
        <w:t xml:space="preserve"> служащих Новосибирской области </w:t>
      </w:r>
      <w:r w:rsidRPr="00C16F7F">
        <w:rPr>
          <w:rFonts w:eastAsia="Times New Roman"/>
          <w:szCs w:val="28"/>
        </w:rPr>
        <w:t>и урегулированию конфликта интересов в департаменте по тарифам Новосибирской области»</w:t>
      </w:r>
      <w:r w:rsidRPr="00C16F7F">
        <w:rPr>
          <w:szCs w:val="28"/>
        </w:rPr>
        <w:t>;</w:t>
      </w:r>
    </w:p>
    <w:p w:rsidR="00585C99" w:rsidRPr="00A27E73" w:rsidRDefault="00585C99" w:rsidP="006D3FBF">
      <w:pPr>
        <w:spacing w:line="240" w:lineRule="auto"/>
        <w:ind w:firstLine="708"/>
        <w:contextualSpacing/>
        <w:jc w:val="both"/>
        <w:rPr>
          <w:rFonts w:eastAsia="Times New Roman"/>
          <w:color w:val="000000"/>
          <w:sz w:val="27"/>
          <w:szCs w:val="27"/>
        </w:rPr>
      </w:pPr>
      <w:r w:rsidRPr="00C16F7F">
        <w:rPr>
          <w:color w:val="000000"/>
          <w:szCs w:val="28"/>
          <w:shd w:val="clear" w:color="auto" w:fill="FFFFFF"/>
        </w:rPr>
        <w:t xml:space="preserve">от </w:t>
      </w:r>
      <w:r>
        <w:rPr>
          <w:color w:val="000000"/>
          <w:szCs w:val="28"/>
          <w:shd w:val="clear" w:color="auto" w:fill="FFFFFF"/>
        </w:rPr>
        <w:t>02.04.2024</w:t>
      </w:r>
      <w:r w:rsidRPr="00C16F7F">
        <w:rPr>
          <w:color w:val="000000"/>
          <w:szCs w:val="28"/>
          <w:shd w:val="clear" w:color="auto" w:fill="FFFFFF"/>
        </w:rPr>
        <w:t xml:space="preserve"> </w:t>
      </w:r>
      <w:r w:rsidRPr="00C16F7F">
        <w:rPr>
          <w:szCs w:val="28"/>
        </w:rPr>
        <w:t xml:space="preserve">№ </w:t>
      </w:r>
      <w:r>
        <w:rPr>
          <w:color w:val="000000"/>
          <w:szCs w:val="28"/>
          <w:shd w:val="clear" w:color="auto" w:fill="FFFFFF"/>
        </w:rPr>
        <w:t>3</w:t>
      </w:r>
      <w:r w:rsidRPr="00C16F7F">
        <w:rPr>
          <w:color w:val="000000"/>
          <w:szCs w:val="28"/>
          <w:shd w:val="clear" w:color="auto" w:fill="FFFFFF"/>
        </w:rPr>
        <w:t>-пк «</w:t>
      </w:r>
      <w:r w:rsidRPr="00A27E73">
        <w:rPr>
          <w:rFonts w:eastAsia="Times New Roman"/>
          <w:sz w:val="27"/>
          <w:szCs w:val="27"/>
        </w:rPr>
        <w:t>О признании утратившими силу отдельных приказов руководителя департамента по тарифам Новосибирской области</w:t>
      </w:r>
      <w:r w:rsidRPr="00C16F7F">
        <w:rPr>
          <w:szCs w:val="28"/>
        </w:rPr>
        <w:t>»;</w:t>
      </w:r>
    </w:p>
    <w:p w:rsidR="00585C99" w:rsidRDefault="00585C99" w:rsidP="006D3FBF">
      <w:pPr>
        <w:spacing w:line="240" w:lineRule="auto"/>
        <w:ind w:firstLine="708"/>
        <w:contextualSpacing/>
        <w:jc w:val="both"/>
        <w:rPr>
          <w:rFonts w:eastAsia="Times New Roman"/>
          <w:szCs w:val="28"/>
        </w:rPr>
      </w:pPr>
      <w:r w:rsidRPr="00C16F7F">
        <w:rPr>
          <w:rFonts w:eastAsia="Calibri"/>
          <w:color w:val="000000"/>
          <w:szCs w:val="28"/>
          <w:shd w:val="clear" w:color="auto" w:fill="FFFFFF"/>
          <w:lang w:eastAsia="en-US"/>
        </w:rPr>
        <w:t xml:space="preserve">от </w:t>
      </w:r>
      <w:r>
        <w:rPr>
          <w:rFonts w:eastAsia="Calibri"/>
          <w:color w:val="000000"/>
          <w:szCs w:val="28"/>
          <w:shd w:val="clear" w:color="auto" w:fill="FFFFFF"/>
          <w:lang w:eastAsia="en-US"/>
        </w:rPr>
        <w:t>03.05.2024</w:t>
      </w:r>
      <w:r w:rsidRPr="00C16F7F">
        <w:rPr>
          <w:rFonts w:eastAsia="Calibri"/>
          <w:color w:val="000000"/>
          <w:szCs w:val="28"/>
          <w:shd w:val="clear" w:color="auto" w:fill="FFFFFF"/>
          <w:lang w:eastAsia="en-US"/>
        </w:rPr>
        <w:t xml:space="preserve"> </w:t>
      </w:r>
      <w:r w:rsidRPr="00C16F7F">
        <w:rPr>
          <w:rFonts w:eastAsia="Calibri"/>
          <w:szCs w:val="28"/>
          <w:lang w:eastAsia="en-US"/>
        </w:rPr>
        <w:t xml:space="preserve">№ </w:t>
      </w:r>
      <w:r>
        <w:rPr>
          <w:rFonts w:eastAsia="Calibri"/>
          <w:color w:val="000000"/>
          <w:szCs w:val="28"/>
          <w:shd w:val="clear" w:color="auto" w:fill="FFFFFF"/>
          <w:lang w:eastAsia="en-US"/>
        </w:rPr>
        <w:t>5</w:t>
      </w:r>
      <w:r w:rsidRPr="00C16F7F">
        <w:rPr>
          <w:rFonts w:eastAsia="Calibri"/>
          <w:color w:val="000000"/>
          <w:szCs w:val="28"/>
          <w:shd w:val="clear" w:color="auto" w:fill="FFFFFF"/>
          <w:lang w:eastAsia="en-US"/>
        </w:rPr>
        <w:t>-пк</w:t>
      </w:r>
      <w:r w:rsidRPr="00C16F7F">
        <w:rPr>
          <w:rFonts w:eastAsia="Calibri"/>
          <w:szCs w:val="28"/>
          <w:lang w:eastAsia="en-US"/>
        </w:rPr>
        <w:t xml:space="preserve"> «</w:t>
      </w:r>
      <w:r w:rsidRPr="00A27E73">
        <w:rPr>
          <w:rFonts w:eastAsia="Times New Roman"/>
          <w:szCs w:val="28"/>
        </w:rPr>
        <w:t>О внесении изменений в приказ руководителя департамента по тарифам Новосибирской области от 07.03.2024 № 2-пк</w:t>
      </w:r>
      <w:r>
        <w:rPr>
          <w:rFonts w:eastAsia="Times New Roman"/>
          <w:szCs w:val="28"/>
        </w:rPr>
        <w:t>»;</w:t>
      </w:r>
    </w:p>
    <w:p w:rsidR="00585C99" w:rsidRDefault="00585C99" w:rsidP="006D3FBF">
      <w:pPr>
        <w:autoSpaceDE w:val="0"/>
        <w:autoSpaceDN w:val="0"/>
        <w:adjustRightInd w:val="0"/>
        <w:spacing w:line="240" w:lineRule="auto"/>
        <w:ind w:firstLine="708"/>
        <w:jc w:val="both"/>
        <w:rPr>
          <w:rFonts w:eastAsia="Times New Roman"/>
          <w:szCs w:val="28"/>
        </w:rPr>
      </w:pPr>
      <w:r w:rsidRPr="00C16F7F">
        <w:rPr>
          <w:rFonts w:eastAsia="Calibri"/>
          <w:color w:val="000000"/>
          <w:szCs w:val="28"/>
          <w:shd w:val="clear" w:color="auto" w:fill="FFFFFF"/>
          <w:lang w:eastAsia="en-US"/>
        </w:rPr>
        <w:t xml:space="preserve">от </w:t>
      </w:r>
      <w:r>
        <w:rPr>
          <w:rFonts w:eastAsia="Calibri"/>
          <w:color w:val="000000"/>
          <w:szCs w:val="28"/>
          <w:shd w:val="clear" w:color="auto" w:fill="FFFFFF"/>
          <w:lang w:eastAsia="en-US"/>
        </w:rPr>
        <w:t>13.05.2024</w:t>
      </w:r>
      <w:r w:rsidRPr="00C16F7F">
        <w:rPr>
          <w:rFonts w:eastAsia="Calibri"/>
          <w:color w:val="000000"/>
          <w:szCs w:val="28"/>
          <w:shd w:val="clear" w:color="auto" w:fill="FFFFFF"/>
          <w:lang w:eastAsia="en-US"/>
        </w:rPr>
        <w:t xml:space="preserve"> </w:t>
      </w:r>
      <w:r w:rsidRPr="00C16F7F">
        <w:rPr>
          <w:rFonts w:eastAsia="Calibri"/>
          <w:szCs w:val="28"/>
          <w:lang w:eastAsia="en-US"/>
        </w:rPr>
        <w:t xml:space="preserve">№ </w:t>
      </w:r>
      <w:r>
        <w:rPr>
          <w:rFonts w:eastAsia="Calibri"/>
          <w:color w:val="000000"/>
          <w:szCs w:val="28"/>
          <w:shd w:val="clear" w:color="auto" w:fill="FFFFFF"/>
          <w:lang w:eastAsia="en-US"/>
        </w:rPr>
        <w:t>6</w:t>
      </w:r>
      <w:r w:rsidRPr="00C16F7F">
        <w:rPr>
          <w:rFonts w:eastAsia="Calibri"/>
          <w:color w:val="000000"/>
          <w:szCs w:val="28"/>
          <w:shd w:val="clear" w:color="auto" w:fill="FFFFFF"/>
          <w:lang w:eastAsia="en-US"/>
        </w:rPr>
        <w:t>-пк</w:t>
      </w:r>
      <w:r w:rsidRPr="00C16F7F">
        <w:rPr>
          <w:rFonts w:eastAsia="Calibri"/>
          <w:szCs w:val="28"/>
          <w:lang w:eastAsia="en-US"/>
        </w:rPr>
        <w:t xml:space="preserve"> «</w:t>
      </w:r>
      <w:r w:rsidRPr="00B36A02">
        <w:rPr>
          <w:rFonts w:eastAsia="Calibri"/>
          <w:szCs w:val="28"/>
          <w:lang w:eastAsia="en-US"/>
        </w:rPr>
        <w:t xml:space="preserve">Об утверждении Порядка уведомления </w:t>
      </w:r>
      <w:r w:rsidRPr="00B36A02">
        <w:rPr>
          <w:rFonts w:eastAsia="Times New Roman"/>
          <w:szCs w:val="28"/>
        </w:rPr>
        <w:t>государственными гражданскими служащими Новосибирской области</w:t>
      </w:r>
      <w:r w:rsidRPr="00B36A02">
        <w:rPr>
          <w:rFonts w:eastAsia="Calibri"/>
          <w:szCs w:val="28"/>
          <w:lang w:eastAsia="en-US"/>
        </w:rPr>
        <w:t xml:space="preserve">, замещающими должности государственной гражданской службы Новосибирской области в департаменте по тарифам Новосибирской области, </w:t>
      </w:r>
      <w:r w:rsidRPr="00B36A02">
        <w:rPr>
          <w:rFonts w:eastAsia="Calibri"/>
          <w:szCs w:val="28"/>
          <w:lang w:eastAsia="en-US"/>
        </w:rPr>
        <w:lastRenderedPageBreak/>
        <w:t>представителя нанимателя о фактах обращения к ним в целях склонения к совершению коррупционных правонарушени</w:t>
      </w:r>
      <w:r>
        <w:rPr>
          <w:rFonts w:eastAsia="Calibri"/>
          <w:szCs w:val="28"/>
          <w:lang w:eastAsia="en-US"/>
        </w:rPr>
        <w:t>й</w:t>
      </w:r>
      <w:r>
        <w:rPr>
          <w:rFonts w:eastAsia="Times New Roman"/>
          <w:szCs w:val="28"/>
        </w:rPr>
        <w:t>»;</w:t>
      </w:r>
    </w:p>
    <w:p w:rsidR="00585C99" w:rsidRPr="00AE6811" w:rsidRDefault="00585C99" w:rsidP="006D3FBF">
      <w:pPr>
        <w:spacing w:line="240" w:lineRule="auto"/>
        <w:ind w:firstLine="708"/>
        <w:contextualSpacing/>
        <w:jc w:val="both"/>
        <w:rPr>
          <w:rFonts w:eastAsia="Times New Roman"/>
          <w:color w:val="000000"/>
          <w:szCs w:val="28"/>
        </w:rPr>
      </w:pPr>
      <w:r w:rsidRPr="00C16F7F">
        <w:rPr>
          <w:rFonts w:eastAsia="Calibri"/>
          <w:color w:val="000000"/>
          <w:szCs w:val="28"/>
          <w:shd w:val="clear" w:color="auto" w:fill="FFFFFF"/>
          <w:lang w:eastAsia="en-US"/>
        </w:rPr>
        <w:t xml:space="preserve">от </w:t>
      </w:r>
      <w:r>
        <w:rPr>
          <w:rFonts w:eastAsia="Calibri"/>
          <w:color w:val="000000"/>
          <w:szCs w:val="28"/>
          <w:shd w:val="clear" w:color="auto" w:fill="FFFFFF"/>
          <w:lang w:eastAsia="en-US"/>
        </w:rPr>
        <w:t>08.11.2024</w:t>
      </w:r>
      <w:r w:rsidRPr="00C16F7F">
        <w:rPr>
          <w:rFonts w:eastAsia="Calibri"/>
          <w:color w:val="000000"/>
          <w:szCs w:val="28"/>
          <w:shd w:val="clear" w:color="auto" w:fill="FFFFFF"/>
          <w:lang w:eastAsia="en-US"/>
        </w:rPr>
        <w:t xml:space="preserve"> </w:t>
      </w:r>
      <w:r w:rsidRPr="00C16F7F">
        <w:rPr>
          <w:rFonts w:eastAsia="Calibri"/>
          <w:szCs w:val="28"/>
          <w:lang w:eastAsia="en-US"/>
        </w:rPr>
        <w:t xml:space="preserve">№ </w:t>
      </w:r>
      <w:r>
        <w:rPr>
          <w:rFonts w:eastAsia="Calibri"/>
          <w:color w:val="000000"/>
          <w:szCs w:val="28"/>
          <w:shd w:val="clear" w:color="auto" w:fill="FFFFFF"/>
          <w:lang w:eastAsia="en-US"/>
        </w:rPr>
        <w:t>19</w:t>
      </w:r>
      <w:r w:rsidRPr="00C16F7F">
        <w:rPr>
          <w:rFonts w:eastAsia="Calibri"/>
          <w:color w:val="000000"/>
          <w:szCs w:val="28"/>
          <w:shd w:val="clear" w:color="auto" w:fill="FFFFFF"/>
          <w:lang w:eastAsia="en-US"/>
        </w:rPr>
        <w:t>-пк</w:t>
      </w:r>
      <w:r w:rsidRPr="00C16F7F">
        <w:rPr>
          <w:rFonts w:eastAsia="Calibri"/>
          <w:szCs w:val="28"/>
          <w:lang w:eastAsia="en-US"/>
        </w:rPr>
        <w:t xml:space="preserve"> «</w:t>
      </w:r>
      <w:r w:rsidRPr="00AE6811">
        <w:rPr>
          <w:rFonts w:eastAsia="Times New Roman"/>
          <w:szCs w:val="28"/>
        </w:rPr>
        <w:t>О внесении изменений в приказ руководителя департамента по тарифам Новосибирской области от 07.03.2024 № 2-пк</w:t>
      </w:r>
      <w:r>
        <w:rPr>
          <w:rFonts w:eastAsia="Times New Roman"/>
          <w:szCs w:val="28"/>
        </w:rPr>
        <w:t>»;</w:t>
      </w:r>
    </w:p>
    <w:p w:rsidR="00585C99" w:rsidRDefault="00585C99" w:rsidP="008803C5">
      <w:pPr>
        <w:spacing w:after="0" w:line="240" w:lineRule="auto"/>
        <w:ind w:firstLine="708"/>
        <w:jc w:val="both"/>
        <w:rPr>
          <w:rFonts w:eastAsia="Times New Roman"/>
          <w:szCs w:val="28"/>
        </w:rPr>
      </w:pPr>
      <w:r w:rsidRPr="00C16F7F">
        <w:rPr>
          <w:rFonts w:eastAsia="Calibri"/>
          <w:color w:val="000000"/>
          <w:szCs w:val="28"/>
          <w:shd w:val="clear" w:color="auto" w:fill="FFFFFF"/>
          <w:lang w:eastAsia="en-US"/>
        </w:rPr>
        <w:t xml:space="preserve">от </w:t>
      </w:r>
      <w:r>
        <w:rPr>
          <w:rFonts w:eastAsia="Calibri"/>
          <w:color w:val="000000"/>
          <w:szCs w:val="28"/>
          <w:shd w:val="clear" w:color="auto" w:fill="FFFFFF"/>
          <w:lang w:eastAsia="en-US"/>
        </w:rPr>
        <w:t>10.12.2024</w:t>
      </w:r>
      <w:r w:rsidRPr="00C16F7F">
        <w:rPr>
          <w:rFonts w:eastAsia="Calibri"/>
          <w:color w:val="000000"/>
          <w:szCs w:val="28"/>
          <w:shd w:val="clear" w:color="auto" w:fill="FFFFFF"/>
          <w:lang w:eastAsia="en-US"/>
        </w:rPr>
        <w:t xml:space="preserve"> </w:t>
      </w:r>
      <w:r w:rsidRPr="00C16F7F">
        <w:rPr>
          <w:rFonts w:eastAsia="Calibri"/>
          <w:szCs w:val="28"/>
          <w:lang w:eastAsia="en-US"/>
        </w:rPr>
        <w:t xml:space="preserve">№ </w:t>
      </w:r>
      <w:r>
        <w:rPr>
          <w:rFonts w:eastAsia="Calibri"/>
          <w:color w:val="000000"/>
          <w:szCs w:val="28"/>
          <w:shd w:val="clear" w:color="auto" w:fill="FFFFFF"/>
          <w:lang w:eastAsia="en-US"/>
        </w:rPr>
        <w:t>22</w:t>
      </w:r>
      <w:r w:rsidRPr="00C16F7F">
        <w:rPr>
          <w:rFonts w:eastAsia="Calibri"/>
          <w:color w:val="000000"/>
          <w:szCs w:val="28"/>
          <w:shd w:val="clear" w:color="auto" w:fill="FFFFFF"/>
          <w:lang w:eastAsia="en-US"/>
        </w:rPr>
        <w:t>-пк</w:t>
      </w:r>
      <w:r w:rsidRPr="00C16F7F">
        <w:rPr>
          <w:rFonts w:eastAsia="Calibri"/>
          <w:szCs w:val="28"/>
          <w:lang w:eastAsia="en-US"/>
        </w:rPr>
        <w:t xml:space="preserve"> «</w:t>
      </w:r>
      <w:r w:rsidRPr="00AE6811">
        <w:rPr>
          <w:rFonts w:eastAsia="Times New Roman"/>
          <w:szCs w:val="28"/>
        </w:rPr>
        <w:t>Об утверждении перечня должностей гос</w:t>
      </w:r>
      <w:r>
        <w:rPr>
          <w:rFonts w:eastAsia="Times New Roman"/>
          <w:szCs w:val="28"/>
        </w:rPr>
        <w:t xml:space="preserve">ударственной гражданской службы </w:t>
      </w:r>
      <w:r w:rsidRPr="00AE6811">
        <w:rPr>
          <w:rFonts w:eastAsia="Times New Roman"/>
          <w:szCs w:val="28"/>
        </w:rPr>
        <w:t>Новосибирской области</w:t>
      </w:r>
      <w:r w:rsidRPr="00AE6811">
        <w:rPr>
          <w:rFonts w:eastAsia="Times New Roman"/>
          <w:szCs w:val="20"/>
        </w:rPr>
        <w:t xml:space="preserve"> в департаменте по тарифам Новосибирской области</w:t>
      </w:r>
      <w:r w:rsidRPr="00AE6811">
        <w:rPr>
          <w:rFonts w:eastAsia="Times New Roman"/>
          <w:szCs w:val="28"/>
        </w:rPr>
        <w:t xml:space="preserve">, </w:t>
      </w:r>
      <w:r w:rsidRPr="00AE6811">
        <w:rPr>
          <w:rFonts w:eastAsia="Times New Roman"/>
          <w:szCs w:val="20"/>
        </w:rPr>
        <w:t>при  замещении которых государственные гражданские служащие Новосибирской области обязаны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r>
        <w:rPr>
          <w:rFonts w:eastAsia="Times New Roman"/>
          <w:szCs w:val="28"/>
        </w:rPr>
        <w:t>»;</w:t>
      </w:r>
    </w:p>
    <w:p w:rsidR="00585C99" w:rsidRDefault="00585C99" w:rsidP="008803C5">
      <w:pPr>
        <w:spacing w:after="0" w:line="240" w:lineRule="auto"/>
        <w:ind w:firstLine="708"/>
        <w:jc w:val="both"/>
        <w:rPr>
          <w:rFonts w:eastAsia="Times New Roman"/>
          <w:szCs w:val="28"/>
        </w:rPr>
      </w:pPr>
      <w:r w:rsidRPr="00C16F7F">
        <w:rPr>
          <w:rFonts w:eastAsia="Calibri"/>
          <w:color w:val="000000"/>
          <w:szCs w:val="28"/>
          <w:shd w:val="clear" w:color="auto" w:fill="FFFFFF"/>
          <w:lang w:eastAsia="en-US"/>
        </w:rPr>
        <w:t xml:space="preserve">от </w:t>
      </w:r>
      <w:r>
        <w:rPr>
          <w:rFonts w:eastAsia="Calibri"/>
          <w:color w:val="000000"/>
          <w:szCs w:val="28"/>
          <w:shd w:val="clear" w:color="auto" w:fill="FFFFFF"/>
          <w:lang w:eastAsia="en-US"/>
        </w:rPr>
        <w:t>23.12.2024</w:t>
      </w:r>
      <w:r w:rsidRPr="00C16F7F">
        <w:rPr>
          <w:rFonts w:eastAsia="Calibri"/>
          <w:color w:val="000000"/>
          <w:szCs w:val="28"/>
          <w:shd w:val="clear" w:color="auto" w:fill="FFFFFF"/>
          <w:lang w:eastAsia="en-US"/>
        </w:rPr>
        <w:t xml:space="preserve"> </w:t>
      </w:r>
      <w:r w:rsidRPr="00C16F7F">
        <w:rPr>
          <w:rFonts w:eastAsia="Calibri"/>
          <w:szCs w:val="28"/>
          <w:lang w:eastAsia="en-US"/>
        </w:rPr>
        <w:t xml:space="preserve">№ </w:t>
      </w:r>
      <w:r>
        <w:rPr>
          <w:rFonts w:eastAsia="Calibri"/>
          <w:color w:val="000000"/>
          <w:szCs w:val="28"/>
          <w:shd w:val="clear" w:color="auto" w:fill="FFFFFF"/>
          <w:lang w:eastAsia="en-US"/>
        </w:rPr>
        <w:t>23</w:t>
      </w:r>
      <w:r w:rsidRPr="00C16F7F">
        <w:rPr>
          <w:rFonts w:eastAsia="Calibri"/>
          <w:color w:val="000000"/>
          <w:szCs w:val="28"/>
          <w:shd w:val="clear" w:color="auto" w:fill="FFFFFF"/>
          <w:lang w:eastAsia="en-US"/>
        </w:rPr>
        <w:t>-пк</w:t>
      </w:r>
      <w:r w:rsidRPr="00C16F7F">
        <w:rPr>
          <w:rFonts w:eastAsia="Calibri"/>
          <w:szCs w:val="28"/>
          <w:lang w:eastAsia="en-US"/>
        </w:rPr>
        <w:t xml:space="preserve"> «</w:t>
      </w:r>
      <w:r w:rsidRPr="00CE2B43">
        <w:rPr>
          <w:rFonts w:eastAsia="Times New Roman"/>
          <w:szCs w:val="28"/>
        </w:rPr>
        <w:t>Об утверждении списка государственных гражданских служащих Новосибирской области в департаменте по тарифам Новосибирской области обязанных предоставить сведения о своих доходах, расходах, об имуществе и обязательствах имущественного характера,</w:t>
      </w:r>
      <w:r w:rsidRPr="00CE2B43">
        <w:rPr>
          <w:rFonts w:eastAsia="Times New Roman"/>
          <w:szCs w:val="20"/>
        </w:rPr>
        <w:t xml:space="preserve"> а также сведения о доходах, расходах, об имуществе и обязательствах имущественного характера своих супруги (супруга) и несовершеннолетних детей</w:t>
      </w:r>
      <w:r w:rsidRPr="00CE2B43">
        <w:rPr>
          <w:rFonts w:eastAsia="Times New Roman"/>
          <w:szCs w:val="28"/>
        </w:rPr>
        <w:t xml:space="preserve"> за 2024 год</w:t>
      </w:r>
      <w:r>
        <w:rPr>
          <w:rFonts w:eastAsia="Times New Roman"/>
          <w:szCs w:val="28"/>
        </w:rPr>
        <w:t>».</w:t>
      </w:r>
    </w:p>
    <w:p w:rsidR="00585C99" w:rsidRPr="00AB0F72" w:rsidRDefault="00585C99" w:rsidP="008803C5">
      <w:pPr>
        <w:spacing w:after="0" w:line="240" w:lineRule="auto"/>
        <w:ind w:firstLine="708"/>
        <w:jc w:val="both"/>
        <w:rPr>
          <w:rFonts w:eastAsia="Calibri"/>
          <w:szCs w:val="28"/>
          <w:lang w:eastAsia="en-US"/>
        </w:rPr>
      </w:pPr>
      <w:r>
        <w:rPr>
          <w:rFonts w:eastAsia="Calibri"/>
          <w:szCs w:val="28"/>
          <w:lang w:eastAsia="en-US"/>
        </w:rPr>
        <w:t>2</w:t>
      </w:r>
      <w:r w:rsidRPr="00CE414F">
        <w:rPr>
          <w:rFonts w:eastAsia="Calibri"/>
          <w:szCs w:val="28"/>
          <w:lang w:eastAsia="en-US"/>
        </w:rPr>
        <w:t>. В департаменте</w:t>
      </w:r>
      <w:r w:rsidRPr="00AB0F72">
        <w:rPr>
          <w:rFonts w:eastAsia="Calibri"/>
          <w:szCs w:val="28"/>
          <w:lang w:eastAsia="en-US"/>
        </w:rPr>
        <w:t xml:space="preserve"> </w:t>
      </w:r>
      <w:r>
        <w:rPr>
          <w:rFonts w:eastAsia="Calibri"/>
          <w:szCs w:val="28"/>
          <w:lang w:eastAsia="en-US"/>
        </w:rPr>
        <w:t>ежеквартально</w:t>
      </w:r>
      <w:r w:rsidRPr="00AB0F72">
        <w:rPr>
          <w:rFonts w:eastAsia="Calibri"/>
          <w:szCs w:val="28"/>
          <w:lang w:eastAsia="en-US"/>
        </w:rPr>
        <w:t xml:space="preserve"> проводится </w:t>
      </w:r>
      <w:r>
        <w:rPr>
          <w:rFonts w:eastAsia="Calibri"/>
          <w:szCs w:val="28"/>
          <w:lang w:eastAsia="en-US"/>
        </w:rPr>
        <w:t xml:space="preserve">антикоррупционный мониторинг, </w:t>
      </w:r>
      <w:r w:rsidRPr="00AB0F72">
        <w:rPr>
          <w:rFonts w:eastAsia="Calibri"/>
          <w:szCs w:val="28"/>
          <w:lang w:eastAsia="en-US"/>
        </w:rPr>
        <w:t xml:space="preserve">информационные материалы антикоррупционного мониторинга размещаются и обновляются в установленные сроки на </w:t>
      </w:r>
      <w:r w:rsidRPr="00D40669">
        <w:rPr>
          <w:rFonts w:eastAsia="Calibri"/>
          <w:szCs w:val="28"/>
          <w:lang w:eastAsia="en-US"/>
        </w:rPr>
        <w:t xml:space="preserve">официальном </w:t>
      </w:r>
      <w:r w:rsidRPr="00AB0F72">
        <w:rPr>
          <w:rFonts w:eastAsia="Calibri"/>
          <w:szCs w:val="28"/>
          <w:lang w:eastAsia="en-US"/>
        </w:rPr>
        <w:t>сайте департамента</w:t>
      </w:r>
      <w:r>
        <w:rPr>
          <w:rFonts w:eastAsia="Calibri"/>
          <w:szCs w:val="28"/>
          <w:lang w:eastAsia="en-US"/>
        </w:rPr>
        <w:t xml:space="preserve"> в сети Интернет</w:t>
      </w:r>
      <w:r w:rsidRPr="00AB0F72">
        <w:rPr>
          <w:rFonts w:eastAsia="Calibri"/>
          <w:szCs w:val="28"/>
          <w:lang w:eastAsia="en-US"/>
        </w:rPr>
        <w:t>.</w:t>
      </w:r>
    </w:p>
    <w:p w:rsidR="00585C99" w:rsidRDefault="00585C99" w:rsidP="008803C5">
      <w:pPr>
        <w:pStyle w:val="ConsPlusNormal"/>
        <w:widowControl/>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3. Организована и проводится</w:t>
      </w:r>
      <w:r w:rsidRPr="00AB0F72">
        <w:rPr>
          <w:rFonts w:ascii="Times New Roman" w:eastAsia="Calibri" w:hAnsi="Times New Roman" w:cs="Times New Roman"/>
          <w:sz w:val="28"/>
          <w:szCs w:val="28"/>
          <w:lang w:eastAsia="en-US"/>
        </w:rPr>
        <w:t xml:space="preserve"> работа по своевременному представлению государственными гражданскими служащими, замещающими должности государственной гражданской службы Новосибирской области в </w:t>
      </w:r>
      <w:r>
        <w:rPr>
          <w:rFonts w:ascii="Times New Roman" w:eastAsia="Calibri" w:hAnsi="Times New Roman" w:cs="Times New Roman"/>
          <w:sz w:val="28"/>
          <w:szCs w:val="28"/>
          <w:lang w:eastAsia="en-US"/>
        </w:rPr>
        <w:t>д</w:t>
      </w:r>
      <w:r w:rsidRPr="00AB0F72">
        <w:rPr>
          <w:rFonts w:ascii="Times New Roman" w:eastAsia="Calibri" w:hAnsi="Times New Roman" w:cs="Times New Roman"/>
          <w:sz w:val="28"/>
          <w:szCs w:val="28"/>
          <w:lang w:eastAsia="en-US"/>
        </w:rPr>
        <w:t xml:space="preserve">епартаменте, сведений (справок) о доходах, </w:t>
      </w:r>
      <w:r>
        <w:rPr>
          <w:rFonts w:ascii="Times New Roman" w:eastAsia="Calibri" w:hAnsi="Times New Roman" w:cs="Times New Roman"/>
          <w:sz w:val="28"/>
          <w:szCs w:val="28"/>
          <w:lang w:eastAsia="en-US"/>
        </w:rPr>
        <w:t xml:space="preserve">расходах, </w:t>
      </w:r>
      <w:r w:rsidRPr="00AB0F72">
        <w:rPr>
          <w:rFonts w:ascii="Times New Roman" w:eastAsia="Calibri" w:hAnsi="Times New Roman" w:cs="Times New Roman"/>
          <w:sz w:val="28"/>
          <w:szCs w:val="28"/>
          <w:lang w:eastAsia="en-US"/>
        </w:rPr>
        <w:t>об имуществе и обязательствах имущественного характера на себя и членов своей семьи</w:t>
      </w:r>
      <w:r>
        <w:rPr>
          <w:rFonts w:ascii="Times New Roman" w:eastAsia="Calibri" w:hAnsi="Times New Roman" w:cs="Times New Roman"/>
          <w:sz w:val="28"/>
          <w:szCs w:val="28"/>
          <w:lang w:eastAsia="en-US"/>
        </w:rPr>
        <w:t xml:space="preserve"> (далее - справки о доходах).</w:t>
      </w:r>
      <w:r w:rsidRPr="00D250C2">
        <w:rPr>
          <w:rFonts w:ascii="Times New Roman" w:eastAsia="Calibri" w:hAnsi="Times New Roman" w:cs="Times New Roman"/>
          <w:sz w:val="28"/>
          <w:szCs w:val="28"/>
          <w:lang w:eastAsia="en-US"/>
        </w:rPr>
        <w:t xml:space="preserve"> </w:t>
      </w:r>
    </w:p>
    <w:p w:rsidR="00585C99" w:rsidRDefault="00585C99" w:rsidP="006D3FBF">
      <w:pPr>
        <w:pStyle w:val="af9"/>
        <w:jc w:val="both"/>
        <w:rPr>
          <w:rFonts w:ascii="Times New Roman" w:hAnsi="Times New Roman"/>
          <w:sz w:val="28"/>
          <w:szCs w:val="28"/>
        </w:rPr>
      </w:pPr>
      <w:r w:rsidRPr="003B332B">
        <w:rPr>
          <w:rFonts w:ascii="Times New Roman" w:hAnsi="Times New Roman"/>
          <w:sz w:val="28"/>
          <w:szCs w:val="28"/>
        </w:rPr>
        <w:t xml:space="preserve">       </w:t>
      </w:r>
      <w:r w:rsidRPr="00C63F52">
        <w:rPr>
          <w:rFonts w:ascii="Times New Roman" w:hAnsi="Times New Roman"/>
          <w:sz w:val="28"/>
          <w:szCs w:val="28"/>
        </w:rPr>
        <w:t xml:space="preserve">В 2024 году представили справки о доходах собственные и на членов семьи 64 гражданских служащих департамента (136 </w:t>
      </w:r>
      <w:r>
        <w:rPr>
          <w:rFonts w:ascii="Times New Roman" w:hAnsi="Times New Roman"/>
          <w:sz w:val="28"/>
          <w:szCs w:val="28"/>
        </w:rPr>
        <w:t>справок</w:t>
      </w:r>
      <w:r w:rsidRPr="00C63F52">
        <w:rPr>
          <w:rFonts w:ascii="Times New Roman" w:hAnsi="Times New Roman"/>
          <w:sz w:val="28"/>
          <w:szCs w:val="28"/>
        </w:rPr>
        <w:t xml:space="preserve">). </w:t>
      </w:r>
    </w:p>
    <w:p w:rsidR="00585C99" w:rsidRDefault="00585C99" w:rsidP="006D3FBF">
      <w:pPr>
        <w:pStyle w:val="af9"/>
        <w:ind w:firstLine="708"/>
        <w:jc w:val="both"/>
        <w:rPr>
          <w:rFonts w:ascii="Times New Roman" w:hAnsi="Times New Roman"/>
          <w:sz w:val="28"/>
          <w:szCs w:val="28"/>
        </w:rPr>
      </w:pPr>
      <w:r w:rsidRPr="00C63F52">
        <w:rPr>
          <w:rFonts w:ascii="Times New Roman" w:hAnsi="Times New Roman"/>
          <w:sz w:val="28"/>
          <w:szCs w:val="28"/>
        </w:rPr>
        <w:t>Ежегодно</w:t>
      </w:r>
      <w:r w:rsidRPr="003B332B">
        <w:rPr>
          <w:rFonts w:ascii="Times New Roman" w:hAnsi="Times New Roman"/>
          <w:sz w:val="28"/>
          <w:szCs w:val="28"/>
        </w:rPr>
        <w:t xml:space="preserve"> в первом кв</w:t>
      </w:r>
      <w:r>
        <w:rPr>
          <w:rFonts w:ascii="Times New Roman" w:hAnsi="Times New Roman"/>
          <w:sz w:val="28"/>
          <w:szCs w:val="28"/>
        </w:rPr>
        <w:t xml:space="preserve">артале </w:t>
      </w:r>
      <w:r w:rsidRPr="003B332B">
        <w:rPr>
          <w:rFonts w:ascii="Times New Roman" w:hAnsi="Times New Roman"/>
          <w:sz w:val="28"/>
          <w:szCs w:val="28"/>
        </w:rPr>
        <w:t>п</w:t>
      </w:r>
      <w:r>
        <w:rPr>
          <w:rFonts w:ascii="Times New Roman" w:hAnsi="Times New Roman"/>
          <w:sz w:val="28"/>
          <w:szCs w:val="28"/>
        </w:rPr>
        <w:t xml:space="preserve">роводятся индивидуальные беседы, </w:t>
      </w:r>
      <w:r w:rsidRPr="003B332B">
        <w:rPr>
          <w:rFonts w:ascii="Times New Roman" w:hAnsi="Times New Roman"/>
          <w:sz w:val="28"/>
          <w:szCs w:val="28"/>
        </w:rPr>
        <w:t>разъяснения по заполнению справок о доходах. Даются рекомендации по правильному заполнению справок о доходах. Осуществляется индивидуальная проверка представленных справок о доходах, проводится сравнительный анализ каждой справки о доходах со справками, предст</w:t>
      </w:r>
      <w:r>
        <w:rPr>
          <w:rFonts w:ascii="Times New Roman" w:hAnsi="Times New Roman"/>
          <w:sz w:val="28"/>
          <w:szCs w:val="28"/>
        </w:rPr>
        <w:t xml:space="preserve">авленными за предыдущие годы. </w:t>
      </w:r>
    </w:p>
    <w:p w:rsidR="00585C99" w:rsidRPr="00D650FB" w:rsidRDefault="00585C99" w:rsidP="006D3FBF">
      <w:pPr>
        <w:pStyle w:val="af9"/>
        <w:ind w:firstLine="708"/>
        <w:jc w:val="both"/>
        <w:rPr>
          <w:rFonts w:ascii="Times New Roman" w:hAnsi="Times New Roman"/>
          <w:sz w:val="28"/>
          <w:szCs w:val="28"/>
        </w:rPr>
      </w:pPr>
      <w:r w:rsidRPr="00D650FB">
        <w:rPr>
          <w:rFonts w:ascii="Inter" w:eastAsia="MS Mincho" w:hAnsi="Inter"/>
          <w:sz w:val="28"/>
          <w:szCs w:val="28"/>
          <w:shd w:val="clear" w:color="auto" w:fill="FFFFFF"/>
        </w:rPr>
        <w:t>В соответствии с </w:t>
      </w:r>
      <w:hyperlink r:id="rId207" w:history="1">
        <w:r w:rsidRPr="00D650FB">
          <w:rPr>
            <w:rFonts w:ascii="Inter" w:eastAsia="MS Mincho" w:hAnsi="Inter"/>
            <w:sz w:val="28"/>
            <w:szCs w:val="28"/>
            <w:shd w:val="clear" w:color="auto" w:fill="FFFFFF"/>
          </w:rPr>
          <w:t>Указом Президента Российской Федерации от 29.12.2022 № 968 </w:t>
        </w:r>
      </w:hyperlink>
      <w:r w:rsidRPr="00D650FB">
        <w:rPr>
          <w:rFonts w:ascii="Inter" w:eastAsia="MS Mincho" w:hAnsi="Inter"/>
          <w:sz w:val="28"/>
          <w:szCs w:val="28"/>
          <w:shd w:val="clear" w:color="auto" w:fill="FFFFFF"/>
        </w:rPr>
        <w:t xml:space="preserve">размещение в информационно-телекоммуникационной сети «Интернет» на официальных сайтах органов и организаций сведений о доходах, расходах, об имуществе и обязательствах имущественного характера, представляемых в соответствии с Федеральным законом от 25.12.2008 № 273-ФЗ «О противодействии коррупции» и другими федеральными законами всеми категориями лиц (лицами, замещающими </w:t>
      </w:r>
      <w:r w:rsidRPr="00D650FB">
        <w:rPr>
          <w:rFonts w:ascii="Inter" w:eastAsia="MS Mincho" w:hAnsi="Inter"/>
          <w:sz w:val="28"/>
          <w:szCs w:val="28"/>
          <w:shd w:val="clear" w:color="auto" w:fill="FFFFFF"/>
        </w:rPr>
        <w:lastRenderedPageBreak/>
        <w:t>государственные должности, государственными гражданскими служащими, руководителями государственных учреждений), и предоставление таких сведений общероссийским средствам массовой информации для опубликования не осуществляются.</w:t>
      </w:r>
    </w:p>
    <w:p w:rsidR="00585C99" w:rsidRDefault="00585C99" w:rsidP="00DD5782">
      <w:pPr>
        <w:spacing w:after="0" w:line="240" w:lineRule="auto"/>
        <w:ind w:firstLine="709"/>
        <w:jc w:val="both"/>
        <w:rPr>
          <w:szCs w:val="28"/>
        </w:rPr>
      </w:pPr>
      <w:r>
        <w:rPr>
          <w:szCs w:val="28"/>
        </w:rPr>
        <w:t>4</w:t>
      </w:r>
      <w:r w:rsidRPr="00867CCE">
        <w:rPr>
          <w:szCs w:val="28"/>
        </w:rPr>
        <w:t xml:space="preserve">. Усилена антикоррупционная составляющая в </w:t>
      </w:r>
      <w:r>
        <w:rPr>
          <w:szCs w:val="28"/>
        </w:rPr>
        <w:t>кадровой работе. Каждый вновь принятый</w:t>
      </w:r>
      <w:r w:rsidRPr="00A479D7">
        <w:rPr>
          <w:rFonts w:eastAsia="Times New Roman"/>
          <w:szCs w:val="28"/>
        </w:rPr>
        <w:t xml:space="preserve"> </w:t>
      </w:r>
      <w:r w:rsidRPr="00216181">
        <w:rPr>
          <w:rFonts w:eastAsia="Times New Roman"/>
          <w:szCs w:val="28"/>
        </w:rPr>
        <w:t>граждански</w:t>
      </w:r>
      <w:r>
        <w:rPr>
          <w:rFonts w:eastAsia="Times New Roman"/>
          <w:szCs w:val="28"/>
        </w:rPr>
        <w:t>й</w:t>
      </w:r>
      <w:r w:rsidRPr="00216181">
        <w:rPr>
          <w:rFonts w:eastAsia="Times New Roman"/>
          <w:szCs w:val="28"/>
        </w:rPr>
        <w:t xml:space="preserve"> служащи</w:t>
      </w:r>
      <w:r>
        <w:rPr>
          <w:rFonts w:eastAsia="Times New Roman"/>
          <w:szCs w:val="28"/>
        </w:rPr>
        <w:t xml:space="preserve">й </w:t>
      </w:r>
      <w:r w:rsidRPr="00216181">
        <w:rPr>
          <w:rFonts w:eastAsia="Times New Roman"/>
          <w:szCs w:val="28"/>
        </w:rPr>
        <w:t>департамента</w:t>
      </w:r>
      <w:r>
        <w:rPr>
          <w:szCs w:val="28"/>
        </w:rPr>
        <w:t xml:space="preserve"> ознакомлен под роспись с порядками </w:t>
      </w:r>
      <w:r w:rsidRPr="00AB0F72">
        <w:rPr>
          <w:szCs w:val="28"/>
        </w:rPr>
        <w:t>уведомлени</w:t>
      </w:r>
      <w:r>
        <w:rPr>
          <w:szCs w:val="28"/>
        </w:rPr>
        <w:t>я представителя нанимателя:</w:t>
      </w:r>
    </w:p>
    <w:p w:rsidR="00585C99" w:rsidRDefault="00585C99" w:rsidP="00DD5782">
      <w:pPr>
        <w:autoSpaceDE w:val="0"/>
        <w:autoSpaceDN w:val="0"/>
        <w:adjustRightInd w:val="0"/>
        <w:spacing w:after="0" w:line="240" w:lineRule="auto"/>
        <w:ind w:firstLine="709"/>
        <w:jc w:val="both"/>
        <w:outlineLvl w:val="1"/>
        <w:rPr>
          <w:szCs w:val="28"/>
        </w:rPr>
      </w:pPr>
      <w:r w:rsidRPr="00AB0F72">
        <w:rPr>
          <w:szCs w:val="28"/>
        </w:rPr>
        <w:t>о выполнении иной оплачиваемой работы в соответствии с частью 2 статьи 14 Федерального закона от 27.07.2004 № 79-ФЗ «О государственной гражданской службе Российской Федерации»;</w:t>
      </w:r>
    </w:p>
    <w:p w:rsidR="00585C99" w:rsidRDefault="00585C99" w:rsidP="00DD5782">
      <w:pPr>
        <w:autoSpaceDE w:val="0"/>
        <w:autoSpaceDN w:val="0"/>
        <w:adjustRightInd w:val="0"/>
        <w:spacing w:after="0" w:line="240" w:lineRule="auto"/>
        <w:ind w:firstLine="709"/>
        <w:jc w:val="both"/>
        <w:outlineLvl w:val="1"/>
        <w:rPr>
          <w:szCs w:val="28"/>
        </w:rPr>
      </w:pPr>
      <w:r w:rsidRPr="00AB0F72">
        <w:rPr>
          <w:szCs w:val="28"/>
        </w:rPr>
        <w:t>о фактах обращения в целях склонения государственного гражданского служащего Новосибирской области к совершен</w:t>
      </w:r>
      <w:r>
        <w:rPr>
          <w:szCs w:val="28"/>
        </w:rPr>
        <w:t>ию коррупционных правонарушений;</w:t>
      </w:r>
    </w:p>
    <w:p w:rsidR="00585C99" w:rsidRDefault="00585C99" w:rsidP="00DD5782">
      <w:pPr>
        <w:autoSpaceDE w:val="0"/>
        <w:autoSpaceDN w:val="0"/>
        <w:adjustRightInd w:val="0"/>
        <w:spacing w:after="0" w:line="240" w:lineRule="auto"/>
        <w:ind w:firstLine="709"/>
        <w:jc w:val="both"/>
        <w:outlineLvl w:val="1"/>
        <w:rPr>
          <w:szCs w:val="28"/>
        </w:rPr>
      </w:pPr>
      <w:r w:rsidRPr="003B332B">
        <w:rPr>
          <w:szCs w:val="28"/>
        </w:rPr>
        <w:t>о возникновении личной заинтересованности при исполнении должностных обязанностей, которая приводит или может</w:t>
      </w:r>
      <w:r>
        <w:rPr>
          <w:szCs w:val="28"/>
        </w:rPr>
        <w:t xml:space="preserve"> привести к конфликту интересов;</w:t>
      </w:r>
    </w:p>
    <w:p w:rsidR="00585C99" w:rsidRDefault="00585C99" w:rsidP="00DD5782">
      <w:pPr>
        <w:autoSpaceDE w:val="0"/>
        <w:autoSpaceDN w:val="0"/>
        <w:adjustRightInd w:val="0"/>
        <w:spacing w:after="0" w:line="240" w:lineRule="auto"/>
        <w:ind w:firstLine="709"/>
        <w:jc w:val="both"/>
        <w:outlineLvl w:val="1"/>
        <w:rPr>
          <w:szCs w:val="28"/>
        </w:rPr>
      </w:pPr>
      <w:r>
        <w:rPr>
          <w:szCs w:val="28"/>
        </w:rPr>
        <w:t>о получении подарка</w:t>
      </w:r>
      <w:r w:rsidRPr="002A72CD">
        <w:rPr>
          <w:rFonts w:eastAsia="Calibri"/>
          <w:szCs w:val="28"/>
          <w:lang w:eastAsia="en-US"/>
        </w:rPr>
        <w:t xml:space="preserve"> </w:t>
      </w:r>
      <w:r w:rsidRPr="002A72CD">
        <w:rPr>
          <w:szCs w:val="28"/>
        </w:rPr>
        <w:t xml:space="preserve">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w:t>
      </w:r>
      <w:r>
        <w:rPr>
          <w:szCs w:val="28"/>
        </w:rPr>
        <w:t>подарка, его реализации (выкупа);</w:t>
      </w:r>
    </w:p>
    <w:p w:rsidR="00585C99" w:rsidRDefault="00585C99" w:rsidP="00DD5782">
      <w:pPr>
        <w:autoSpaceDE w:val="0"/>
        <w:autoSpaceDN w:val="0"/>
        <w:adjustRightInd w:val="0"/>
        <w:spacing w:after="0" w:line="240" w:lineRule="auto"/>
        <w:ind w:firstLine="709"/>
        <w:jc w:val="both"/>
        <w:outlineLvl w:val="1"/>
        <w:rPr>
          <w:szCs w:val="28"/>
        </w:rPr>
      </w:pPr>
      <w:r>
        <w:rPr>
          <w:rFonts w:eastAsia="Calibri"/>
          <w:szCs w:val="28"/>
          <w:lang w:eastAsia="en-US"/>
        </w:rPr>
        <w:t xml:space="preserve">получения </w:t>
      </w:r>
      <w:r w:rsidRPr="002A72CD">
        <w:rPr>
          <w:rFonts w:eastAsia="Calibri"/>
          <w:szCs w:val="28"/>
          <w:lang w:eastAsia="en-US"/>
        </w:rPr>
        <w:t xml:space="preserve">разрешения руководителя </w:t>
      </w:r>
      <w:r w:rsidR="00DD5782">
        <w:rPr>
          <w:rFonts w:eastAsia="Calibri"/>
          <w:szCs w:val="28"/>
          <w:lang w:eastAsia="en-US"/>
        </w:rPr>
        <w:t>д</w:t>
      </w:r>
      <w:r w:rsidRPr="002A72CD">
        <w:rPr>
          <w:rFonts w:eastAsia="Calibri"/>
          <w:bCs/>
          <w:color w:val="000000"/>
          <w:szCs w:val="28"/>
          <w:lang w:eastAsia="en-US"/>
        </w:rPr>
        <w:t xml:space="preserve">епартамента </w:t>
      </w:r>
      <w:r w:rsidRPr="002A72CD">
        <w:rPr>
          <w:rFonts w:eastAsia="Calibri"/>
          <w:bCs/>
          <w:szCs w:val="28"/>
        </w:rPr>
        <w:t>на участие на безвозмездной основе в управлении</w:t>
      </w:r>
      <w:r w:rsidRPr="002A72CD">
        <w:rPr>
          <w:rFonts w:ascii="Calibri" w:eastAsia="Calibri" w:hAnsi="Calibri"/>
          <w:sz w:val="22"/>
          <w:szCs w:val="28"/>
          <w:lang w:eastAsia="en-US"/>
        </w:rPr>
        <w:t xml:space="preserve"> </w:t>
      </w:r>
      <w:r w:rsidRPr="002A72CD">
        <w:rPr>
          <w:rFonts w:eastAsia="Calibri"/>
          <w:szCs w:val="28"/>
          <w:lang w:eastAsia="en-US"/>
        </w:rPr>
        <w:t>некоторыми некоммерческими организациями</w:t>
      </w:r>
      <w:r>
        <w:rPr>
          <w:rFonts w:eastAsia="Calibri"/>
          <w:szCs w:val="28"/>
          <w:lang w:eastAsia="en-US"/>
        </w:rPr>
        <w:t>.</w:t>
      </w:r>
    </w:p>
    <w:p w:rsidR="00585C99" w:rsidRPr="00AB0F72"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5</w:t>
      </w:r>
      <w:r w:rsidRPr="00AB0F72">
        <w:rPr>
          <w:rFonts w:ascii="Times New Roman" w:hAnsi="Times New Roman"/>
          <w:sz w:val="28"/>
          <w:szCs w:val="28"/>
          <w:lang w:val="ru-RU"/>
        </w:rPr>
        <w:t>. </w:t>
      </w:r>
      <w:r>
        <w:rPr>
          <w:rFonts w:ascii="Times New Roman" w:hAnsi="Times New Roman"/>
          <w:sz w:val="28"/>
          <w:szCs w:val="28"/>
          <w:lang w:val="ru-RU"/>
        </w:rPr>
        <w:t>На общих совещаниях-семинарах в отделах р</w:t>
      </w:r>
      <w:r w:rsidRPr="00AB0F72">
        <w:rPr>
          <w:rFonts w:ascii="Times New Roman" w:hAnsi="Times New Roman"/>
          <w:sz w:val="28"/>
          <w:szCs w:val="28"/>
          <w:lang w:val="ru-RU"/>
        </w:rPr>
        <w:t xml:space="preserve">уководителями отделов </w:t>
      </w:r>
      <w:r>
        <w:rPr>
          <w:rFonts w:ascii="Times New Roman" w:hAnsi="Times New Roman"/>
          <w:sz w:val="28"/>
          <w:szCs w:val="28"/>
          <w:lang w:val="ru-RU"/>
        </w:rPr>
        <w:t>д</w:t>
      </w:r>
      <w:r w:rsidRPr="00AB0F72">
        <w:rPr>
          <w:rFonts w:ascii="Times New Roman" w:hAnsi="Times New Roman"/>
          <w:sz w:val="28"/>
          <w:szCs w:val="28"/>
          <w:lang w:val="ru-RU"/>
        </w:rPr>
        <w:t xml:space="preserve">епартамента </w:t>
      </w:r>
      <w:r>
        <w:rPr>
          <w:rFonts w:ascii="Times New Roman" w:hAnsi="Times New Roman"/>
          <w:sz w:val="28"/>
          <w:szCs w:val="28"/>
          <w:lang w:val="ru-RU"/>
        </w:rPr>
        <w:t xml:space="preserve">периодически </w:t>
      </w:r>
      <w:r w:rsidRPr="00AB0F72">
        <w:rPr>
          <w:rFonts w:ascii="Times New Roman" w:hAnsi="Times New Roman"/>
          <w:sz w:val="28"/>
          <w:szCs w:val="28"/>
          <w:lang w:val="ru-RU"/>
        </w:rPr>
        <w:t>рассматривались вопросы правоприменительной практики по результатам вступивших в законную силу в 20</w:t>
      </w:r>
      <w:r>
        <w:rPr>
          <w:rFonts w:ascii="Times New Roman" w:hAnsi="Times New Roman"/>
          <w:sz w:val="28"/>
          <w:szCs w:val="28"/>
          <w:lang w:val="ru-RU"/>
        </w:rPr>
        <w:t>24</w:t>
      </w:r>
      <w:r w:rsidRPr="00AB0F72">
        <w:rPr>
          <w:rFonts w:ascii="Times New Roman" w:hAnsi="Times New Roman"/>
          <w:sz w:val="28"/>
          <w:szCs w:val="28"/>
          <w:lang w:val="ru-RU"/>
        </w:rPr>
        <w:t xml:space="preserve"> году решений судов, арбитражных судов о признании недействительными ненормативных правовых актов, незаконными решений и действий (бездействия) органов государственной власти, органов местного самоуправления,</w:t>
      </w:r>
      <w:r w:rsidRPr="00AB0F72">
        <w:rPr>
          <w:rFonts w:ascii="Times New Roman" w:hAnsi="Times New Roman"/>
          <w:sz w:val="28"/>
          <w:szCs w:val="28"/>
        </w:rPr>
        <w:t> </w:t>
      </w:r>
      <w:r w:rsidRPr="00AB0F72">
        <w:rPr>
          <w:rFonts w:ascii="Times New Roman" w:hAnsi="Times New Roman"/>
          <w:sz w:val="28"/>
          <w:szCs w:val="28"/>
          <w:lang w:val="ru-RU"/>
        </w:rPr>
        <w:t>организаций, наделенных отдельными государственными или иными публичными полномочиями, и их должностных лиц.</w:t>
      </w:r>
    </w:p>
    <w:p w:rsidR="00585C99" w:rsidRPr="00AB0F72"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6</w:t>
      </w:r>
      <w:r w:rsidRPr="00AB0F72">
        <w:rPr>
          <w:rFonts w:ascii="Times New Roman" w:hAnsi="Times New Roman"/>
          <w:sz w:val="28"/>
          <w:szCs w:val="28"/>
          <w:lang w:val="ru-RU"/>
        </w:rPr>
        <w:t>.</w:t>
      </w:r>
      <w:r>
        <w:rPr>
          <w:rFonts w:ascii="Times New Roman" w:hAnsi="Times New Roman"/>
          <w:sz w:val="28"/>
          <w:szCs w:val="28"/>
          <w:lang w:val="ru-RU"/>
        </w:rPr>
        <w:t> Осуществлялось взаимодействие д</w:t>
      </w:r>
      <w:r w:rsidRPr="00AB0F72">
        <w:rPr>
          <w:rFonts w:ascii="Times New Roman" w:hAnsi="Times New Roman"/>
          <w:sz w:val="28"/>
          <w:szCs w:val="28"/>
          <w:lang w:val="ru-RU"/>
        </w:rPr>
        <w:t>епартамента с гражданами и институтами гражданского общества по вопросам противодействия коррупции:</w:t>
      </w:r>
    </w:p>
    <w:p w:rsidR="00585C99"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1) Н</w:t>
      </w:r>
      <w:r w:rsidRPr="00AB0F72">
        <w:rPr>
          <w:rFonts w:ascii="Times New Roman" w:hAnsi="Times New Roman"/>
          <w:sz w:val="28"/>
          <w:szCs w:val="28"/>
          <w:lang w:val="ru-RU"/>
        </w:rPr>
        <w:t xml:space="preserve">а </w:t>
      </w:r>
      <w:r>
        <w:rPr>
          <w:rFonts w:ascii="Times New Roman" w:hAnsi="Times New Roman"/>
          <w:sz w:val="28"/>
          <w:szCs w:val="28"/>
          <w:lang w:val="ru-RU"/>
        </w:rPr>
        <w:t xml:space="preserve">официальном сайте департамента в сети Интернет </w:t>
      </w:r>
      <w:r w:rsidRPr="00AB0F72">
        <w:rPr>
          <w:rFonts w:ascii="Times New Roman" w:hAnsi="Times New Roman"/>
          <w:sz w:val="28"/>
          <w:szCs w:val="28"/>
          <w:lang w:val="ru-RU"/>
        </w:rPr>
        <w:t xml:space="preserve">в соответствующих тематических разделах своевременно и </w:t>
      </w:r>
      <w:r>
        <w:rPr>
          <w:rFonts w:ascii="Times New Roman" w:hAnsi="Times New Roman"/>
          <w:sz w:val="28"/>
          <w:szCs w:val="28"/>
          <w:lang w:val="ru-RU"/>
        </w:rPr>
        <w:t xml:space="preserve">в </w:t>
      </w:r>
      <w:r w:rsidRPr="00AB0F72">
        <w:rPr>
          <w:rFonts w:ascii="Times New Roman" w:hAnsi="Times New Roman"/>
          <w:sz w:val="28"/>
          <w:szCs w:val="28"/>
          <w:lang w:val="ru-RU"/>
        </w:rPr>
        <w:t>полно</w:t>
      </w:r>
      <w:r>
        <w:rPr>
          <w:rFonts w:ascii="Times New Roman" w:hAnsi="Times New Roman"/>
          <w:sz w:val="28"/>
          <w:szCs w:val="28"/>
          <w:lang w:val="ru-RU"/>
        </w:rPr>
        <w:t>м объеме</w:t>
      </w:r>
      <w:r w:rsidRPr="00AB0F72">
        <w:rPr>
          <w:rFonts w:ascii="Times New Roman" w:hAnsi="Times New Roman"/>
          <w:sz w:val="28"/>
          <w:szCs w:val="28"/>
          <w:lang w:val="ru-RU"/>
        </w:rPr>
        <w:t xml:space="preserve"> размеща</w:t>
      </w:r>
      <w:r>
        <w:rPr>
          <w:rFonts w:ascii="Times New Roman" w:hAnsi="Times New Roman"/>
          <w:sz w:val="28"/>
          <w:szCs w:val="28"/>
          <w:lang w:val="ru-RU"/>
        </w:rPr>
        <w:t>лась информация о деятельности д</w:t>
      </w:r>
      <w:r w:rsidRPr="00AB0F72">
        <w:rPr>
          <w:rFonts w:ascii="Times New Roman" w:hAnsi="Times New Roman"/>
          <w:sz w:val="28"/>
          <w:szCs w:val="28"/>
          <w:lang w:val="ru-RU"/>
        </w:rPr>
        <w:t>епартамента в соответствии с требованиями нормативных правовых актов РФ</w:t>
      </w:r>
      <w:r>
        <w:rPr>
          <w:rFonts w:ascii="Times New Roman" w:hAnsi="Times New Roman"/>
          <w:sz w:val="28"/>
          <w:szCs w:val="28"/>
          <w:lang w:val="ru-RU"/>
        </w:rPr>
        <w:t xml:space="preserve"> и Новосибирской области. </w:t>
      </w:r>
    </w:p>
    <w:p w:rsidR="00585C99" w:rsidRPr="00AB0F72"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В</w:t>
      </w:r>
      <w:r w:rsidRPr="00AB0F72">
        <w:rPr>
          <w:rFonts w:ascii="Times New Roman" w:hAnsi="Times New Roman"/>
          <w:sz w:val="28"/>
          <w:szCs w:val="28"/>
          <w:lang w:val="ru-RU"/>
        </w:rPr>
        <w:t xml:space="preserve"> разделе «Противодействие коррупции» размещены и обновлены:</w:t>
      </w:r>
    </w:p>
    <w:p w:rsidR="00585C99" w:rsidRPr="00AB0F72" w:rsidRDefault="00DD5782"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 xml:space="preserve">- </w:t>
      </w:r>
      <w:r w:rsidR="00585C99" w:rsidRPr="00AB0F72">
        <w:rPr>
          <w:rFonts w:ascii="Times New Roman" w:hAnsi="Times New Roman"/>
          <w:sz w:val="28"/>
          <w:szCs w:val="28"/>
          <w:lang w:val="ru-RU"/>
        </w:rPr>
        <w:t>результаты ан</w:t>
      </w:r>
      <w:r w:rsidR="00585C99">
        <w:rPr>
          <w:rFonts w:ascii="Times New Roman" w:hAnsi="Times New Roman"/>
          <w:sz w:val="28"/>
          <w:szCs w:val="28"/>
          <w:lang w:val="ru-RU"/>
        </w:rPr>
        <w:t>тикоррупционного мониторинга в д</w:t>
      </w:r>
      <w:r w:rsidR="00585C99" w:rsidRPr="00AB0F72">
        <w:rPr>
          <w:rFonts w:ascii="Times New Roman" w:hAnsi="Times New Roman"/>
          <w:sz w:val="28"/>
          <w:szCs w:val="28"/>
          <w:lang w:val="ru-RU"/>
        </w:rPr>
        <w:t>епартаменте за 20</w:t>
      </w:r>
      <w:r w:rsidR="00585C99">
        <w:rPr>
          <w:rFonts w:ascii="Times New Roman" w:hAnsi="Times New Roman"/>
          <w:sz w:val="28"/>
          <w:szCs w:val="28"/>
          <w:lang w:val="ru-RU"/>
        </w:rPr>
        <w:t>24</w:t>
      </w:r>
      <w:r w:rsidR="00585C99" w:rsidRPr="00AB0F72">
        <w:rPr>
          <w:rFonts w:ascii="Times New Roman" w:hAnsi="Times New Roman"/>
          <w:sz w:val="28"/>
          <w:szCs w:val="28"/>
          <w:lang w:val="ru-RU"/>
        </w:rPr>
        <w:t xml:space="preserve"> год;</w:t>
      </w:r>
    </w:p>
    <w:p w:rsidR="00585C99" w:rsidRPr="00AB0F72" w:rsidRDefault="00DD5782"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 xml:space="preserve">- </w:t>
      </w:r>
      <w:r w:rsidR="00585C99" w:rsidRPr="00AB0F72">
        <w:rPr>
          <w:rFonts w:ascii="Times New Roman" w:hAnsi="Times New Roman"/>
          <w:sz w:val="28"/>
          <w:szCs w:val="28"/>
          <w:lang w:val="ru-RU"/>
        </w:rPr>
        <w:t>нормативные правовые акты и методические материалы в сфере противодействия коррупции;</w:t>
      </w:r>
    </w:p>
    <w:p w:rsidR="00585C99" w:rsidRPr="00AB0F72" w:rsidRDefault="00DD5782"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 xml:space="preserve">- </w:t>
      </w:r>
      <w:r w:rsidR="00585C99" w:rsidRPr="00AB0F72">
        <w:rPr>
          <w:rFonts w:ascii="Times New Roman" w:hAnsi="Times New Roman"/>
          <w:sz w:val="28"/>
          <w:szCs w:val="28"/>
          <w:lang w:val="ru-RU"/>
        </w:rPr>
        <w:t xml:space="preserve">формы и бланки документов по вопросам в </w:t>
      </w:r>
      <w:r w:rsidR="00585C99">
        <w:rPr>
          <w:rFonts w:ascii="Times New Roman" w:hAnsi="Times New Roman"/>
          <w:sz w:val="28"/>
          <w:szCs w:val="28"/>
          <w:lang w:val="ru-RU"/>
        </w:rPr>
        <w:t>сфере противодействия коррупции.</w:t>
      </w:r>
    </w:p>
    <w:p w:rsidR="00585C99" w:rsidRPr="00AB0F72" w:rsidRDefault="00585C99" w:rsidP="006D3FBF">
      <w:pPr>
        <w:spacing w:line="240" w:lineRule="auto"/>
        <w:ind w:firstLine="708"/>
        <w:jc w:val="both"/>
        <w:rPr>
          <w:szCs w:val="28"/>
        </w:rPr>
      </w:pPr>
      <w:r>
        <w:rPr>
          <w:szCs w:val="28"/>
        </w:rPr>
        <w:lastRenderedPageBreak/>
        <w:t>В</w:t>
      </w:r>
      <w:r w:rsidRPr="00AB0F72">
        <w:rPr>
          <w:szCs w:val="28"/>
        </w:rPr>
        <w:t xml:space="preserve"> подразделе «Деятельность комиссии по соблюдению требований к служебному поведению и урегулированию конфликта интересов» (далее - комиссия) пре</w:t>
      </w:r>
      <w:r>
        <w:rPr>
          <w:szCs w:val="28"/>
        </w:rPr>
        <w:t>дставлено Положение о комиссии д</w:t>
      </w:r>
      <w:r w:rsidRPr="00AB0F72">
        <w:rPr>
          <w:szCs w:val="28"/>
        </w:rPr>
        <w:t>епартамента, размещаются планы работы комисси</w:t>
      </w:r>
      <w:r>
        <w:rPr>
          <w:szCs w:val="28"/>
        </w:rPr>
        <w:t>и, протоколы заседаний комиссии.</w:t>
      </w:r>
    </w:p>
    <w:p w:rsidR="00585C99" w:rsidRPr="00433D5A" w:rsidRDefault="00585C99" w:rsidP="006D3FBF">
      <w:pPr>
        <w:pStyle w:val="ConsPlusNormal"/>
        <w:jc w:val="both"/>
        <w:rPr>
          <w:rFonts w:ascii="Times New Roman" w:hAnsi="Times New Roman" w:cs="Times New Roman"/>
          <w:sz w:val="28"/>
          <w:szCs w:val="28"/>
        </w:rPr>
      </w:pPr>
      <w:r>
        <w:rPr>
          <w:rFonts w:ascii="Times New Roman" w:hAnsi="Times New Roman" w:cs="Times New Roman"/>
          <w:sz w:val="28"/>
          <w:szCs w:val="28"/>
        </w:rPr>
        <w:t>О</w:t>
      </w:r>
      <w:r w:rsidRPr="00433D5A">
        <w:rPr>
          <w:rFonts w:ascii="Times New Roman" w:hAnsi="Times New Roman" w:cs="Times New Roman"/>
          <w:sz w:val="28"/>
          <w:szCs w:val="28"/>
        </w:rPr>
        <w:t>тчет о реализации мероприятий Программы «Противодействие коррупци</w:t>
      </w:r>
      <w:r>
        <w:rPr>
          <w:rFonts w:ascii="Times New Roman" w:hAnsi="Times New Roman" w:cs="Times New Roman"/>
          <w:sz w:val="28"/>
          <w:szCs w:val="28"/>
        </w:rPr>
        <w:t>и в Новосибирской области на 2021</w:t>
      </w:r>
      <w:r w:rsidRPr="00433D5A">
        <w:rPr>
          <w:rFonts w:ascii="Times New Roman" w:hAnsi="Times New Roman" w:cs="Times New Roman"/>
          <w:sz w:val="28"/>
          <w:szCs w:val="28"/>
        </w:rPr>
        <w:t>-20</w:t>
      </w:r>
      <w:r>
        <w:rPr>
          <w:rFonts w:ascii="Times New Roman" w:hAnsi="Times New Roman" w:cs="Times New Roman"/>
          <w:sz w:val="28"/>
          <w:szCs w:val="28"/>
        </w:rPr>
        <w:t>24</w:t>
      </w:r>
      <w:r w:rsidRPr="00433D5A">
        <w:rPr>
          <w:rFonts w:ascii="Times New Roman" w:hAnsi="Times New Roman" w:cs="Times New Roman"/>
          <w:sz w:val="28"/>
          <w:szCs w:val="28"/>
        </w:rPr>
        <w:t xml:space="preserve"> годы» за 20</w:t>
      </w:r>
      <w:r>
        <w:rPr>
          <w:rFonts w:ascii="Times New Roman" w:hAnsi="Times New Roman" w:cs="Times New Roman"/>
          <w:sz w:val="28"/>
          <w:szCs w:val="28"/>
        </w:rPr>
        <w:t>24 год в департаменте.</w:t>
      </w:r>
    </w:p>
    <w:p w:rsidR="00585C99" w:rsidRPr="007852D7" w:rsidRDefault="00585C99" w:rsidP="006D3FBF">
      <w:pPr>
        <w:pStyle w:val="af9"/>
        <w:ind w:firstLine="708"/>
        <w:jc w:val="both"/>
        <w:rPr>
          <w:rFonts w:ascii="Times New Roman" w:hAnsi="Times New Roman"/>
          <w:sz w:val="28"/>
          <w:szCs w:val="28"/>
        </w:rPr>
      </w:pPr>
      <w:r w:rsidRPr="007852D7">
        <w:rPr>
          <w:rFonts w:ascii="Times New Roman" w:hAnsi="Times New Roman"/>
          <w:sz w:val="28"/>
          <w:szCs w:val="28"/>
        </w:rPr>
        <w:t>В разделе «Конкурсы» - информация о конкурсах на замещение вакантной должности и в кадровый резерв и о результатах конкурса.</w:t>
      </w:r>
    </w:p>
    <w:p w:rsidR="00585C99" w:rsidRPr="00AB0F72"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2) В</w:t>
      </w:r>
      <w:r w:rsidRPr="00AB0F72">
        <w:rPr>
          <w:rFonts w:ascii="Times New Roman" w:hAnsi="Times New Roman"/>
          <w:sz w:val="28"/>
          <w:szCs w:val="28"/>
          <w:lang w:val="ru-RU"/>
        </w:rPr>
        <w:t xml:space="preserve">недрены основные элементы системы обратной связи с гражданами, организациями и институтами гражданского общества по вопросам противодействия коррупции (соответствующая информация размещена на </w:t>
      </w:r>
      <w:r>
        <w:rPr>
          <w:rFonts w:ascii="Times New Roman" w:hAnsi="Times New Roman"/>
          <w:sz w:val="28"/>
          <w:szCs w:val="28"/>
          <w:lang w:val="ru-RU"/>
        </w:rPr>
        <w:t xml:space="preserve">официальном сайте департамента в сети </w:t>
      </w:r>
      <w:r w:rsidRPr="00AB0F72">
        <w:rPr>
          <w:rFonts w:ascii="Times New Roman" w:hAnsi="Times New Roman"/>
          <w:sz w:val="28"/>
          <w:szCs w:val="28"/>
          <w:lang w:val="ru-RU"/>
        </w:rPr>
        <w:t>Интернет</w:t>
      </w:r>
      <w:r>
        <w:rPr>
          <w:rFonts w:ascii="Times New Roman" w:hAnsi="Times New Roman"/>
          <w:sz w:val="28"/>
          <w:szCs w:val="28"/>
          <w:lang w:val="ru-RU"/>
        </w:rPr>
        <w:t xml:space="preserve"> </w:t>
      </w:r>
      <w:r w:rsidRPr="00AB0F72">
        <w:rPr>
          <w:rFonts w:ascii="Times New Roman" w:hAnsi="Times New Roman"/>
          <w:sz w:val="28"/>
          <w:szCs w:val="28"/>
          <w:lang w:val="ru-RU"/>
        </w:rPr>
        <w:t>в раздел</w:t>
      </w:r>
      <w:r>
        <w:rPr>
          <w:rFonts w:ascii="Times New Roman" w:hAnsi="Times New Roman"/>
          <w:sz w:val="28"/>
          <w:szCs w:val="28"/>
          <w:lang w:val="ru-RU"/>
        </w:rPr>
        <w:t xml:space="preserve">е «Противодействие коррупции»), </w:t>
      </w:r>
      <w:r w:rsidRPr="00AB0F72">
        <w:rPr>
          <w:rFonts w:ascii="Times New Roman" w:hAnsi="Times New Roman"/>
          <w:sz w:val="28"/>
          <w:szCs w:val="28"/>
          <w:lang w:val="ru-RU"/>
        </w:rPr>
        <w:t xml:space="preserve">на постоянной основе функционирует прямая линия по вопросам в сфере антикоррупционного просвещения граждан, предоставлена возможность гражданам направить письменное обращение о фактах </w:t>
      </w:r>
      <w:r>
        <w:rPr>
          <w:rFonts w:ascii="Times New Roman" w:hAnsi="Times New Roman"/>
          <w:sz w:val="28"/>
          <w:szCs w:val="28"/>
          <w:lang w:val="ru-RU"/>
        </w:rPr>
        <w:t>коррупционных правонарушений в д</w:t>
      </w:r>
      <w:r w:rsidRPr="00AB0F72">
        <w:rPr>
          <w:rFonts w:ascii="Times New Roman" w:hAnsi="Times New Roman"/>
          <w:sz w:val="28"/>
          <w:szCs w:val="28"/>
          <w:lang w:val="ru-RU"/>
        </w:rPr>
        <w:t xml:space="preserve">епартаменте. </w:t>
      </w:r>
    </w:p>
    <w:p w:rsidR="00585C99" w:rsidRPr="00AB0F72"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За 2024</w:t>
      </w:r>
      <w:r w:rsidRPr="00AB0F72">
        <w:rPr>
          <w:rFonts w:ascii="Times New Roman" w:hAnsi="Times New Roman"/>
          <w:sz w:val="28"/>
          <w:szCs w:val="28"/>
          <w:lang w:val="ru-RU"/>
        </w:rPr>
        <w:t xml:space="preserve"> год по всем видам обратной связи от граждан, организаций и институтов гражданского общества не поступило информации о фактах нарушений коррупционного характера со стороны государс</w:t>
      </w:r>
      <w:r>
        <w:rPr>
          <w:rFonts w:ascii="Times New Roman" w:hAnsi="Times New Roman"/>
          <w:sz w:val="28"/>
          <w:szCs w:val="28"/>
          <w:lang w:val="ru-RU"/>
        </w:rPr>
        <w:t>твенных гражданских служащих в д</w:t>
      </w:r>
      <w:r w:rsidRPr="00AB0F72">
        <w:rPr>
          <w:rFonts w:ascii="Times New Roman" w:hAnsi="Times New Roman"/>
          <w:sz w:val="28"/>
          <w:szCs w:val="28"/>
          <w:lang w:val="ru-RU"/>
        </w:rPr>
        <w:t>епартаменте.</w:t>
      </w:r>
    </w:p>
    <w:p w:rsidR="00585C99" w:rsidRPr="00AB0F72" w:rsidRDefault="00585C99" w:rsidP="00DD5782">
      <w:pPr>
        <w:spacing w:after="0" w:line="240" w:lineRule="auto"/>
        <w:ind w:firstLine="709"/>
        <w:jc w:val="both"/>
        <w:rPr>
          <w:szCs w:val="28"/>
        </w:rPr>
      </w:pPr>
      <w:r>
        <w:rPr>
          <w:szCs w:val="28"/>
        </w:rPr>
        <w:t>7</w:t>
      </w:r>
      <w:r w:rsidRPr="00AB0F72">
        <w:rPr>
          <w:szCs w:val="28"/>
        </w:rPr>
        <w:t xml:space="preserve">. Осуществлялись организационные меры по созданию условий, затрудняющих возможность коррупционного поведения и обеспечивающих снижение </w:t>
      </w:r>
      <w:r>
        <w:rPr>
          <w:szCs w:val="28"/>
        </w:rPr>
        <w:t>уровня коррупции в департаменте:</w:t>
      </w:r>
    </w:p>
    <w:p w:rsidR="00585C99" w:rsidRPr="00AB0F72" w:rsidRDefault="00DD5782" w:rsidP="00DD5782">
      <w:pPr>
        <w:spacing w:after="0" w:line="240" w:lineRule="auto"/>
        <w:ind w:firstLine="720"/>
        <w:jc w:val="both"/>
        <w:rPr>
          <w:szCs w:val="28"/>
        </w:rPr>
      </w:pPr>
      <w:r>
        <w:rPr>
          <w:szCs w:val="28"/>
        </w:rPr>
        <w:t xml:space="preserve">- </w:t>
      </w:r>
      <w:r w:rsidR="00585C99">
        <w:rPr>
          <w:szCs w:val="28"/>
        </w:rPr>
        <w:t>с</w:t>
      </w:r>
      <w:r w:rsidR="00585C99" w:rsidRPr="00AB0F72">
        <w:rPr>
          <w:szCs w:val="28"/>
        </w:rPr>
        <w:t xml:space="preserve"> государственными гражданскими служащими, замещающими должности государственной гражданской службы Новосибирской области в </w:t>
      </w:r>
      <w:r w:rsidR="00585C99">
        <w:rPr>
          <w:szCs w:val="28"/>
        </w:rPr>
        <w:t>д</w:t>
      </w:r>
      <w:r w:rsidR="00585C99" w:rsidRPr="00AB0F72">
        <w:rPr>
          <w:szCs w:val="28"/>
        </w:rPr>
        <w:t>епартаменте, проводилась разъяснительная работа по законодательству в сфере противодействия коррупции, в том числе при увольнении с гражданской службы в обязательном порядке проводилось ознакомление с ограничениями, налагаемыми на гражданина, замещавшего должность государственной службы, при дальнейшем заключении им трудового ил</w:t>
      </w:r>
      <w:r w:rsidR="00585C99">
        <w:rPr>
          <w:szCs w:val="28"/>
        </w:rPr>
        <w:t>и гражданско-правового договора;</w:t>
      </w:r>
    </w:p>
    <w:p w:rsidR="00585C99" w:rsidRPr="00AB0F72" w:rsidRDefault="00DD5782" w:rsidP="006D3FBF">
      <w:pPr>
        <w:spacing w:line="240" w:lineRule="auto"/>
        <w:ind w:firstLine="720"/>
        <w:jc w:val="both"/>
        <w:rPr>
          <w:szCs w:val="28"/>
        </w:rPr>
      </w:pPr>
      <w:r>
        <w:rPr>
          <w:szCs w:val="28"/>
        </w:rPr>
        <w:t xml:space="preserve">- </w:t>
      </w:r>
      <w:r w:rsidR="00585C99">
        <w:rPr>
          <w:szCs w:val="28"/>
        </w:rPr>
        <w:t>н</w:t>
      </w:r>
      <w:r w:rsidR="00585C99" w:rsidRPr="00AB0F72">
        <w:rPr>
          <w:szCs w:val="28"/>
        </w:rPr>
        <w:t xml:space="preserve">а постоянной основе проводилась работа по ознакомлению под роспись государственных гражданских служащих, замещающих должности государственной гражданской службы Новосибирской области в </w:t>
      </w:r>
      <w:r w:rsidR="00585C99">
        <w:rPr>
          <w:szCs w:val="28"/>
        </w:rPr>
        <w:t>д</w:t>
      </w:r>
      <w:r w:rsidR="00585C99" w:rsidRPr="00AB0F72">
        <w:rPr>
          <w:szCs w:val="28"/>
        </w:rPr>
        <w:t xml:space="preserve">епартаменте, с нормативными правовыми актами, регламентирующими порядок прохождения государственной гражданской службы, в том числе по вопросам в </w:t>
      </w:r>
      <w:r w:rsidR="00585C99">
        <w:rPr>
          <w:szCs w:val="28"/>
        </w:rPr>
        <w:t>сфере противодействия коррупции;</w:t>
      </w:r>
    </w:p>
    <w:p w:rsidR="00585C99" w:rsidRPr="00AB0F72" w:rsidRDefault="00DD5782" w:rsidP="00DD5782">
      <w:pPr>
        <w:spacing w:after="0" w:line="240" w:lineRule="auto"/>
        <w:ind w:firstLine="628"/>
        <w:jc w:val="both"/>
        <w:rPr>
          <w:szCs w:val="28"/>
        </w:rPr>
      </w:pPr>
      <w:r>
        <w:rPr>
          <w:szCs w:val="28"/>
        </w:rPr>
        <w:t xml:space="preserve">- </w:t>
      </w:r>
      <w:r w:rsidR="00585C99">
        <w:rPr>
          <w:szCs w:val="28"/>
        </w:rPr>
        <w:t>с сотрудниками д</w:t>
      </w:r>
      <w:r w:rsidR="00585C99" w:rsidRPr="00AB0F72">
        <w:rPr>
          <w:szCs w:val="28"/>
        </w:rPr>
        <w:t xml:space="preserve">епартамента </w:t>
      </w:r>
      <w:r w:rsidR="00585C99">
        <w:rPr>
          <w:szCs w:val="28"/>
        </w:rPr>
        <w:t xml:space="preserve">периодически </w:t>
      </w:r>
      <w:r w:rsidR="00585C99" w:rsidRPr="00AB0F72">
        <w:rPr>
          <w:szCs w:val="28"/>
        </w:rPr>
        <w:t>пр</w:t>
      </w:r>
      <w:r w:rsidR="00585C99">
        <w:rPr>
          <w:szCs w:val="28"/>
        </w:rPr>
        <w:t>оводятся разъяснительные беседы</w:t>
      </w:r>
      <w:r w:rsidR="00585C99" w:rsidRPr="00AB0F72">
        <w:rPr>
          <w:szCs w:val="28"/>
        </w:rPr>
        <w:t xml:space="preserve"> антикоррупционнной направленности.</w:t>
      </w:r>
    </w:p>
    <w:p w:rsidR="00585C99" w:rsidRDefault="00585C99" w:rsidP="00DD5782">
      <w:pPr>
        <w:pStyle w:val="af9"/>
        <w:jc w:val="both"/>
        <w:rPr>
          <w:rFonts w:ascii="Times New Roman" w:hAnsi="Times New Roman"/>
          <w:sz w:val="28"/>
          <w:szCs w:val="28"/>
        </w:rPr>
      </w:pPr>
      <w:r>
        <w:rPr>
          <w:rFonts w:ascii="Times New Roman" w:hAnsi="Times New Roman"/>
          <w:sz w:val="28"/>
          <w:szCs w:val="28"/>
        </w:rPr>
        <w:tab/>
        <w:t xml:space="preserve">Материалы по </w:t>
      </w:r>
      <w:r w:rsidRPr="00A84785">
        <w:rPr>
          <w:rFonts w:ascii="Times New Roman" w:hAnsi="Times New Roman"/>
          <w:sz w:val="28"/>
          <w:szCs w:val="28"/>
        </w:rPr>
        <w:t>антикоррупционнно</w:t>
      </w:r>
      <w:r>
        <w:rPr>
          <w:rFonts w:ascii="Times New Roman" w:hAnsi="Times New Roman"/>
          <w:sz w:val="28"/>
          <w:szCs w:val="28"/>
        </w:rPr>
        <w:t>му</w:t>
      </w:r>
      <w:r w:rsidRPr="00A84785">
        <w:rPr>
          <w:rFonts w:ascii="Times New Roman" w:hAnsi="Times New Roman"/>
          <w:sz w:val="28"/>
          <w:szCs w:val="28"/>
        </w:rPr>
        <w:t xml:space="preserve"> направлени</w:t>
      </w:r>
      <w:r>
        <w:rPr>
          <w:rFonts w:ascii="Times New Roman" w:hAnsi="Times New Roman"/>
          <w:sz w:val="28"/>
          <w:szCs w:val="28"/>
        </w:rPr>
        <w:t>ю размещены</w:t>
      </w:r>
      <w:r w:rsidRPr="00AB0F72">
        <w:rPr>
          <w:rFonts w:ascii="Times New Roman" w:hAnsi="Times New Roman"/>
          <w:sz w:val="28"/>
          <w:szCs w:val="28"/>
        </w:rPr>
        <w:t xml:space="preserve"> во внутренней компьютерной сети </w:t>
      </w:r>
      <w:r>
        <w:rPr>
          <w:rFonts w:ascii="Times New Roman" w:hAnsi="Times New Roman"/>
          <w:sz w:val="28"/>
          <w:szCs w:val="28"/>
        </w:rPr>
        <w:t>д</w:t>
      </w:r>
      <w:r w:rsidRPr="00AB0F72">
        <w:rPr>
          <w:rFonts w:ascii="Times New Roman" w:hAnsi="Times New Roman"/>
          <w:sz w:val="28"/>
          <w:szCs w:val="28"/>
        </w:rPr>
        <w:t>епартамента и доступн</w:t>
      </w:r>
      <w:r>
        <w:rPr>
          <w:rFonts w:ascii="Times New Roman" w:hAnsi="Times New Roman"/>
          <w:sz w:val="28"/>
          <w:szCs w:val="28"/>
        </w:rPr>
        <w:t>ы</w:t>
      </w:r>
      <w:r w:rsidRPr="00AB0F72">
        <w:rPr>
          <w:rFonts w:ascii="Times New Roman" w:hAnsi="Times New Roman"/>
          <w:sz w:val="28"/>
          <w:szCs w:val="28"/>
        </w:rPr>
        <w:t xml:space="preserve"> для дополнительного изучения в удобно</w:t>
      </w:r>
      <w:r>
        <w:rPr>
          <w:rFonts w:ascii="Times New Roman" w:hAnsi="Times New Roman"/>
          <w:sz w:val="28"/>
          <w:szCs w:val="28"/>
        </w:rPr>
        <w:t>е время для каждого сотрудника д</w:t>
      </w:r>
      <w:r w:rsidRPr="00AB0F72">
        <w:rPr>
          <w:rFonts w:ascii="Times New Roman" w:hAnsi="Times New Roman"/>
          <w:sz w:val="28"/>
          <w:szCs w:val="28"/>
        </w:rPr>
        <w:t>епартамента.</w:t>
      </w:r>
    </w:p>
    <w:p w:rsidR="00585C99" w:rsidRDefault="00585C99" w:rsidP="006D3FBF">
      <w:pPr>
        <w:pStyle w:val="af9"/>
        <w:ind w:firstLine="708"/>
        <w:jc w:val="both"/>
        <w:rPr>
          <w:rFonts w:ascii="Times New Roman" w:hAnsi="Times New Roman"/>
          <w:sz w:val="28"/>
          <w:szCs w:val="28"/>
        </w:rPr>
      </w:pPr>
      <w:r>
        <w:rPr>
          <w:rFonts w:ascii="Times New Roman" w:hAnsi="Times New Roman"/>
          <w:sz w:val="28"/>
          <w:szCs w:val="28"/>
        </w:rPr>
        <w:lastRenderedPageBreak/>
        <w:t>На официальном сайте д</w:t>
      </w:r>
      <w:r w:rsidRPr="005E1087">
        <w:rPr>
          <w:rFonts w:ascii="Times New Roman" w:hAnsi="Times New Roman"/>
          <w:sz w:val="28"/>
          <w:szCs w:val="28"/>
        </w:rPr>
        <w:t>епартамента создан и поддерживается в актуальном состоянии раздел «Противодействие коррупции». Информация в данном разделе разделена на 13 подразделов, в каждом из которых размещена информация, соответствующая названию подраздела, в том числе подраздел «Памятки, буклеты». Данный подраздел содержи</w:t>
      </w:r>
      <w:r>
        <w:rPr>
          <w:rFonts w:ascii="Times New Roman" w:hAnsi="Times New Roman"/>
          <w:sz w:val="28"/>
          <w:szCs w:val="28"/>
        </w:rPr>
        <w:t xml:space="preserve">т красочные плакаты, памятки </w:t>
      </w:r>
      <w:r w:rsidRPr="005E1087">
        <w:rPr>
          <w:rFonts w:ascii="Times New Roman" w:hAnsi="Times New Roman"/>
          <w:sz w:val="28"/>
          <w:szCs w:val="28"/>
        </w:rPr>
        <w:t>с конкретными примерами, картинкам</w:t>
      </w:r>
      <w:r>
        <w:rPr>
          <w:rFonts w:ascii="Times New Roman" w:hAnsi="Times New Roman"/>
          <w:sz w:val="28"/>
          <w:szCs w:val="28"/>
        </w:rPr>
        <w:t xml:space="preserve">и и графиками, буклеты-комиксы. </w:t>
      </w:r>
      <w:r w:rsidRPr="005E1087">
        <w:rPr>
          <w:rFonts w:ascii="Times New Roman" w:hAnsi="Times New Roman"/>
          <w:sz w:val="28"/>
          <w:szCs w:val="28"/>
        </w:rPr>
        <w:t>Информация данного подраздела направлена на формирование антикоррупционного стандарта поведения у гражданских служащих и граждан.</w:t>
      </w:r>
    </w:p>
    <w:p w:rsidR="00585C99" w:rsidRPr="005E1087" w:rsidRDefault="00585C99" w:rsidP="006D3FBF">
      <w:pPr>
        <w:pStyle w:val="ConsPlusNormal"/>
        <w:jc w:val="both"/>
        <w:rPr>
          <w:rFonts w:ascii="Times New Roman" w:hAnsi="Times New Roman" w:cs="Times New Roman"/>
          <w:sz w:val="28"/>
          <w:szCs w:val="28"/>
        </w:rPr>
      </w:pPr>
      <w:r w:rsidRPr="005E1087">
        <w:rPr>
          <w:rFonts w:ascii="Times New Roman" w:hAnsi="Times New Roman" w:cs="Times New Roman"/>
          <w:sz w:val="28"/>
          <w:szCs w:val="28"/>
        </w:rPr>
        <w:t>Проводятся разъяснения для вновь принятых гражданских служащих об антикоррупционных стандартах пове</w:t>
      </w:r>
      <w:r>
        <w:rPr>
          <w:rFonts w:ascii="Times New Roman" w:hAnsi="Times New Roman" w:cs="Times New Roman"/>
          <w:sz w:val="28"/>
          <w:szCs w:val="28"/>
        </w:rPr>
        <w:t>дения на основе существующих в д</w:t>
      </w:r>
      <w:r w:rsidRPr="005E1087">
        <w:rPr>
          <w:rFonts w:ascii="Times New Roman" w:hAnsi="Times New Roman" w:cs="Times New Roman"/>
          <w:sz w:val="28"/>
          <w:szCs w:val="28"/>
        </w:rPr>
        <w:t>епартаменте методических материалов, памяток, буклетов.</w:t>
      </w:r>
    </w:p>
    <w:p w:rsidR="00585C99" w:rsidRPr="00AB0F72" w:rsidRDefault="00585C99" w:rsidP="00DD5782">
      <w:pPr>
        <w:spacing w:after="0" w:line="240" w:lineRule="auto"/>
        <w:ind w:firstLine="720"/>
        <w:jc w:val="both"/>
        <w:rPr>
          <w:szCs w:val="28"/>
        </w:rPr>
      </w:pPr>
      <w:r>
        <w:rPr>
          <w:szCs w:val="28"/>
        </w:rPr>
        <w:t>8. На информационном стенде д</w:t>
      </w:r>
      <w:r w:rsidRPr="00AB0F72">
        <w:rPr>
          <w:szCs w:val="28"/>
        </w:rPr>
        <w:t>епартамента при</w:t>
      </w:r>
      <w:r>
        <w:rPr>
          <w:szCs w:val="28"/>
        </w:rPr>
        <w:t xml:space="preserve"> входе в помещения, занимаемые д</w:t>
      </w:r>
      <w:r w:rsidRPr="00AB0F72">
        <w:rPr>
          <w:szCs w:val="28"/>
        </w:rPr>
        <w:t xml:space="preserve">епартаментом, размещены и постоянно актуализируются методические рекомендации, материалы антикоррупционной направленности, наглядные агитационные материалы, выполняющие как ознакомительную, так и воспитательную функции в целях формирования у государственных гражданских служащих </w:t>
      </w:r>
      <w:r>
        <w:rPr>
          <w:szCs w:val="28"/>
        </w:rPr>
        <w:t>в д</w:t>
      </w:r>
      <w:r w:rsidRPr="00AB0F72">
        <w:rPr>
          <w:szCs w:val="28"/>
        </w:rPr>
        <w:t>епартаменте негативного отношения к коррупционным проявлениям.</w:t>
      </w:r>
    </w:p>
    <w:p w:rsidR="00585C99" w:rsidRPr="00AB0F72" w:rsidRDefault="00585C99" w:rsidP="00DD5782">
      <w:pPr>
        <w:spacing w:after="0" w:line="240" w:lineRule="auto"/>
        <w:ind w:firstLine="720"/>
        <w:jc w:val="both"/>
        <w:rPr>
          <w:szCs w:val="28"/>
        </w:rPr>
      </w:pPr>
      <w:r>
        <w:rPr>
          <w:szCs w:val="28"/>
        </w:rPr>
        <w:t>9</w:t>
      </w:r>
      <w:r w:rsidRPr="00BC4F79">
        <w:rPr>
          <w:szCs w:val="28"/>
        </w:rPr>
        <w:t>. Вопросы на знание законодательства о противодействии коррупции включ</w:t>
      </w:r>
      <w:r>
        <w:rPr>
          <w:szCs w:val="28"/>
        </w:rPr>
        <w:t>ены</w:t>
      </w:r>
      <w:r w:rsidRPr="00AB0F72">
        <w:rPr>
          <w:szCs w:val="28"/>
        </w:rPr>
        <w:t xml:space="preserve"> в тестовые задания при проведении оценки участников конкурсов на замещение вакантных должностей государственной гр</w:t>
      </w:r>
      <w:r>
        <w:rPr>
          <w:szCs w:val="28"/>
        </w:rPr>
        <w:t>ажданской службы в д</w:t>
      </w:r>
      <w:r w:rsidRPr="00AB0F72">
        <w:rPr>
          <w:szCs w:val="28"/>
        </w:rPr>
        <w:t xml:space="preserve">епартаменте и включение в кадровый резерв, а также при проведении аттестации государственных гражданских служащих в </w:t>
      </w:r>
      <w:r>
        <w:rPr>
          <w:szCs w:val="28"/>
        </w:rPr>
        <w:t>д</w:t>
      </w:r>
      <w:r w:rsidRPr="00AB0F72">
        <w:rPr>
          <w:szCs w:val="28"/>
        </w:rPr>
        <w:t>епартаменте.</w:t>
      </w:r>
    </w:p>
    <w:p w:rsidR="00585C99" w:rsidRDefault="00585C99" w:rsidP="006D3FBF">
      <w:pPr>
        <w:pStyle w:val="17"/>
        <w:ind w:firstLine="709"/>
        <w:jc w:val="both"/>
        <w:rPr>
          <w:rFonts w:ascii="Times New Roman" w:hAnsi="Times New Roman"/>
          <w:sz w:val="28"/>
          <w:szCs w:val="28"/>
          <w:lang w:val="ru-RU"/>
        </w:rPr>
      </w:pPr>
      <w:r w:rsidRPr="004328D8">
        <w:rPr>
          <w:rFonts w:ascii="Times New Roman" w:hAnsi="Times New Roman"/>
          <w:sz w:val="28"/>
          <w:szCs w:val="28"/>
          <w:lang w:val="ru-RU"/>
        </w:rPr>
        <w:t>1</w:t>
      </w:r>
      <w:r>
        <w:rPr>
          <w:rFonts w:ascii="Times New Roman" w:hAnsi="Times New Roman"/>
          <w:sz w:val="28"/>
          <w:szCs w:val="28"/>
          <w:lang w:val="ru-RU"/>
        </w:rPr>
        <w:t>0</w:t>
      </w:r>
      <w:r w:rsidRPr="004328D8">
        <w:rPr>
          <w:rFonts w:ascii="Times New Roman" w:hAnsi="Times New Roman"/>
          <w:sz w:val="28"/>
          <w:szCs w:val="28"/>
          <w:lang w:val="ru-RU"/>
        </w:rPr>
        <w:t>. Повышение квалификации специалистов, в должностные обязанности которых входит осуществление работы по профилактике корруп</w:t>
      </w:r>
      <w:r>
        <w:rPr>
          <w:rFonts w:ascii="Times New Roman" w:hAnsi="Times New Roman"/>
          <w:sz w:val="28"/>
          <w:szCs w:val="28"/>
          <w:lang w:val="ru-RU"/>
        </w:rPr>
        <w:t xml:space="preserve">ционных и иных правонарушений, </w:t>
      </w:r>
      <w:r w:rsidRPr="004328D8">
        <w:rPr>
          <w:rFonts w:ascii="Times New Roman" w:hAnsi="Times New Roman"/>
          <w:sz w:val="28"/>
          <w:szCs w:val="28"/>
          <w:lang w:val="ru-RU"/>
        </w:rPr>
        <w:t xml:space="preserve">проведение антикоррупционной политики, проводится на регулярной основе. </w:t>
      </w:r>
    </w:p>
    <w:p w:rsidR="00585C99" w:rsidRPr="004328D8" w:rsidRDefault="00585C99" w:rsidP="006D3FBF">
      <w:pPr>
        <w:pStyle w:val="17"/>
        <w:ind w:firstLine="709"/>
        <w:jc w:val="both"/>
        <w:rPr>
          <w:rFonts w:ascii="Times New Roman" w:hAnsi="Times New Roman"/>
          <w:sz w:val="28"/>
          <w:szCs w:val="28"/>
          <w:lang w:val="ru-RU"/>
        </w:rPr>
      </w:pPr>
      <w:r>
        <w:rPr>
          <w:rFonts w:ascii="Times New Roman" w:hAnsi="Times New Roman"/>
          <w:sz w:val="28"/>
          <w:szCs w:val="28"/>
          <w:lang w:val="ru-RU"/>
        </w:rPr>
        <w:t>Для впервые принятых на государственную гражданскую службу сотрудников на регулярной основе проводится обучение по основам противодействия коррупции.</w:t>
      </w:r>
    </w:p>
    <w:p w:rsidR="00585C99" w:rsidRPr="00433D5A" w:rsidRDefault="00585C99" w:rsidP="006D3FBF">
      <w:pPr>
        <w:pStyle w:val="af9"/>
        <w:ind w:firstLine="708"/>
        <w:jc w:val="both"/>
        <w:rPr>
          <w:rFonts w:ascii="Times New Roman" w:hAnsi="Times New Roman"/>
          <w:sz w:val="28"/>
          <w:szCs w:val="28"/>
          <w:u w:val="single"/>
        </w:rPr>
      </w:pPr>
    </w:p>
    <w:p w:rsidR="00585C99" w:rsidRDefault="00585C99"/>
    <w:sectPr w:rsidR="00585C99" w:rsidSect="007E4796">
      <w:footerReference w:type="default" r:id="rId208"/>
      <w:pgSz w:w="11906" w:h="16838"/>
      <w:pgMar w:top="1134" w:right="850" w:bottom="1134" w:left="1701" w:header="624" w:footer="624"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1A7D" w:rsidRDefault="00201A7D" w:rsidP="00253348">
      <w:pPr>
        <w:spacing w:after="0" w:line="240" w:lineRule="auto"/>
      </w:pPr>
      <w:r>
        <w:separator/>
      </w:r>
    </w:p>
  </w:endnote>
  <w:endnote w:type="continuationSeparator" w:id="0">
    <w:p w:rsidR="00201A7D" w:rsidRDefault="00201A7D" w:rsidP="002533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Regular">
    <w:altName w:val="Times New Roman"/>
    <w:panose1 w:val="00000000000000000000"/>
    <w:charset w:val="00"/>
    <w:family w:val="roman"/>
    <w:notTrueType/>
    <w:pitch w:val="default"/>
  </w:font>
  <w:font w:name="Inter">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8312562"/>
      <w:docPartObj>
        <w:docPartGallery w:val="Page Numbers (Bottom of Page)"/>
        <w:docPartUnique/>
      </w:docPartObj>
    </w:sdtPr>
    <w:sdtEndPr/>
    <w:sdtContent>
      <w:p w:rsidR="00201A7D" w:rsidRDefault="00201A7D">
        <w:pPr>
          <w:pStyle w:val="af3"/>
          <w:jc w:val="right"/>
        </w:pPr>
        <w:r>
          <w:fldChar w:fldCharType="begin"/>
        </w:r>
        <w:r>
          <w:instrText>PAGE   \* MERGEFORMAT</w:instrText>
        </w:r>
        <w:r>
          <w:fldChar w:fldCharType="separate"/>
        </w:r>
        <w:r w:rsidR="00382657">
          <w:rPr>
            <w:noProof/>
          </w:rPr>
          <w:t>2</w:t>
        </w:r>
        <w:r>
          <w:fldChar w:fldCharType="end"/>
        </w:r>
      </w:p>
    </w:sdtContent>
  </w:sdt>
  <w:p w:rsidR="00201A7D" w:rsidRDefault="00201A7D">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1A7D" w:rsidRDefault="00201A7D" w:rsidP="00253348">
      <w:pPr>
        <w:spacing w:after="0" w:line="240" w:lineRule="auto"/>
      </w:pPr>
      <w:r>
        <w:separator/>
      </w:r>
    </w:p>
  </w:footnote>
  <w:footnote w:type="continuationSeparator" w:id="0">
    <w:p w:rsidR="00201A7D" w:rsidRDefault="00201A7D" w:rsidP="00253348">
      <w:pPr>
        <w:spacing w:after="0" w:line="240" w:lineRule="auto"/>
      </w:pPr>
      <w:r>
        <w:continuationSeparator/>
      </w:r>
    </w:p>
  </w:footnote>
  <w:footnote w:id="1">
    <w:p w:rsidR="00201A7D" w:rsidRPr="008F224E" w:rsidRDefault="00201A7D" w:rsidP="00A91269">
      <w:pPr>
        <w:autoSpaceDE w:val="0"/>
        <w:autoSpaceDN w:val="0"/>
        <w:adjustRightInd w:val="0"/>
        <w:spacing w:after="0" w:line="240" w:lineRule="auto"/>
        <w:ind w:firstLine="709"/>
        <w:jc w:val="both"/>
        <w:rPr>
          <w:bCs/>
          <w:sz w:val="20"/>
          <w:szCs w:val="20"/>
        </w:rPr>
      </w:pPr>
      <w:r w:rsidRPr="008F224E">
        <w:rPr>
          <w:rStyle w:val="affc"/>
        </w:rPr>
        <w:footnoteRef/>
      </w:r>
      <w:r w:rsidRPr="008F224E">
        <w:t xml:space="preserve"> </w:t>
      </w:r>
      <w:r w:rsidRPr="008F224E">
        <w:rPr>
          <w:bCs/>
          <w:sz w:val="20"/>
          <w:szCs w:val="20"/>
        </w:rPr>
        <w:t>Сведения об ОРО, включенных в ГРОРО, размещаются на официальном сайте Росприроднадзора в сети «Интернет»</w:t>
      </w:r>
      <w:r>
        <w:rPr>
          <w:bCs/>
          <w:sz w:val="20"/>
          <w:szCs w:val="20"/>
        </w:rPr>
        <w:t xml:space="preserve"> </w:t>
      </w:r>
      <w:r w:rsidRPr="008F224E">
        <w:rPr>
          <w:bCs/>
          <w:sz w:val="20"/>
          <w:szCs w:val="20"/>
        </w:rPr>
        <w:t xml:space="preserve">по адресам: </w:t>
      </w:r>
      <w:hyperlink r:id="rId1" w:history="1">
        <w:r w:rsidRPr="008F224E">
          <w:rPr>
            <w:bCs/>
            <w:sz w:val="20"/>
            <w:szCs w:val="20"/>
          </w:rPr>
          <w:t>https://rpn.gov.ru/activity/regulation/register/</w:t>
        </w:r>
      </w:hyperlink>
      <w:r w:rsidRPr="008F224E">
        <w:rPr>
          <w:bCs/>
          <w:sz w:val="20"/>
          <w:szCs w:val="20"/>
        </w:rPr>
        <w:t xml:space="preserve">, </w:t>
      </w:r>
      <w:hyperlink r:id="rId2" w:history="1">
        <w:r w:rsidRPr="008F224E">
          <w:rPr>
            <w:bCs/>
            <w:sz w:val="20"/>
            <w:szCs w:val="20"/>
          </w:rPr>
          <w:t>https://rpn.gov.ru/activity/regulation/kadastr/oro/</w:t>
        </w:r>
      </w:hyperlink>
      <w:r w:rsidRPr="008F224E">
        <w:rPr>
          <w:bCs/>
          <w:sz w:val="20"/>
          <w:szCs w:val="20"/>
        </w:rPr>
        <w:t>.</w:t>
      </w:r>
      <w:r>
        <w:rPr>
          <w:bCs/>
          <w:sz w:val="20"/>
          <w:szCs w:val="20"/>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47081"/>
    <w:multiLevelType w:val="hybridMultilevel"/>
    <w:tmpl w:val="B5D2EA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4297F05"/>
    <w:multiLevelType w:val="multilevel"/>
    <w:tmpl w:val="5204DAF4"/>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3A1E5DB4"/>
    <w:multiLevelType w:val="hybridMultilevel"/>
    <w:tmpl w:val="2B3AA4D6"/>
    <w:lvl w:ilvl="0" w:tplc="547A578C">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52F71123"/>
    <w:multiLevelType w:val="hybridMultilevel"/>
    <w:tmpl w:val="52D63F16"/>
    <w:lvl w:ilvl="0" w:tplc="438CCE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8DE7D48"/>
    <w:multiLevelType w:val="hybridMultilevel"/>
    <w:tmpl w:val="20D011AA"/>
    <w:lvl w:ilvl="0" w:tplc="F4AE4C54">
      <w:start w:val="1"/>
      <w:numFmt w:val="decimal"/>
      <w:lvlText w:val="%1)"/>
      <w:lvlJc w:val="left"/>
      <w:pPr>
        <w:ind w:left="1417" w:hanging="360"/>
      </w:pPr>
    </w:lvl>
    <w:lvl w:ilvl="1" w:tplc="92181BF2">
      <w:start w:val="1"/>
      <w:numFmt w:val="lowerLetter"/>
      <w:lvlText w:val="%2."/>
      <w:lvlJc w:val="left"/>
      <w:pPr>
        <w:ind w:left="2137" w:hanging="360"/>
      </w:pPr>
    </w:lvl>
    <w:lvl w:ilvl="2" w:tplc="99141218">
      <w:start w:val="1"/>
      <w:numFmt w:val="lowerRoman"/>
      <w:lvlText w:val="%3."/>
      <w:lvlJc w:val="right"/>
      <w:pPr>
        <w:ind w:left="2857" w:hanging="180"/>
      </w:pPr>
    </w:lvl>
    <w:lvl w:ilvl="3" w:tplc="A57AC7AC">
      <w:start w:val="1"/>
      <w:numFmt w:val="decimal"/>
      <w:lvlText w:val="%4."/>
      <w:lvlJc w:val="left"/>
      <w:pPr>
        <w:ind w:left="3577" w:hanging="360"/>
      </w:pPr>
    </w:lvl>
    <w:lvl w:ilvl="4" w:tplc="8D8462E8">
      <w:start w:val="1"/>
      <w:numFmt w:val="lowerLetter"/>
      <w:lvlText w:val="%5."/>
      <w:lvlJc w:val="left"/>
      <w:pPr>
        <w:ind w:left="4297" w:hanging="360"/>
      </w:pPr>
    </w:lvl>
    <w:lvl w:ilvl="5" w:tplc="CD5267C2">
      <w:start w:val="1"/>
      <w:numFmt w:val="lowerRoman"/>
      <w:lvlText w:val="%6."/>
      <w:lvlJc w:val="right"/>
      <w:pPr>
        <w:ind w:left="5017" w:hanging="180"/>
      </w:pPr>
    </w:lvl>
    <w:lvl w:ilvl="6" w:tplc="18747FBA">
      <w:start w:val="1"/>
      <w:numFmt w:val="decimal"/>
      <w:lvlText w:val="%7."/>
      <w:lvlJc w:val="left"/>
      <w:pPr>
        <w:ind w:left="5737" w:hanging="360"/>
      </w:pPr>
    </w:lvl>
    <w:lvl w:ilvl="7" w:tplc="AB36BE28">
      <w:start w:val="1"/>
      <w:numFmt w:val="lowerLetter"/>
      <w:lvlText w:val="%8."/>
      <w:lvlJc w:val="left"/>
      <w:pPr>
        <w:ind w:left="6457" w:hanging="360"/>
      </w:pPr>
    </w:lvl>
    <w:lvl w:ilvl="8" w:tplc="BE149BB2">
      <w:start w:val="1"/>
      <w:numFmt w:val="lowerRoman"/>
      <w:lvlText w:val="%9."/>
      <w:lvlJc w:val="right"/>
      <w:pPr>
        <w:ind w:left="7177" w:hanging="180"/>
      </w:pPr>
    </w:lvl>
  </w:abstractNum>
  <w:abstractNum w:abstractNumId="5">
    <w:nsid w:val="5A1409B2"/>
    <w:multiLevelType w:val="hybridMultilevel"/>
    <w:tmpl w:val="95E4EB94"/>
    <w:lvl w:ilvl="0" w:tplc="41ACBF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33F2449"/>
    <w:multiLevelType w:val="hybridMultilevel"/>
    <w:tmpl w:val="70307C3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73CF0EDB"/>
    <w:multiLevelType w:val="hybridMultilevel"/>
    <w:tmpl w:val="2B3AA4D6"/>
    <w:lvl w:ilvl="0" w:tplc="547A578C">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6"/>
  </w:num>
  <w:num w:numId="3">
    <w:abstractNumId w:val="4"/>
  </w:num>
  <w:num w:numId="4">
    <w:abstractNumId w:val="7"/>
  </w:num>
  <w:num w:numId="5">
    <w:abstractNumId w:val="2"/>
  </w:num>
  <w:num w:numId="6">
    <w:abstractNumId w:val="5"/>
  </w:num>
  <w:num w:numId="7">
    <w:abstractNumId w:val="3"/>
  </w:num>
  <w:num w:numId="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533"/>
    <w:rsid w:val="00017B45"/>
    <w:rsid w:val="0005458F"/>
    <w:rsid w:val="00082BA3"/>
    <w:rsid w:val="00092ECA"/>
    <w:rsid w:val="000E7F98"/>
    <w:rsid w:val="00137C0B"/>
    <w:rsid w:val="00184C22"/>
    <w:rsid w:val="00201A7D"/>
    <w:rsid w:val="00235DD8"/>
    <w:rsid w:val="00253348"/>
    <w:rsid w:val="00253E04"/>
    <w:rsid w:val="0029726C"/>
    <w:rsid w:val="002E3834"/>
    <w:rsid w:val="00307281"/>
    <w:rsid w:val="00327CEA"/>
    <w:rsid w:val="00341C99"/>
    <w:rsid w:val="00382657"/>
    <w:rsid w:val="003D5F60"/>
    <w:rsid w:val="003E446E"/>
    <w:rsid w:val="00423C09"/>
    <w:rsid w:val="00426FBD"/>
    <w:rsid w:val="00467451"/>
    <w:rsid w:val="004F4543"/>
    <w:rsid w:val="00561CE0"/>
    <w:rsid w:val="00585C99"/>
    <w:rsid w:val="00591166"/>
    <w:rsid w:val="005A5E13"/>
    <w:rsid w:val="005F2773"/>
    <w:rsid w:val="00691463"/>
    <w:rsid w:val="006A025B"/>
    <w:rsid w:val="006B6130"/>
    <w:rsid w:val="006D3FBF"/>
    <w:rsid w:val="006E2A6E"/>
    <w:rsid w:val="00761B12"/>
    <w:rsid w:val="00777DCF"/>
    <w:rsid w:val="00784E4F"/>
    <w:rsid w:val="007937B5"/>
    <w:rsid w:val="007D3CAF"/>
    <w:rsid w:val="007E4796"/>
    <w:rsid w:val="007F1DFA"/>
    <w:rsid w:val="00851A86"/>
    <w:rsid w:val="00867D80"/>
    <w:rsid w:val="008803C5"/>
    <w:rsid w:val="00887576"/>
    <w:rsid w:val="008A0F45"/>
    <w:rsid w:val="008E5533"/>
    <w:rsid w:val="00914CFD"/>
    <w:rsid w:val="0092079E"/>
    <w:rsid w:val="00934118"/>
    <w:rsid w:val="009730BC"/>
    <w:rsid w:val="00975EB8"/>
    <w:rsid w:val="00990BE5"/>
    <w:rsid w:val="009F6392"/>
    <w:rsid w:val="00A56EC1"/>
    <w:rsid w:val="00A712E1"/>
    <w:rsid w:val="00A91269"/>
    <w:rsid w:val="00AD1C07"/>
    <w:rsid w:val="00AE6BA4"/>
    <w:rsid w:val="00B00E4C"/>
    <w:rsid w:val="00B03FEB"/>
    <w:rsid w:val="00B316EA"/>
    <w:rsid w:val="00B31913"/>
    <w:rsid w:val="00BE7779"/>
    <w:rsid w:val="00C66354"/>
    <w:rsid w:val="00C960A9"/>
    <w:rsid w:val="00CB6225"/>
    <w:rsid w:val="00D02EF2"/>
    <w:rsid w:val="00D10FFE"/>
    <w:rsid w:val="00D3301F"/>
    <w:rsid w:val="00D729EE"/>
    <w:rsid w:val="00DB0113"/>
    <w:rsid w:val="00DD5782"/>
    <w:rsid w:val="00E219D5"/>
    <w:rsid w:val="00E231C8"/>
    <w:rsid w:val="00E614EF"/>
    <w:rsid w:val="00ED4AD2"/>
    <w:rsid w:val="00EE4F16"/>
    <w:rsid w:val="00F1041B"/>
    <w:rsid w:val="00F31533"/>
    <w:rsid w:val="00F74D83"/>
    <w:rsid w:val="00F75F48"/>
    <w:rsid w:val="00FB3B49"/>
    <w:rsid w:val="00FF70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page number" w:uiPriority="0"/>
    <w:lsdException w:name="List 2"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Зоголовок 2"/>
    <w:qFormat/>
    <w:rsid w:val="00A712E1"/>
    <w:pPr>
      <w:spacing w:after="120"/>
      <w:jc w:val="center"/>
    </w:pPr>
    <w:rPr>
      <w:rFonts w:ascii="Times New Roman" w:eastAsia="MS Mincho" w:hAnsi="Times New Roman" w:cs="Times New Roman"/>
      <w:sz w:val="28"/>
      <w:szCs w:val="24"/>
      <w:lang w:eastAsia="ru-RU"/>
    </w:rPr>
  </w:style>
  <w:style w:type="paragraph" w:styleId="1">
    <w:name w:val="heading 1"/>
    <w:basedOn w:val="a"/>
    <w:next w:val="a"/>
    <w:link w:val="10"/>
    <w:qFormat/>
    <w:rsid w:val="00A712E1"/>
    <w:pPr>
      <w:keepNext/>
      <w:spacing w:after="0" w:line="240" w:lineRule="auto"/>
      <w:ind w:firstLine="720"/>
      <w:jc w:val="both"/>
      <w:outlineLvl w:val="0"/>
    </w:pPr>
    <w:rPr>
      <w:rFonts w:eastAsia="Times New Roman"/>
      <w:szCs w:val="20"/>
      <w:u w:val="single"/>
    </w:rPr>
  </w:style>
  <w:style w:type="paragraph" w:styleId="2">
    <w:name w:val="heading 2"/>
    <w:basedOn w:val="a"/>
    <w:next w:val="a"/>
    <w:link w:val="20"/>
    <w:unhideWhenUsed/>
    <w:qFormat/>
    <w:rsid w:val="00A712E1"/>
    <w:pPr>
      <w:keepNext/>
      <w:keepLines/>
      <w:spacing w:before="200" w:after="0"/>
      <w:jc w:val="left"/>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link w:val="30"/>
    <w:uiPriority w:val="9"/>
    <w:qFormat/>
    <w:rsid w:val="00A91269"/>
    <w:pPr>
      <w:spacing w:before="100" w:beforeAutospacing="1" w:after="100" w:afterAutospacing="1" w:line="240" w:lineRule="auto"/>
      <w:jc w:val="left"/>
      <w:outlineLvl w:val="2"/>
    </w:pPr>
    <w:rPr>
      <w:rFonts w:eastAsia="Times New Roman"/>
      <w:b/>
      <w:bCs/>
      <w:sz w:val="27"/>
      <w:szCs w:val="27"/>
    </w:rPr>
  </w:style>
  <w:style w:type="paragraph" w:styleId="4">
    <w:name w:val="heading 4"/>
    <w:basedOn w:val="a"/>
    <w:next w:val="a"/>
    <w:link w:val="40"/>
    <w:qFormat/>
    <w:rsid w:val="00A712E1"/>
    <w:pPr>
      <w:keepNext/>
      <w:spacing w:before="240" w:after="0" w:line="240" w:lineRule="auto"/>
      <w:ind w:firstLine="708"/>
      <w:jc w:val="both"/>
      <w:outlineLvl w:val="3"/>
    </w:pPr>
    <w:rPr>
      <w:rFonts w:eastAsia="Calibri"/>
      <w:b/>
      <w:bCs/>
      <w:szCs w:val="28"/>
    </w:rPr>
  </w:style>
  <w:style w:type="paragraph" w:styleId="5">
    <w:name w:val="heading 5"/>
    <w:basedOn w:val="a"/>
    <w:next w:val="a"/>
    <w:link w:val="50"/>
    <w:uiPriority w:val="9"/>
    <w:unhideWhenUsed/>
    <w:qFormat/>
    <w:rsid w:val="00A91269"/>
    <w:pPr>
      <w:keepNext/>
      <w:keepLines/>
      <w:spacing w:before="320" w:after="200"/>
      <w:jc w:val="left"/>
      <w:outlineLvl w:val="4"/>
    </w:pPr>
    <w:rPr>
      <w:rFonts w:ascii="Arial" w:eastAsia="Arial" w:hAnsi="Arial" w:cs="Arial"/>
      <w:b/>
      <w:bCs/>
      <w:sz w:val="24"/>
    </w:rPr>
  </w:style>
  <w:style w:type="paragraph" w:styleId="6">
    <w:name w:val="heading 6"/>
    <w:basedOn w:val="a"/>
    <w:next w:val="a"/>
    <w:link w:val="60"/>
    <w:uiPriority w:val="9"/>
    <w:unhideWhenUsed/>
    <w:qFormat/>
    <w:rsid w:val="00A91269"/>
    <w:pPr>
      <w:keepNext/>
      <w:keepLines/>
      <w:spacing w:before="320" w:after="200"/>
      <w:jc w:val="left"/>
      <w:outlineLvl w:val="5"/>
    </w:pPr>
    <w:rPr>
      <w:rFonts w:ascii="Arial" w:eastAsia="Arial" w:hAnsi="Arial" w:cs="Arial"/>
      <w:b/>
      <w:bCs/>
      <w:sz w:val="22"/>
      <w:szCs w:val="22"/>
    </w:rPr>
  </w:style>
  <w:style w:type="paragraph" w:styleId="7">
    <w:name w:val="heading 7"/>
    <w:basedOn w:val="a"/>
    <w:next w:val="a"/>
    <w:link w:val="70"/>
    <w:uiPriority w:val="9"/>
    <w:unhideWhenUsed/>
    <w:qFormat/>
    <w:rsid w:val="00A91269"/>
    <w:pPr>
      <w:keepNext/>
      <w:keepLines/>
      <w:spacing w:before="320" w:after="200"/>
      <w:jc w:val="left"/>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A91269"/>
    <w:pPr>
      <w:keepNext/>
      <w:keepLines/>
      <w:spacing w:before="320" w:after="200"/>
      <w:jc w:val="left"/>
      <w:outlineLvl w:val="7"/>
    </w:pPr>
    <w:rPr>
      <w:rFonts w:ascii="Arial" w:eastAsia="Arial" w:hAnsi="Arial" w:cs="Arial"/>
      <w:i/>
      <w:iCs/>
      <w:sz w:val="22"/>
      <w:szCs w:val="22"/>
    </w:rPr>
  </w:style>
  <w:style w:type="paragraph" w:styleId="9">
    <w:name w:val="heading 9"/>
    <w:basedOn w:val="a"/>
    <w:next w:val="a"/>
    <w:link w:val="90"/>
    <w:uiPriority w:val="9"/>
    <w:unhideWhenUsed/>
    <w:qFormat/>
    <w:rsid w:val="00A91269"/>
    <w:pPr>
      <w:keepNext/>
      <w:keepLines/>
      <w:spacing w:before="320" w:after="200"/>
      <w:jc w:val="left"/>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A712E1"/>
    <w:rPr>
      <w:rFonts w:ascii="Times New Roman" w:eastAsia="Calibri" w:hAnsi="Times New Roman" w:cs="Times New Roman"/>
      <w:b/>
      <w:bCs/>
      <w:sz w:val="28"/>
      <w:szCs w:val="28"/>
      <w:lang w:eastAsia="ru-RU"/>
    </w:rPr>
  </w:style>
  <w:style w:type="character" w:styleId="a3">
    <w:name w:val="Hyperlink"/>
    <w:basedOn w:val="a0"/>
    <w:uiPriority w:val="99"/>
    <w:unhideWhenUsed/>
    <w:rsid w:val="00A712E1"/>
    <w:rPr>
      <w:color w:val="0000FF" w:themeColor="hyperlink"/>
      <w:u w:val="single"/>
    </w:rPr>
  </w:style>
  <w:style w:type="paragraph" w:customStyle="1" w:styleId="20231">
    <w:name w:val="Отчет 2023 1"/>
    <w:basedOn w:val="a"/>
    <w:link w:val="202310"/>
    <w:autoRedefine/>
    <w:qFormat/>
    <w:rsid w:val="00E231C8"/>
    <w:pPr>
      <w:tabs>
        <w:tab w:val="right" w:leader="dot" w:pos="9786"/>
      </w:tabs>
      <w:spacing w:after="0" w:line="240" w:lineRule="auto"/>
    </w:pPr>
    <w:rPr>
      <w:b/>
      <w:noProof/>
      <w:sz w:val="32"/>
      <w:szCs w:val="32"/>
    </w:rPr>
  </w:style>
  <w:style w:type="character" w:customStyle="1" w:styleId="202310">
    <w:name w:val="Отчет 2023 1 Знак"/>
    <w:basedOn w:val="a0"/>
    <w:link w:val="20231"/>
    <w:rsid w:val="00E231C8"/>
    <w:rPr>
      <w:rFonts w:ascii="Times New Roman" w:eastAsia="MS Mincho" w:hAnsi="Times New Roman" w:cs="Times New Roman"/>
      <w:b/>
      <w:noProof/>
      <w:sz w:val="32"/>
      <w:szCs w:val="32"/>
      <w:lang w:eastAsia="ru-RU"/>
    </w:rPr>
  </w:style>
  <w:style w:type="character" w:styleId="a4">
    <w:name w:val="FollowedHyperlink"/>
    <w:basedOn w:val="a0"/>
    <w:unhideWhenUsed/>
    <w:rsid w:val="00A712E1"/>
    <w:rPr>
      <w:color w:val="800080" w:themeColor="followedHyperlink"/>
      <w:u w:val="single"/>
    </w:rPr>
  </w:style>
  <w:style w:type="character" w:customStyle="1" w:styleId="10">
    <w:name w:val="Заголовок 1 Знак"/>
    <w:basedOn w:val="a0"/>
    <w:link w:val="1"/>
    <w:rsid w:val="00A712E1"/>
    <w:rPr>
      <w:rFonts w:ascii="Times New Roman" w:eastAsia="Times New Roman" w:hAnsi="Times New Roman" w:cs="Times New Roman"/>
      <w:sz w:val="28"/>
      <w:szCs w:val="20"/>
      <w:u w:val="single"/>
      <w:lang w:eastAsia="ru-RU"/>
    </w:rPr>
  </w:style>
  <w:style w:type="character" w:customStyle="1" w:styleId="20">
    <w:name w:val="Заголовок 2 Знак"/>
    <w:basedOn w:val="a0"/>
    <w:link w:val="2"/>
    <w:rsid w:val="00A712E1"/>
    <w:rPr>
      <w:rFonts w:asciiTheme="majorHAnsi" w:eastAsiaTheme="majorEastAsia" w:hAnsiTheme="majorHAnsi" w:cstheme="majorBidi"/>
      <w:b/>
      <w:bCs/>
      <w:color w:val="4F81BD" w:themeColor="accent1"/>
      <w:sz w:val="26"/>
      <w:szCs w:val="26"/>
    </w:rPr>
  </w:style>
  <w:style w:type="paragraph" w:styleId="a5">
    <w:name w:val="Balloon Text"/>
    <w:basedOn w:val="a"/>
    <w:link w:val="a6"/>
    <w:unhideWhenUsed/>
    <w:rsid w:val="00A712E1"/>
    <w:pPr>
      <w:spacing w:after="0" w:line="240" w:lineRule="auto"/>
      <w:jc w:val="left"/>
    </w:pPr>
    <w:rPr>
      <w:rFonts w:ascii="Tahoma" w:eastAsiaTheme="minorHAnsi" w:hAnsi="Tahoma" w:cs="Tahoma"/>
      <w:sz w:val="16"/>
      <w:szCs w:val="16"/>
      <w:lang w:eastAsia="en-US"/>
    </w:rPr>
  </w:style>
  <w:style w:type="character" w:customStyle="1" w:styleId="a6">
    <w:name w:val="Текст выноски Знак"/>
    <w:basedOn w:val="a0"/>
    <w:link w:val="a5"/>
    <w:rsid w:val="00A712E1"/>
    <w:rPr>
      <w:rFonts w:ascii="Tahoma" w:hAnsi="Tahoma" w:cs="Tahoma"/>
      <w:sz w:val="16"/>
      <w:szCs w:val="16"/>
    </w:rPr>
  </w:style>
  <w:style w:type="numbering" w:customStyle="1" w:styleId="11">
    <w:name w:val="Нет списка1"/>
    <w:next w:val="a2"/>
    <w:uiPriority w:val="99"/>
    <w:semiHidden/>
    <w:unhideWhenUsed/>
    <w:rsid w:val="00A712E1"/>
  </w:style>
  <w:style w:type="paragraph" w:styleId="a7">
    <w:name w:val="Body Text"/>
    <w:basedOn w:val="a"/>
    <w:link w:val="a8"/>
    <w:rsid w:val="00A712E1"/>
    <w:pPr>
      <w:spacing w:after="0" w:line="240" w:lineRule="auto"/>
      <w:jc w:val="both"/>
    </w:pPr>
    <w:rPr>
      <w:rFonts w:eastAsia="Times New Roman"/>
    </w:rPr>
  </w:style>
  <w:style w:type="character" w:customStyle="1" w:styleId="a8">
    <w:name w:val="Основной текст Знак"/>
    <w:basedOn w:val="a0"/>
    <w:link w:val="a7"/>
    <w:rsid w:val="00A712E1"/>
    <w:rPr>
      <w:rFonts w:ascii="Times New Roman" w:eastAsia="Times New Roman" w:hAnsi="Times New Roman" w:cs="Times New Roman"/>
      <w:sz w:val="28"/>
      <w:szCs w:val="24"/>
      <w:lang w:eastAsia="ru-RU"/>
    </w:rPr>
  </w:style>
  <w:style w:type="paragraph" w:styleId="21">
    <w:name w:val="Body Text Indent 2"/>
    <w:basedOn w:val="a"/>
    <w:link w:val="22"/>
    <w:uiPriority w:val="99"/>
    <w:rsid w:val="00A712E1"/>
    <w:pPr>
      <w:spacing w:line="480" w:lineRule="auto"/>
      <w:ind w:left="283"/>
      <w:jc w:val="left"/>
    </w:pPr>
    <w:rPr>
      <w:rFonts w:eastAsia="Times New Roman"/>
      <w:sz w:val="24"/>
    </w:rPr>
  </w:style>
  <w:style w:type="character" w:customStyle="1" w:styleId="22">
    <w:name w:val="Основной текст с отступом 2 Знак"/>
    <w:basedOn w:val="a0"/>
    <w:link w:val="21"/>
    <w:uiPriority w:val="99"/>
    <w:rsid w:val="00A712E1"/>
    <w:rPr>
      <w:rFonts w:ascii="Times New Roman" w:eastAsia="Times New Roman" w:hAnsi="Times New Roman" w:cs="Times New Roman"/>
      <w:sz w:val="24"/>
      <w:szCs w:val="24"/>
      <w:lang w:eastAsia="ru-RU"/>
    </w:rPr>
  </w:style>
  <w:style w:type="paragraph" w:styleId="a9">
    <w:name w:val="Body Text Indent"/>
    <w:basedOn w:val="a"/>
    <w:link w:val="aa"/>
    <w:rsid w:val="00A712E1"/>
    <w:pPr>
      <w:spacing w:line="240" w:lineRule="auto"/>
      <w:ind w:left="283"/>
      <w:jc w:val="left"/>
    </w:pPr>
    <w:rPr>
      <w:rFonts w:eastAsia="Times New Roman"/>
      <w:sz w:val="24"/>
    </w:rPr>
  </w:style>
  <w:style w:type="character" w:customStyle="1" w:styleId="aa">
    <w:name w:val="Основной текст с отступом Знак"/>
    <w:basedOn w:val="a0"/>
    <w:link w:val="a9"/>
    <w:rsid w:val="00A712E1"/>
    <w:rPr>
      <w:rFonts w:ascii="Times New Roman" w:eastAsia="Times New Roman" w:hAnsi="Times New Roman" w:cs="Times New Roman"/>
      <w:sz w:val="24"/>
      <w:szCs w:val="24"/>
      <w:lang w:eastAsia="ru-RU"/>
    </w:rPr>
  </w:style>
  <w:style w:type="paragraph" w:styleId="ab">
    <w:name w:val="header"/>
    <w:basedOn w:val="a"/>
    <w:link w:val="ac"/>
    <w:uiPriority w:val="99"/>
    <w:rsid w:val="00A712E1"/>
    <w:pPr>
      <w:tabs>
        <w:tab w:val="center" w:pos="4153"/>
        <w:tab w:val="right" w:pos="8306"/>
      </w:tabs>
      <w:spacing w:after="0" w:line="240" w:lineRule="auto"/>
      <w:jc w:val="left"/>
    </w:pPr>
    <w:rPr>
      <w:rFonts w:eastAsia="Times New Roman"/>
      <w:szCs w:val="20"/>
    </w:rPr>
  </w:style>
  <w:style w:type="character" w:customStyle="1" w:styleId="ac">
    <w:name w:val="Верхний колонтитул Знак"/>
    <w:basedOn w:val="a0"/>
    <w:link w:val="ab"/>
    <w:uiPriority w:val="99"/>
    <w:rsid w:val="00A712E1"/>
    <w:rPr>
      <w:rFonts w:ascii="Times New Roman" w:eastAsia="Times New Roman" w:hAnsi="Times New Roman" w:cs="Times New Roman"/>
      <w:sz w:val="28"/>
      <w:szCs w:val="20"/>
      <w:lang w:eastAsia="ru-RU"/>
    </w:rPr>
  </w:style>
  <w:style w:type="paragraph" w:styleId="23">
    <w:name w:val="Body Text 2"/>
    <w:basedOn w:val="a"/>
    <w:link w:val="24"/>
    <w:uiPriority w:val="99"/>
    <w:rsid w:val="00A712E1"/>
    <w:pPr>
      <w:spacing w:line="480" w:lineRule="auto"/>
      <w:jc w:val="left"/>
    </w:pPr>
    <w:rPr>
      <w:rFonts w:eastAsia="Times New Roman"/>
      <w:sz w:val="24"/>
    </w:rPr>
  </w:style>
  <w:style w:type="character" w:customStyle="1" w:styleId="24">
    <w:name w:val="Основной текст 2 Знак"/>
    <w:basedOn w:val="a0"/>
    <w:link w:val="23"/>
    <w:uiPriority w:val="99"/>
    <w:rsid w:val="00A712E1"/>
    <w:rPr>
      <w:rFonts w:ascii="Times New Roman" w:eastAsia="Times New Roman" w:hAnsi="Times New Roman" w:cs="Times New Roman"/>
      <w:sz w:val="24"/>
      <w:szCs w:val="24"/>
      <w:lang w:eastAsia="ru-RU"/>
    </w:rPr>
  </w:style>
  <w:style w:type="paragraph" w:styleId="25">
    <w:name w:val="List 2"/>
    <w:basedOn w:val="a"/>
    <w:rsid w:val="00A712E1"/>
    <w:pPr>
      <w:spacing w:after="0" w:line="240" w:lineRule="auto"/>
      <w:ind w:left="566" w:hanging="283"/>
      <w:jc w:val="left"/>
    </w:pPr>
    <w:rPr>
      <w:rFonts w:eastAsia="Times New Roman"/>
      <w:sz w:val="20"/>
      <w:szCs w:val="20"/>
    </w:rPr>
  </w:style>
  <w:style w:type="paragraph" w:styleId="31">
    <w:name w:val="Body Text Indent 3"/>
    <w:basedOn w:val="a"/>
    <w:link w:val="32"/>
    <w:uiPriority w:val="99"/>
    <w:rsid w:val="00A712E1"/>
    <w:pPr>
      <w:spacing w:line="240" w:lineRule="auto"/>
      <w:ind w:left="283"/>
      <w:jc w:val="left"/>
    </w:pPr>
    <w:rPr>
      <w:rFonts w:eastAsia="Times New Roman"/>
      <w:sz w:val="16"/>
      <w:szCs w:val="16"/>
    </w:rPr>
  </w:style>
  <w:style w:type="character" w:customStyle="1" w:styleId="32">
    <w:name w:val="Основной текст с отступом 3 Знак"/>
    <w:basedOn w:val="a0"/>
    <w:link w:val="31"/>
    <w:uiPriority w:val="99"/>
    <w:rsid w:val="00A712E1"/>
    <w:rPr>
      <w:rFonts w:ascii="Times New Roman" w:eastAsia="Times New Roman" w:hAnsi="Times New Roman" w:cs="Times New Roman"/>
      <w:sz w:val="16"/>
      <w:szCs w:val="16"/>
      <w:lang w:eastAsia="ru-RU"/>
    </w:rPr>
  </w:style>
  <w:style w:type="paragraph" w:customStyle="1" w:styleId="ConsPlusNormal">
    <w:name w:val="ConsPlusNormal"/>
    <w:qFormat/>
    <w:rsid w:val="00A712E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Strong"/>
    <w:basedOn w:val="a0"/>
    <w:uiPriority w:val="22"/>
    <w:qFormat/>
    <w:rsid w:val="00A712E1"/>
    <w:rPr>
      <w:rFonts w:cs="Times New Roman"/>
      <w:b/>
      <w:bCs/>
    </w:rPr>
  </w:style>
  <w:style w:type="paragraph" w:customStyle="1" w:styleId="ConsPlusTitle">
    <w:name w:val="ConsPlusTitle"/>
    <w:rsid w:val="00A712E1"/>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A712E1"/>
    <w:pPr>
      <w:autoSpaceDE w:val="0"/>
      <w:autoSpaceDN w:val="0"/>
      <w:adjustRightInd w:val="0"/>
      <w:spacing w:after="0" w:line="240" w:lineRule="auto"/>
    </w:pPr>
    <w:rPr>
      <w:rFonts w:ascii="Arial" w:eastAsia="Times New Roman" w:hAnsi="Arial" w:cs="Arial"/>
      <w:sz w:val="20"/>
      <w:szCs w:val="20"/>
      <w:lang w:eastAsia="ru-RU"/>
    </w:rPr>
  </w:style>
  <w:style w:type="paragraph" w:styleId="ae">
    <w:name w:val="List Paragraph"/>
    <w:basedOn w:val="a"/>
    <w:link w:val="af"/>
    <w:uiPriority w:val="34"/>
    <w:qFormat/>
    <w:rsid w:val="00A712E1"/>
    <w:pPr>
      <w:spacing w:after="200"/>
      <w:ind w:left="720"/>
      <w:contextualSpacing/>
      <w:jc w:val="left"/>
    </w:pPr>
    <w:rPr>
      <w:rFonts w:ascii="Calibri" w:eastAsia="Times New Roman" w:hAnsi="Calibri"/>
      <w:sz w:val="22"/>
      <w:szCs w:val="22"/>
      <w:lang w:eastAsia="en-US"/>
    </w:rPr>
  </w:style>
  <w:style w:type="paragraph" w:customStyle="1" w:styleId="12">
    <w:name w:val="Абзац списка1"/>
    <w:basedOn w:val="a"/>
    <w:rsid w:val="00A712E1"/>
    <w:pPr>
      <w:spacing w:after="0" w:line="240" w:lineRule="auto"/>
      <w:ind w:left="720"/>
      <w:contextualSpacing/>
      <w:jc w:val="left"/>
    </w:pPr>
    <w:rPr>
      <w:rFonts w:eastAsia="Times New Roman"/>
      <w:sz w:val="20"/>
      <w:szCs w:val="20"/>
    </w:rPr>
  </w:style>
  <w:style w:type="paragraph" w:customStyle="1" w:styleId="-12">
    <w:name w:val="Цветной список - Акцент 12"/>
    <w:basedOn w:val="a"/>
    <w:uiPriority w:val="34"/>
    <w:qFormat/>
    <w:rsid w:val="00A712E1"/>
    <w:pPr>
      <w:spacing w:after="200"/>
      <w:ind w:left="720"/>
      <w:contextualSpacing/>
      <w:jc w:val="left"/>
    </w:pPr>
    <w:rPr>
      <w:rFonts w:ascii="Calibri" w:eastAsia="Times New Roman" w:hAnsi="Calibri"/>
      <w:sz w:val="22"/>
      <w:szCs w:val="22"/>
      <w:lang w:eastAsia="en-US"/>
    </w:rPr>
  </w:style>
  <w:style w:type="paragraph" w:styleId="af0">
    <w:name w:val="Title"/>
    <w:basedOn w:val="a"/>
    <w:link w:val="af1"/>
    <w:uiPriority w:val="99"/>
    <w:qFormat/>
    <w:rsid w:val="00A712E1"/>
    <w:pPr>
      <w:spacing w:after="0" w:line="240" w:lineRule="auto"/>
    </w:pPr>
    <w:rPr>
      <w:rFonts w:eastAsia="Times New Roman"/>
      <w:b/>
      <w:bCs/>
      <w:sz w:val="24"/>
    </w:rPr>
  </w:style>
  <w:style w:type="character" w:customStyle="1" w:styleId="af1">
    <w:name w:val="Название Знак"/>
    <w:basedOn w:val="a0"/>
    <w:link w:val="af0"/>
    <w:uiPriority w:val="99"/>
    <w:rsid w:val="00A712E1"/>
    <w:rPr>
      <w:rFonts w:ascii="Times New Roman" w:eastAsia="Times New Roman" w:hAnsi="Times New Roman" w:cs="Times New Roman"/>
      <w:b/>
      <w:bCs/>
      <w:sz w:val="24"/>
      <w:szCs w:val="24"/>
      <w:lang w:eastAsia="ru-RU"/>
    </w:rPr>
  </w:style>
  <w:style w:type="table" w:styleId="af2">
    <w:name w:val="Table Grid"/>
    <w:basedOn w:val="a1"/>
    <w:uiPriority w:val="59"/>
    <w:rsid w:val="00A712E1"/>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footer"/>
    <w:basedOn w:val="a"/>
    <w:link w:val="af4"/>
    <w:uiPriority w:val="99"/>
    <w:rsid w:val="00A712E1"/>
    <w:pPr>
      <w:tabs>
        <w:tab w:val="center" w:pos="4677"/>
        <w:tab w:val="right" w:pos="9355"/>
      </w:tabs>
      <w:spacing w:after="0" w:line="240" w:lineRule="auto"/>
      <w:jc w:val="left"/>
    </w:pPr>
    <w:rPr>
      <w:rFonts w:eastAsia="Times New Roman"/>
      <w:sz w:val="24"/>
    </w:rPr>
  </w:style>
  <w:style w:type="character" w:customStyle="1" w:styleId="af4">
    <w:name w:val="Нижний колонтитул Знак"/>
    <w:basedOn w:val="a0"/>
    <w:link w:val="af3"/>
    <w:uiPriority w:val="99"/>
    <w:rsid w:val="00A712E1"/>
    <w:rPr>
      <w:rFonts w:ascii="Times New Roman" w:eastAsia="Times New Roman" w:hAnsi="Times New Roman" w:cs="Times New Roman"/>
      <w:sz w:val="24"/>
      <w:szCs w:val="24"/>
      <w:lang w:eastAsia="ru-RU"/>
    </w:rPr>
  </w:style>
  <w:style w:type="paragraph" w:customStyle="1" w:styleId="af5">
    <w:name w:val="Стиль второй"/>
    <w:basedOn w:val="a"/>
    <w:link w:val="af6"/>
    <w:autoRedefine/>
    <w:qFormat/>
    <w:rsid w:val="00A712E1"/>
    <w:pPr>
      <w:tabs>
        <w:tab w:val="right" w:leader="dot" w:pos="9786"/>
      </w:tabs>
      <w:spacing w:after="0" w:line="240" w:lineRule="auto"/>
      <w:jc w:val="left"/>
    </w:pPr>
    <w:rPr>
      <w:b/>
      <w:noProof/>
      <w:szCs w:val="27"/>
    </w:rPr>
  </w:style>
  <w:style w:type="paragraph" w:styleId="af7">
    <w:name w:val="Normal (Web)"/>
    <w:basedOn w:val="a"/>
    <w:uiPriority w:val="99"/>
    <w:unhideWhenUsed/>
    <w:rsid w:val="00A712E1"/>
    <w:pPr>
      <w:spacing w:before="100" w:beforeAutospacing="1" w:after="100" w:afterAutospacing="1" w:line="240" w:lineRule="auto"/>
      <w:jc w:val="left"/>
    </w:pPr>
    <w:rPr>
      <w:rFonts w:eastAsia="Times New Roman"/>
      <w:sz w:val="24"/>
    </w:rPr>
  </w:style>
  <w:style w:type="paragraph" w:customStyle="1" w:styleId="af8">
    <w:name w:val="Знак"/>
    <w:basedOn w:val="a"/>
    <w:autoRedefine/>
    <w:rsid w:val="00A712E1"/>
    <w:pPr>
      <w:spacing w:after="160" w:line="240" w:lineRule="exact"/>
      <w:ind w:left="26"/>
      <w:jc w:val="left"/>
    </w:pPr>
    <w:rPr>
      <w:rFonts w:eastAsia="Times New Roman"/>
      <w:sz w:val="24"/>
      <w:lang w:val="en-US" w:eastAsia="en-US"/>
    </w:rPr>
  </w:style>
  <w:style w:type="paragraph" w:customStyle="1" w:styleId="ConsPlusNonformat">
    <w:name w:val="ConsPlusNonformat"/>
    <w:rsid w:val="00A712E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9">
    <w:name w:val="No Spacing"/>
    <w:link w:val="afa"/>
    <w:uiPriority w:val="1"/>
    <w:qFormat/>
    <w:rsid w:val="00A712E1"/>
    <w:pPr>
      <w:spacing w:after="0" w:line="240" w:lineRule="auto"/>
    </w:pPr>
    <w:rPr>
      <w:rFonts w:ascii="Calibri" w:eastAsia="Calibri" w:hAnsi="Calibri" w:cs="Times New Roman"/>
    </w:rPr>
  </w:style>
  <w:style w:type="numbering" w:customStyle="1" w:styleId="26">
    <w:name w:val="Нет списка2"/>
    <w:next w:val="a2"/>
    <w:uiPriority w:val="99"/>
    <w:semiHidden/>
    <w:unhideWhenUsed/>
    <w:rsid w:val="00A712E1"/>
  </w:style>
  <w:style w:type="table" w:customStyle="1" w:styleId="13">
    <w:name w:val="Сетка таблицы1"/>
    <w:basedOn w:val="a1"/>
    <w:next w:val="af2"/>
    <w:uiPriority w:val="59"/>
    <w:rsid w:val="00A71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A712E1"/>
  </w:style>
  <w:style w:type="character" w:customStyle="1" w:styleId="14">
    <w:name w:val="Просмотренная гиперссылка1"/>
    <w:basedOn w:val="a0"/>
    <w:uiPriority w:val="99"/>
    <w:semiHidden/>
    <w:unhideWhenUsed/>
    <w:rsid w:val="00A712E1"/>
    <w:rPr>
      <w:color w:val="800080"/>
      <w:u w:val="single"/>
    </w:rPr>
  </w:style>
  <w:style w:type="paragraph" w:customStyle="1" w:styleId="afb">
    <w:name w:val="Прижатый влево"/>
    <w:basedOn w:val="a"/>
    <w:next w:val="a"/>
    <w:rsid w:val="00A712E1"/>
    <w:pPr>
      <w:autoSpaceDE w:val="0"/>
      <w:autoSpaceDN w:val="0"/>
      <w:adjustRightInd w:val="0"/>
      <w:spacing w:after="0" w:line="240" w:lineRule="auto"/>
      <w:jc w:val="left"/>
    </w:pPr>
    <w:rPr>
      <w:rFonts w:ascii="Arial" w:eastAsia="Times New Roman" w:hAnsi="Arial"/>
      <w:sz w:val="20"/>
      <w:szCs w:val="20"/>
    </w:rPr>
  </w:style>
  <w:style w:type="character" w:styleId="afc">
    <w:name w:val="Placeholder Text"/>
    <w:basedOn w:val="a0"/>
    <w:uiPriority w:val="99"/>
    <w:semiHidden/>
    <w:rsid w:val="00A712E1"/>
    <w:rPr>
      <w:color w:val="808080"/>
    </w:rPr>
  </w:style>
  <w:style w:type="table" w:customStyle="1" w:styleId="110">
    <w:name w:val="Сетка таблицы11"/>
    <w:basedOn w:val="a1"/>
    <w:next w:val="af2"/>
    <w:rsid w:val="00A712E1"/>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f2"/>
    <w:uiPriority w:val="59"/>
    <w:rsid w:val="00A71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Без интервала Знак"/>
    <w:link w:val="af9"/>
    <w:uiPriority w:val="1"/>
    <w:rsid w:val="00253348"/>
    <w:rPr>
      <w:rFonts w:ascii="Calibri" w:eastAsia="Calibri" w:hAnsi="Calibri" w:cs="Times New Roman"/>
    </w:rPr>
  </w:style>
  <w:style w:type="character" w:customStyle="1" w:styleId="30">
    <w:name w:val="Заголовок 3 Знак"/>
    <w:basedOn w:val="a0"/>
    <w:link w:val="3"/>
    <w:uiPriority w:val="9"/>
    <w:rsid w:val="00A91269"/>
    <w:rPr>
      <w:rFonts w:ascii="Times New Roman" w:eastAsia="Times New Roman" w:hAnsi="Times New Roman" w:cs="Times New Roman"/>
      <w:b/>
      <w:bCs/>
      <w:sz w:val="27"/>
      <w:szCs w:val="27"/>
      <w:lang w:eastAsia="ru-RU"/>
    </w:rPr>
  </w:style>
  <w:style w:type="character" w:customStyle="1" w:styleId="50">
    <w:name w:val="Заголовок 5 Знак"/>
    <w:basedOn w:val="a0"/>
    <w:link w:val="5"/>
    <w:uiPriority w:val="9"/>
    <w:rsid w:val="00A91269"/>
    <w:rPr>
      <w:rFonts w:ascii="Arial" w:eastAsia="Arial" w:hAnsi="Arial" w:cs="Arial"/>
      <w:b/>
      <w:bCs/>
      <w:sz w:val="24"/>
      <w:szCs w:val="24"/>
      <w:lang w:eastAsia="ru-RU"/>
    </w:rPr>
  </w:style>
  <w:style w:type="character" w:customStyle="1" w:styleId="60">
    <w:name w:val="Заголовок 6 Знак"/>
    <w:basedOn w:val="a0"/>
    <w:link w:val="6"/>
    <w:uiPriority w:val="9"/>
    <w:rsid w:val="00A91269"/>
    <w:rPr>
      <w:rFonts w:ascii="Arial" w:eastAsia="Arial" w:hAnsi="Arial" w:cs="Arial"/>
      <w:b/>
      <w:bCs/>
      <w:lang w:eastAsia="ru-RU"/>
    </w:rPr>
  </w:style>
  <w:style w:type="character" w:customStyle="1" w:styleId="70">
    <w:name w:val="Заголовок 7 Знак"/>
    <w:basedOn w:val="a0"/>
    <w:link w:val="7"/>
    <w:uiPriority w:val="9"/>
    <w:rsid w:val="00A91269"/>
    <w:rPr>
      <w:rFonts w:ascii="Arial" w:eastAsia="Arial" w:hAnsi="Arial" w:cs="Arial"/>
      <w:b/>
      <w:bCs/>
      <w:i/>
      <w:iCs/>
      <w:lang w:eastAsia="ru-RU"/>
    </w:rPr>
  </w:style>
  <w:style w:type="character" w:customStyle="1" w:styleId="80">
    <w:name w:val="Заголовок 8 Знак"/>
    <w:basedOn w:val="a0"/>
    <w:link w:val="8"/>
    <w:uiPriority w:val="9"/>
    <w:rsid w:val="00A91269"/>
    <w:rPr>
      <w:rFonts w:ascii="Arial" w:eastAsia="Arial" w:hAnsi="Arial" w:cs="Arial"/>
      <w:i/>
      <w:iCs/>
      <w:lang w:eastAsia="ru-RU"/>
    </w:rPr>
  </w:style>
  <w:style w:type="character" w:customStyle="1" w:styleId="90">
    <w:name w:val="Заголовок 9 Знак"/>
    <w:basedOn w:val="a0"/>
    <w:link w:val="9"/>
    <w:uiPriority w:val="9"/>
    <w:rsid w:val="00A91269"/>
    <w:rPr>
      <w:rFonts w:ascii="Arial" w:eastAsia="Arial" w:hAnsi="Arial" w:cs="Arial"/>
      <w:i/>
      <w:iCs/>
      <w:sz w:val="21"/>
      <w:szCs w:val="21"/>
      <w:lang w:eastAsia="ru-RU"/>
    </w:rPr>
  </w:style>
  <w:style w:type="character" w:customStyle="1" w:styleId="Heading1Char">
    <w:name w:val="Heading 1 Char"/>
    <w:basedOn w:val="a0"/>
    <w:uiPriority w:val="9"/>
    <w:rsid w:val="00A91269"/>
    <w:rPr>
      <w:rFonts w:ascii="Arial" w:eastAsia="Arial" w:hAnsi="Arial" w:cs="Arial"/>
      <w:sz w:val="40"/>
      <w:szCs w:val="40"/>
    </w:rPr>
  </w:style>
  <w:style w:type="character" w:customStyle="1" w:styleId="Heading2Char">
    <w:name w:val="Heading 2 Char"/>
    <w:basedOn w:val="a0"/>
    <w:uiPriority w:val="9"/>
    <w:rsid w:val="00A91269"/>
    <w:rPr>
      <w:rFonts w:ascii="Arial" w:eastAsia="Arial" w:hAnsi="Arial" w:cs="Arial"/>
      <w:sz w:val="34"/>
    </w:rPr>
  </w:style>
  <w:style w:type="character" w:customStyle="1" w:styleId="Heading3Char">
    <w:name w:val="Heading 3 Char"/>
    <w:basedOn w:val="a0"/>
    <w:uiPriority w:val="9"/>
    <w:rsid w:val="00A91269"/>
    <w:rPr>
      <w:rFonts w:ascii="Arial" w:eastAsia="Arial" w:hAnsi="Arial" w:cs="Arial"/>
      <w:sz w:val="30"/>
      <w:szCs w:val="30"/>
    </w:rPr>
  </w:style>
  <w:style w:type="character" w:customStyle="1" w:styleId="Heading4Char">
    <w:name w:val="Heading 4 Char"/>
    <w:basedOn w:val="a0"/>
    <w:uiPriority w:val="9"/>
    <w:rsid w:val="00A91269"/>
    <w:rPr>
      <w:rFonts w:ascii="Arial" w:eastAsia="Arial" w:hAnsi="Arial" w:cs="Arial"/>
      <w:b/>
      <w:bCs/>
      <w:sz w:val="26"/>
      <w:szCs w:val="26"/>
    </w:rPr>
  </w:style>
  <w:style w:type="character" w:customStyle="1" w:styleId="TitleChar">
    <w:name w:val="Title Char"/>
    <w:basedOn w:val="a0"/>
    <w:uiPriority w:val="10"/>
    <w:rsid w:val="00A91269"/>
    <w:rPr>
      <w:sz w:val="48"/>
      <w:szCs w:val="48"/>
    </w:rPr>
  </w:style>
  <w:style w:type="paragraph" w:styleId="afd">
    <w:name w:val="Subtitle"/>
    <w:basedOn w:val="a"/>
    <w:next w:val="a"/>
    <w:link w:val="afe"/>
    <w:uiPriority w:val="11"/>
    <w:qFormat/>
    <w:rsid w:val="00A91269"/>
    <w:pPr>
      <w:spacing w:before="200" w:after="200"/>
      <w:jc w:val="left"/>
    </w:pPr>
    <w:rPr>
      <w:sz w:val="24"/>
    </w:rPr>
  </w:style>
  <w:style w:type="character" w:customStyle="1" w:styleId="afe">
    <w:name w:val="Подзаголовок Знак"/>
    <w:basedOn w:val="a0"/>
    <w:link w:val="afd"/>
    <w:uiPriority w:val="11"/>
    <w:rsid w:val="00A91269"/>
    <w:rPr>
      <w:rFonts w:ascii="Times New Roman" w:eastAsia="MS Mincho" w:hAnsi="Times New Roman" w:cs="Times New Roman"/>
      <w:sz w:val="24"/>
      <w:szCs w:val="24"/>
      <w:lang w:eastAsia="ru-RU"/>
    </w:rPr>
  </w:style>
  <w:style w:type="paragraph" w:styleId="28">
    <w:name w:val="Quote"/>
    <w:basedOn w:val="a"/>
    <w:next w:val="a"/>
    <w:link w:val="29"/>
    <w:uiPriority w:val="29"/>
    <w:qFormat/>
    <w:rsid w:val="00A91269"/>
    <w:pPr>
      <w:ind w:left="720" w:right="720"/>
      <w:jc w:val="left"/>
    </w:pPr>
    <w:rPr>
      <w:i/>
      <w:sz w:val="24"/>
    </w:rPr>
  </w:style>
  <w:style w:type="character" w:customStyle="1" w:styleId="29">
    <w:name w:val="Цитата 2 Знак"/>
    <w:basedOn w:val="a0"/>
    <w:link w:val="28"/>
    <w:uiPriority w:val="29"/>
    <w:rsid w:val="00A91269"/>
    <w:rPr>
      <w:rFonts w:ascii="Times New Roman" w:eastAsia="MS Mincho" w:hAnsi="Times New Roman" w:cs="Times New Roman"/>
      <w:i/>
      <w:sz w:val="24"/>
      <w:szCs w:val="24"/>
      <w:lang w:eastAsia="ru-RU"/>
    </w:rPr>
  </w:style>
  <w:style w:type="paragraph" w:styleId="aff">
    <w:name w:val="Intense Quote"/>
    <w:basedOn w:val="a"/>
    <w:next w:val="a"/>
    <w:link w:val="aff0"/>
    <w:uiPriority w:val="30"/>
    <w:qFormat/>
    <w:rsid w:val="00A91269"/>
    <w:pPr>
      <w:pBdr>
        <w:top w:val="single" w:sz="4" w:space="5" w:color="FFFFFF"/>
        <w:left w:val="single" w:sz="4" w:space="10" w:color="FFFFFF"/>
        <w:bottom w:val="single" w:sz="4" w:space="5" w:color="FFFFFF"/>
        <w:right w:val="single" w:sz="4" w:space="10" w:color="FFFFFF"/>
      </w:pBdr>
      <w:shd w:val="clear" w:color="auto" w:fill="F2F2F2"/>
      <w:ind w:left="720" w:right="720"/>
      <w:jc w:val="left"/>
    </w:pPr>
    <w:rPr>
      <w:i/>
      <w:sz w:val="24"/>
    </w:rPr>
  </w:style>
  <w:style w:type="character" w:customStyle="1" w:styleId="aff0">
    <w:name w:val="Выделенная цитата Знак"/>
    <w:basedOn w:val="a0"/>
    <w:link w:val="aff"/>
    <w:uiPriority w:val="30"/>
    <w:rsid w:val="00A91269"/>
    <w:rPr>
      <w:rFonts w:ascii="Times New Roman" w:eastAsia="MS Mincho" w:hAnsi="Times New Roman" w:cs="Times New Roman"/>
      <w:i/>
      <w:sz w:val="24"/>
      <w:szCs w:val="24"/>
      <w:shd w:val="clear" w:color="auto" w:fill="F2F2F2"/>
      <w:lang w:eastAsia="ru-RU"/>
    </w:rPr>
  </w:style>
  <w:style w:type="character" w:customStyle="1" w:styleId="HeaderChar">
    <w:name w:val="Header Char"/>
    <w:basedOn w:val="a0"/>
    <w:uiPriority w:val="99"/>
    <w:rsid w:val="00A91269"/>
  </w:style>
  <w:style w:type="character" w:customStyle="1" w:styleId="FooterChar">
    <w:name w:val="Footer Char"/>
    <w:basedOn w:val="a0"/>
    <w:uiPriority w:val="99"/>
    <w:rsid w:val="00A91269"/>
  </w:style>
  <w:style w:type="paragraph" w:styleId="aff1">
    <w:name w:val="caption"/>
    <w:basedOn w:val="a"/>
    <w:next w:val="a"/>
    <w:link w:val="aff2"/>
    <w:uiPriority w:val="35"/>
    <w:semiHidden/>
    <w:unhideWhenUsed/>
    <w:qFormat/>
    <w:rsid w:val="00A91269"/>
    <w:pPr>
      <w:jc w:val="left"/>
    </w:pPr>
    <w:rPr>
      <w:b/>
      <w:bCs/>
      <w:color w:val="4F81BD" w:themeColor="accent1"/>
      <w:sz w:val="18"/>
      <w:szCs w:val="18"/>
    </w:rPr>
  </w:style>
  <w:style w:type="character" w:customStyle="1" w:styleId="aff2">
    <w:name w:val="Название объекта Знак"/>
    <w:basedOn w:val="a0"/>
    <w:link w:val="aff1"/>
    <w:uiPriority w:val="35"/>
    <w:semiHidden/>
    <w:rsid w:val="00A91269"/>
    <w:rPr>
      <w:rFonts w:ascii="Times New Roman" w:eastAsia="MS Mincho" w:hAnsi="Times New Roman" w:cs="Times New Roman"/>
      <w:b/>
      <w:bCs/>
      <w:color w:val="4F81BD" w:themeColor="accent1"/>
      <w:sz w:val="18"/>
      <w:szCs w:val="18"/>
      <w:lang w:eastAsia="ru-RU"/>
    </w:rPr>
  </w:style>
  <w:style w:type="table" w:customStyle="1" w:styleId="TableGridLight">
    <w:name w:val="Table Grid Light"/>
    <w:basedOn w:val="a1"/>
    <w:uiPriority w:val="59"/>
    <w:rsid w:val="00A9126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A9126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A9126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A9126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A9126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A9126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A9126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A9126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A9126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A9126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A9126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A9126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A9126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A9126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A9126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A9126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A9126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A9126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A9126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A9126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A9126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A9126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A9126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A9126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A9126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A9126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A9126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A9126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A9126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A9126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A9126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A9126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A9126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A9126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A9126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A9126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A9126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A9126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A9126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A9126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A9126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A9126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A9126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A9126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A9126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A9126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A9126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A9126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A9126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A9126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A9126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A9126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A9126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A9126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A9126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A9126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A9126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A9126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A9126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A9126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A9126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A9126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A9126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A9126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A9126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A9126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A9126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A9126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A9126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A9126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A9126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A9126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A9126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A9126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A9126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A9126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A9126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A9126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A9126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A9126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A9126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A9126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A9126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A9126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A9126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A9126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A9126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A9126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A9126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A9126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A9126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A9126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A9126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A9126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A9126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A9126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A9126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A91269"/>
    <w:rPr>
      <w:sz w:val="18"/>
    </w:rPr>
  </w:style>
  <w:style w:type="paragraph" w:styleId="aff3">
    <w:name w:val="endnote text"/>
    <w:basedOn w:val="a"/>
    <w:link w:val="aff4"/>
    <w:uiPriority w:val="99"/>
    <w:semiHidden/>
    <w:unhideWhenUsed/>
    <w:rsid w:val="00A91269"/>
    <w:pPr>
      <w:spacing w:after="0" w:line="240" w:lineRule="auto"/>
      <w:jc w:val="left"/>
    </w:pPr>
    <w:rPr>
      <w:sz w:val="20"/>
    </w:rPr>
  </w:style>
  <w:style w:type="character" w:customStyle="1" w:styleId="aff4">
    <w:name w:val="Текст концевой сноски Знак"/>
    <w:basedOn w:val="a0"/>
    <w:link w:val="aff3"/>
    <w:uiPriority w:val="99"/>
    <w:semiHidden/>
    <w:rsid w:val="00A91269"/>
    <w:rPr>
      <w:rFonts w:ascii="Times New Roman" w:eastAsia="MS Mincho" w:hAnsi="Times New Roman" w:cs="Times New Roman"/>
      <w:sz w:val="20"/>
      <w:szCs w:val="24"/>
      <w:lang w:eastAsia="ru-RU"/>
    </w:rPr>
  </w:style>
  <w:style w:type="character" w:styleId="aff5">
    <w:name w:val="endnote reference"/>
    <w:basedOn w:val="a0"/>
    <w:uiPriority w:val="99"/>
    <w:semiHidden/>
    <w:unhideWhenUsed/>
    <w:rsid w:val="00A91269"/>
    <w:rPr>
      <w:vertAlign w:val="superscript"/>
    </w:rPr>
  </w:style>
  <w:style w:type="paragraph" w:styleId="2a">
    <w:name w:val="toc 2"/>
    <w:basedOn w:val="a"/>
    <w:next w:val="a"/>
    <w:uiPriority w:val="39"/>
    <w:unhideWhenUsed/>
    <w:qFormat/>
    <w:rsid w:val="00A91269"/>
    <w:pPr>
      <w:spacing w:after="57"/>
      <w:ind w:left="283"/>
      <w:jc w:val="left"/>
    </w:pPr>
    <w:rPr>
      <w:sz w:val="24"/>
    </w:rPr>
  </w:style>
  <w:style w:type="paragraph" w:styleId="34">
    <w:name w:val="toc 3"/>
    <w:basedOn w:val="a"/>
    <w:next w:val="a"/>
    <w:uiPriority w:val="39"/>
    <w:unhideWhenUsed/>
    <w:qFormat/>
    <w:rsid w:val="00A91269"/>
    <w:pPr>
      <w:spacing w:after="57"/>
      <w:ind w:left="567"/>
      <w:jc w:val="left"/>
    </w:pPr>
    <w:rPr>
      <w:sz w:val="24"/>
    </w:rPr>
  </w:style>
  <w:style w:type="paragraph" w:styleId="41">
    <w:name w:val="toc 4"/>
    <w:basedOn w:val="a"/>
    <w:next w:val="a"/>
    <w:uiPriority w:val="39"/>
    <w:unhideWhenUsed/>
    <w:rsid w:val="00A91269"/>
    <w:pPr>
      <w:spacing w:after="57"/>
      <w:ind w:left="850"/>
      <w:jc w:val="left"/>
    </w:pPr>
    <w:rPr>
      <w:sz w:val="24"/>
    </w:rPr>
  </w:style>
  <w:style w:type="paragraph" w:styleId="51">
    <w:name w:val="toc 5"/>
    <w:basedOn w:val="a"/>
    <w:next w:val="a"/>
    <w:uiPriority w:val="39"/>
    <w:unhideWhenUsed/>
    <w:rsid w:val="00A91269"/>
    <w:pPr>
      <w:spacing w:after="57"/>
      <w:ind w:left="1134"/>
      <w:jc w:val="left"/>
    </w:pPr>
    <w:rPr>
      <w:sz w:val="24"/>
    </w:rPr>
  </w:style>
  <w:style w:type="paragraph" w:styleId="61">
    <w:name w:val="toc 6"/>
    <w:basedOn w:val="a"/>
    <w:next w:val="a"/>
    <w:uiPriority w:val="39"/>
    <w:unhideWhenUsed/>
    <w:rsid w:val="00A91269"/>
    <w:pPr>
      <w:spacing w:after="57"/>
      <w:ind w:left="1417"/>
      <w:jc w:val="left"/>
    </w:pPr>
    <w:rPr>
      <w:sz w:val="24"/>
    </w:rPr>
  </w:style>
  <w:style w:type="paragraph" w:styleId="71">
    <w:name w:val="toc 7"/>
    <w:basedOn w:val="a"/>
    <w:next w:val="a"/>
    <w:uiPriority w:val="39"/>
    <w:unhideWhenUsed/>
    <w:rsid w:val="00A91269"/>
    <w:pPr>
      <w:spacing w:after="57"/>
      <w:ind w:left="1701"/>
      <w:jc w:val="left"/>
    </w:pPr>
    <w:rPr>
      <w:sz w:val="24"/>
    </w:rPr>
  </w:style>
  <w:style w:type="paragraph" w:styleId="81">
    <w:name w:val="toc 8"/>
    <w:basedOn w:val="a"/>
    <w:next w:val="a"/>
    <w:uiPriority w:val="39"/>
    <w:unhideWhenUsed/>
    <w:rsid w:val="00A91269"/>
    <w:pPr>
      <w:spacing w:after="57"/>
      <w:ind w:left="1984"/>
      <w:jc w:val="left"/>
    </w:pPr>
    <w:rPr>
      <w:sz w:val="24"/>
    </w:rPr>
  </w:style>
  <w:style w:type="paragraph" w:styleId="91">
    <w:name w:val="toc 9"/>
    <w:basedOn w:val="a"/>
    <w:next w:val="a"/>
    <w:uiPriority w:val="39"/>
    <w:unhideWhenUsed/>
    <w:rsid w:val="00A91269"/>
    <w:pPr>
      <w:spacing w:after="57"/>
      <w:ind w:left="2268"/>
      <w:jc w:val="left"/>
    </w:pPr>
    <w:rPr>
      <w:sz w:val="24"/>
    </w:rPr>
  </w:style>
  <w:style w:type="paragraph" w:styleId="aff6">
    <w:name w:val="TOC Heading"/>
    <w:uiPriority w:val="39"/>
    <w:unhideWhenUsed/>
    <w:qFormat/>
    <w:rsid w:val="00A91269"/>
  </w:style>
  <w:style w:type="paragraph" w:styleId="aff7">
    <w:name w:val="table of figures"/>
    <w:basedOn w:val="a"/>
    <w:next w:val="a"/>
    <w:uiPriority w:val="99"/>
    <w:unhideWhenUsed/>
    <w:rsid w:val="00A91269"/>
    <w:pPr>
      <w:spacing w:after="0"/>
      <w:jc w:val="left"/>
    </w:pPr>
    <w:rPr>
      <w:sz w:val="24"/>
    </w:rPr>
  </w:style>
  <w:style w:type="character" w:customStyle="1" w:styleId="af6">
    <w:name w:val="Стиль второй Знак"/>
    <w:basedOn w:val="a0"/>
    <w:link w:val="af5"/>
    <w:rsid w:val="00A91269"/>
    <w:rPr>
      <w:rFonts w:ascii="Times New Roman" w:eastAsia="MS Mincho" w:hAnsi="Times New Roman" w:cs="Times New Roman"/>
      <w:b/>
      <w:noProof/>
      <w:sz w:val="28"/>
      <w:szCs w:val="27"/>
      <w:lang w:eastAsia="ru-RU"/>
    </w:rPr>
  </w:style>
  <w:style w:type="paragraph" w:customStyle="1" w:styleId="15">
    <w:name w:val="Стиль1"/>
    <w:basedOn w:val="4"/>
    <w:link w:val="16"/>
    <w:qFormat/>
    <w:rsid w:val="00A91269"/>
    <w:pPr>
      <w:spacing w:after="60" w:line="276" w:lineRule="auto"/>
      <w:ind w:firstLine="0"/>
      <w:jc w:val="left"/>
    </w:pPr>
    <w:rPr>
      <w:rFonts w:eastAsia="Times New Roman"/>
      <w:sz w:val="32"/>
      <w:szCs w:val="32"/>
    </w:rPr>
  </w:style>
  <w:style w:type="character" w:customStyle="1" w:styleId="16">
    <w:name w:val="Стиль1 Знак"/>
    <w:basedOn w:val="40"/>
    <w:link w:val="15"/>
    <w:rsid w:val="00A91269"/>
    <w:rPr>
      <w:rFonts w:ascii="Times New Roman" w:eastAsia="Times New Roman" w:hAnsi="Times New Roman" w:cs="Times New Roman"/>
      <w:b/>
      <w:bCs/>
      <w:sz w:val="32"/>
      <w:szCs w:val="32"/>
      <w:lang w:eastAsia="ru-RU"/>
    </w:rPr>
  </w:style>
  <w:style w:type="paragraph" w:customStyle="1" w:styleId="17">
    <w:name w:val="Без интервала1"/>
    <w:rsid w:val="00A91269"/>
    <w:pPr>
      <w:spacing w:after="0" w:line="240" w:lineRule="auto"/>
    </w:pPr>
    <w:rPr>
      <w:rFonts w:ascii="Calibri" w:eastAsia="Calibri" w:hAnsi="Calibri" w:cs="Times New Roman"/>
      <w:lang w:val="en-US"/>
    </w:rPr>
  </w:style>
  <w:style w:type="paragraph" w:customStyle="1" w:styleId="aff8">
    <w:name w:val="Стиль первый"/>
    <w:basedOn w:val="a"/>
    <w:qFormat/>
    <w:rsid w:val="00A91269"/>
    <w:pPr>
      <w:tabs>
        <w:tab w:val="right" w:leader="dot" w:pos="9786"/>
      </w:tabs>
      <w:jc w:val="left"/>
    </w:pPr>
    <w:rPr>
      <w:b/>
      <w:sz w:val="32"/>
      <w:szCs w:val="28"/>
    </w:rPr>
  </w:style>
  <w:style w:type="character" w:customStyle="1" w:styleId="18">
    <w:name w:val="Основной текст Знак1"/>
    <w:basedOn w:val="a0"/>
    <w:uiPriority w:val="99"/>
    <w:semiHidden/>
    <w:rsid w:val="00A91269"/>
    <w:rPr>
      <w:rFonts w:ascii="Times New Roman" w:eastAsia="MS Mincho" w:hAnsi="Times New Roman" w:cs="Times New Roman"/>
      <w:sz w:val="24"/>
      <w:szCs w:val="24"/>
      <w:lang w:eastAsia="ru-RU"/>
    </w:rPr>
  </w:style>
  <w:style w:type="character" w:customStyle="1" w:styleId="apple-converted-space">
    <w:name w:val="apple-converted-space"/>
    <w:basedOn w:val="a0"/>
    <w:rsid w:val="00A91269"/>
  </w:style>
  <w:style w:type="paragraph" w:customStyle="1" w:styleId="ConsNormal">
    <w:name w:val="ConsNormal"/>
    <w:rsid w:val="00A91269"/>
    <w:pPr>
      <w:widowControl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A91269"/>
  </w:style>
  <w:style w:type="character" w:styleId="aff9">
    <w:name w:val="page number"/>
    <w:basedOn w:val="a0"/>
    <w:rsid w:val="00A91269"/>
  </w:style>
  <w:style w:type="paragraph" w:styleId="affa">
    <w:name w:val="footnote text"/>
    <w:basedOn w:val="a"/>
    <w:link w:val="affb"/>
    <w:rsid w:val="00A91269"/>
    <w:pPr>
      <w:spacing w:after="0" w:line="240" w:lineRule="auto"/>
      <w:jc w:val="left"/>
    </w:pPr>
    <w:rPr>
      <w:rFonts w:eastAsia="Times New Roman"/>
      <w:sz w:val="20"/>
      <w:szCs w:val="20"/>
    </w:rPr>
  </w:style>
  <w:style w:type="character" w:customStyle="1" w:styleId="affb">
    <w:name w:val="Текст сноски Знак"/>
    <w:basedOn w:val="a0"/>
    <w:link w:val="affa"/>
    <w:rsid w:val="00A91269"/>
    <w:rPr>
      <w:rFonts w:ascii="Times New Roman" w:eastAsia="Times New Roman" w:hAnsi="Times New Roman" w:cs="Times New Roman"/>
      <w:sz w:val="20"/>
      <w:szCs w:val="20"/>
      <w:lang w:eastAsia="ru-RU"/>
    </w:rPr>
  </w:style>
  <w:style w:type="character" w:styleId="affc">
    <w:name w:val="footnote reference"/>
    <w:rsid w:val="00A91269"/>
    <w:rPr>
      <w:vertAlign w:val="superscript"/>
    </w:rPr>
  </w:style>
  <w:style w:type="paragraph" w:customStyle="1" w:styleId="SMAPlainText">
    <w:name w:val="SMA_PlainText"/>
    <w:link w:val="SMAPlainText0"/>
    <w:qFormat/>
    <w:rsid w:val="00A91269"/>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A91269"/>
    <w:rPr>
      <w:rFonts w:ascii="Times New Roman" w:eastAsia="MS Mincho" w:hAnsi="Times New Roman" w:cs="Times New Roman"/>
      <w:sz w:val="24"/>
      <w:szCs w:val="28"/>
      <w:lang w:eastAsia="ru-RU"/>
    </w:rPr>
  </w:style>
  <w:style w:type="paragraph" w:customStyle="1" w:styleId="2b">
    <w:name w:val="Стиль ОТЧЕТ2"/>
    <w:basedOn w:val="a"/>
    <w:qFormat/>
    <w:rsid w:val="00A91269"/>
    <w:pPr>
      <w:tabs>
        <w:tab w:val="right" w:leader="dot" w:pos="9786"/>
      </w:tabs>
      <w:spacing w:after="0" w:line="240" w:lineRule="auto"/>
      <w:jc w:val="left"/>
    </w:pPr>
    <w:rPr>
      <w:b/>
      <w:i/>
      <w:sz w:val="32"/>
      <w:szCs w:val="28"/>
    </w:rPr>
  </w:style>
  <w:style w:type="character" w:customStyle="1" w:styleId="affd">
    <w:name w:val="Цветовое выделение"/>
    <w:rsid w:val="00A91269"/>
    <w:rPr>
      <w:b/>
      <w:bCs/>
      <w:color w:val="000080"/>
      <w:sz w:val="20"/>
      <w:szCs w:val="20"/>
    </w:rPr>
  </w:style>
  <w:style w:type="paragraph" w:customStyle="1" w:styleId="19">
    <w:name w:val="Стиль ОТЧЕТ 1"/>
    <w:basedOn w:val="1a"/>
    <w:qFormat/>
    <w:rsid w:val="00A91269"/>
    <w:pPr>
      <w:tabs>
        <w:tab w:val="right" w:leader="dot" w:pos="9786"/>
      </w:tabs>
      <w:spacing w:after="0" w:line="240" w:lineRule="auto"/>
    </w:pPr>
    <w:rPr>
      <w:b/>
      <w:sz w:val="32"/>
      <w:szCs w:val="28"/>
    </w:rPr>
  </w:style>
  <w:style w:type="paragraph" w:styleId="1a">
    <w:name w:val="toc 1"/>
    <w:basedOn w:val="a"/>
    <w:next w:val="a"/>
    <w:uiPriority w:val="39"/>
    <w:unhideWhenUsed/>
    <w:qFormat/>
    <w:rsid w:val="00A91269"/>
    <w:pPr>
      <w:spacing w:after="100"/>
      <w:jc w:val="left"/>
    </w:pPr>
    <w:rPr>
      <w:sz w:val="24"/>
    </w:rPr>
  </w:style>
  <w:style w:type="character" w:styleId="affe">
    <w:name w:val="Emphasis"/>
    <w:uiPriority w:val="20"/>
    <w:qFormat/>
    <w:rsid w:val="00A91269"/>
    <w:rPr>
      <w:i/>
      <w:iCs/>
    </w:rPr>
  </w:style>
  <w:style w:type="paragraph" w:customStyle="1" w:styleId="35">
    <w:name w:val="Стиль ОТЧЕТ 3"/>
    <w:basedOn w:val="a"/>
    <w:qFormat/>
    <w:rsid w:val="00A91269"/>
    <w:pPr>
      <w:tabs>
        <w:tab w:val="right" w:leader="dot" w:pos="9786"/>
      </w:tabs>
      <w:spacing w:after="0" w:line="240" w:lineRule="auto"/>
      <w:jc w:val="left"/>
    </w:pPr>
    <w:rPr>
      <w:b/>
      <w:i/>
      <w:szCs w:val="28"/>
    </w:rPr>
  </w:style>
  <w:style w:type="character" w:customStyle="1" w:styleId="afff">
    <w:name w:val="Основной текст_"/>
    <w:basedOn w:val="a0"/>
    <w:link w:val="1b"/>
    <w:rsid w:val="00A91269"/>
    <w:rPr>
      <w:rFonts w:ascii="Times New Roman" w:hAnsi="Times New Roman"/>
      <w:sz w:val="26"/>
      <w:szCs w:val="26"/>
      <w:shd w:val="clear" w:color="auto" w:fill="FFFFFF"/>
    </w:rPr>
  </w:style>
  <w:style w:type="paragraph" w:customStyle="1" w:styleId="1b">
    <w:name w:val="Основной текст1"/>
    <w:basedOn w:val="a"/>
    <w:link w:val="afff"/>
    <w:rsid w:val="00A91269"/>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A91269"/>
    <w:pPr>
      <w:spacing w:before="100" w:beforeAutospacing="1" w:after="100" w:afterAutospacing="1" w:line="240" w:lineRule="auto"/>
      <w:jc w:val="left"/>
    </w:pPr>
    <w:rPr>
      <w:rFonts w:eastAsia="Times New Roman"/>
      <w:sz w:val="16"/>
      <w:szCs w:val="16"/>
    </w:rPr>
  </w:style>
  <w:style w:type="paragraph" w:customStyle="1" w:styleId="font6">
    <w:name w:val="font6"/>
    <w:basedOn w:val="a"/>
    <w:rsid w:val="00A91269"/>
    <w:pPr>
      <w:spacing w:before="100" w:beforeAutospacing="1" w:after="100" w:afterAutospacing="1" w:line="240" w:lineRule="auto"/>
      <w:jc w:val="left"/>
    </w:pPr>
    <w:rPr>
      <w:rFonts w:eastAsia="Times New Roman"/>
      <w:b/>
      <w:bCs/>
      <w:sz w:val="16"/>
      <w:szCs w:val="16"/>
    </w:rPr>
  </w:style>
  <w:style w:type="paragraph" w:customStyle="1" w:styleId="xl63">
    <w:name w:val="xl63"/>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64">
    <w:name w:val="xl6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65">
    <w:name w:val="xl65"/>
    <w:basedOn w:val="a"/>
    <w:rsid w:val="00A91269"/>
    <w:pPr>
      <w:pBdr>
        <w:top w:val="single" w:sz="4" w:space="0" w:color="000000"/>
        <w:left w:val="single" w:sz="4" w:space="0" w:color="000000"/>
      </w:pBdr>
      <w:spacing w:before="100" w:beforeAutospacing="1" w:after="100" w:afterAutospacing="1" w:line="240" w:lineRule="auto"/>
      <w:jc w:val="left"/>
    </w:pPr>
    <w:rPr>
      <w:rFonts w:eastAsia="Times New Roman"/>
      <w:sz w:val="16"/>
      <w:szCs w:val="16"/>
    </w:rPr>
  </w:style>
  <w:style w:type="paragraph" w:customStyle="1" w:styleId="xl66">
    <w:name w:val="xl66"/>
    <w:basedOn w:val="a"/>
    <w:rsid w:val="00A91269"/>
    <w:pPr>
      <w:pBdr>
        <w:top w:val="single" w:sz="4" w:space="0" w:color="000000"/>
      </w:pBdr>
      <w:spacing w:before="100" w:beforeAutospacing="1" w:after="100" w:afterAutospacing="1" w:line="240" w:lineRule="auto"/>
      <w:jc w:val="left"/>
    </w:pPr>
    <w:rPr>
      <w:rFonts w:eastAsia="Times New Roman"/>
      <w:sz w:val="16"/>
      <w:szCs w:val="16"/>
    </w:rPr>
  </w:style>
  <w:style w:type="paragraph" w:customStyle="1" w:styleId="xl67">
    <w:name w:val="xl67"/>
    <w:basedOn w:val="a"/>
    <w:rsid w:val="00A91269"/>
    <w:pPr>
      <w:pBdr>
        <w:top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68">
    <w:name w:val="xl68"/>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69">
    <w:name w:val="xl69"/>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0">
    <w:name w:val="xl70"/>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71">
    <w:name w:val="xl7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2">
    <w:name w:val="xl72"/>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73">
    <w:name w:val="xl73"/>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4">
    <w:name w:val="xl74"/>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5">
    <w:name w:val="xl7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6">
    <w:name w:val="xl7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7">
    <w:name w:val="xl7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78">
    <w:name w:val="xl78"/>
    <w:basedOn w:val="a"/>
    <w:rsid w:val="00A91269"/>
    <w:pPr>
      <w:spacing w:before="100" w:beforeAutospacing="1" w:after="100" w:afterAutospacing="1" w:line="240" w:lineRule="auto"/>
      <w:jc w:val="left"/>
    </w:pPr>
    <w:rPr>
      <w:rFonts w:eastAsia="Times New Roman"/>
      <w:sz w:val="16"/>
      <w:szCs w:val="16"/>
    </w:rPr>
  </w:style>
  <w:style w:type="paragraph" w:customStyle="1" w:styleId="xl79">
    <w:name w:val="xl7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0">
    <w:name w:val="xl80"/>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81">
    <w:name w:val="xl8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2">
    <w:name w:val="xl8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83">
    <w:name w:val="xl8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84">
    <w:name w:val="xl84"/>
    <w:basedOn w:val="a"/>
    <w:rsid w:val="00A91269"/>
    <w:pPr>
      <w:pBdr>
        <w:left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5">
    <w:name w:val="xl8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6">
    <w:name w:val="xl86"/>
    <w:basedOn w:val="a"/>
    <w:rsid w:val="00A91269"/>
    <w:pPr>
      <w:spacing w:before="100" w:beforeAutospacing="1" w:after="100" w:afterAutospacing="1" w:line="240" w:lineRule="auto"/>
      <w:jc w:val="left"/>
    </w:pPr>
    <w:rPr>
      <w:rFonts w:eastAsia="Times New Roman"/>
      <w:color w:val="0070C0"/>
      <w:sz w:val="20"/>
      <w:szCs w:val="20"/>
    </w:rPr>
  </w:style>
  <w:style w:type="paragraph" w:customStyle="1" w:styleId="xl87">
    <w:name w:val="xl87"/>
    <w:basedOn w:val="a"/>
    <w:rsid w:val="00A91269"/>
    <w:pPr>
      <w:spacing w:before="100" w:beforeAutospacing="1" w:after="100" w:afterAutospacing="1" w:line="240" w:lineRule="auto"/>
      <w:jc w:val="left"/>
    </w:pPr>
    <w:rPr>
      <w:rFonts w:eastAsia="Times New Roman"/>
      <w:i/>
      <w:iCs/>
      <w:color w:val="0070C0"/>
      <w:sz w:val="20"/>
      <w:szCs w:val="20"/>
    </w:rPr>
  </w:style>
  <w:style w:type="paragraph" w:customStyle="1" w:styleId="xl88">
    <w:name w:val="xl88"/>
    <w:basedOn w:val="a"/>
    <w:rsid w:val="00A91269"/>
    <w:pPr>
      <w:shd w:val="clear" w:color="000000" w:fill="DAEEF3"/>
      <w:spacing w:before="100" w:beforeAutospacing="1" w:after="100" w:afterAutospacing="1" w:line="240" w:lineRule="auto"/>
      <w:jc w:val="left"/>
    </w:pPr>
    <w:rPr>
      <w:rFonts w:eastAsia="Times New Roman"/>
      <w:color w:val="0070C0"/>
      <w:sz w:val="24"/>
    </w:rPr>
  </w:style>
  <w:style w:type="paragraph" w:customStyle="1" w:styleId="xl89">
    <w:name w:val="xl89"/>
    <w:basedOn w:val="a"/>
    <w:rsid w:val="00A91269"/>
    <w:pPr>
      <w:spacing w:before="100" w:beforeAutospacing="1" w:after="100" w:afterAutospacing="1" w:line="240" w:lineRule="auto"/>
      <w:jc w:val="left"/>
    </w:pPr>
    <w:rPr>
      <w:rFonts w:eastAsia="Times New Roman"/>
      <w:i/>
      <w:iCs/>
      <w:color w:val="00B050"/>
      <w:sz w:val="24"/>
    </w:rPr>
  </w:style>
  <w:style w:type="paragraph" w:customStyle="1" w:styleId="xl90">
    <w:name w:val="xl90"/>
    <w:basedOn w:val="a"/>
    <w:rsid w:val="00A91269"/>
    <w:pPr>
      <w:spacing w:before="100" w:beforeAutospacing="1" w:after="100" w:afterAutospacing="1" w:line="240" w:lineRule="auto"/>
      <w:jc w:val="left"/>
    </w:pPr>
    <w:rPr>
      <w:rFonts w:eastAsia="Times New Roman"/>
      <w:i/>
      <w:iCs/>
      <w:sz w:val="24"/>
    </w:rPr>
  </w:style>
  <w:style w:type="paragraph" w:customStyle="1" w:styleId="xl91">
    <w:name w:val="xl91"/>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2">
    <w:name w:val="xl9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3">
    <w:name w:val="xl9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4">
    <w:name w:val="xl9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5">
    <w:name w:val="xl95"/>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6">
    <w:name w:val="xl9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7">
    <w:name w:val="xl9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98">
    <w:name w:val="xl98"/>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99">
    <w:name w:val="xl99"/>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00">
    <w:name w:val="xl10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b/>
      <w:bCs/>
      <w:sz w:val="24"/>
    </w:rPr>
  </w:style>
  <w:style w:type="paragraph" w:customStyle="1" w:styleId="xl101">
    <w:name w:val="xl10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02">
    <w:name w:val="xl10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03">
    <w:name w:val="xl10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4">
    <w:name w:val="xl104"/>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5">
    <w:name w:val="xl105"/>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06">
    <w:name w:val="xl10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07">
    <w:name w:val="xl107"/>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sz w:val="24"/>
    </w:rPr>
  </w:style>
  <w:style w:type="paragraph" w:customStyle="1" w:styleId="xl108">
    <w:name w:val="xl108"/>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9">
    <w:name w:val="xl109"/>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10">
    <w:name w:val="xl110"/>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11">
    <w:name w:val="xl11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12">
    <w:name w:val="xl112"/>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i/>
      <w:iCs/>
      <w:sz w:val="24"/>
    </w:rPr>
  </w:style>
  <w:style w:type="paragraph" w:customStyle="1" w:styleId="xl113">
    <w:name w:val="xl11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14">
    <w:name w:val="xl114"/>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b/>
      <w:bCs/>
      <w:sz w:val="24"/>
    </w:rPr>
  </w:style>
  <w:style w:type="paragraph" w:customStyle="1" w:styleId="xl115">
    <w:name w:val="xl115"/>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sz w:val="24"/>
    </w:rPr>
  </w:style>
  <w:style w:type="paragraph" w:customStyle="1" w:styleId="xl116">
    <w:name w:val="xl11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17">
    <w:name w:val="xl11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18">
    <w:name w:val="xl11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19">
    <w:name w:val="xl119"/>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20">
    <w:name w:val="xl12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b/>
      <w:bCs/>
      <w:sz w:val="24"/>
    </w:rPr>
  </w:style>
  <w:style w:type="paragraph" w:customStyle="1" w:styleId="xl121">
    <w:name w:val="xl121"/>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22">
    <w:name w:val="xl12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23">
    <w:name w:val="xl12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24">
    <w:name w:val="xl12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25">
    <w:name w:val="xl12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4"/>
    </w:rPr>
  </w:style>
  <w:style w:type="paragraph" w:customStyle="1" w:styleId="xl126">
    <w:name w:val="xl12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4"/>
    </w:rPr>
  </w:style>
  <w:style w:type="paragraph" w:customStyle="1" w:styleId="xl127">
    <w:name w:val="xl127"/>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28">
    <w:name w:val="xl128"/>
    <w:basedOn w:val="a"/>
    <w:rsid w:val="00A91269"/>
    <w:pPr>
      <w:pBdr>
        <w:top w:val="single" w:sz="4" w:space="0" w:color="000000"/>
        <w:left w:val="single" w:sz="4" w:space="20" w:color="000000"/>
        <w:bottom w:val="single" w:sz="4" w:space="0" w:color="000000"/>
        <w:right w:val="single" w:sz="4" w:space="0" w:color="000000"/>
      </w:pBdr>
      <w:shd w:val="clear" w:color="000000" w:fill="FFFFFF"/>
      <w:spacing w:before="100" w:beforeAutospacing="1" w:after="100" w:afterAutospacing="1" w:line="240" w:lineRule="auto"/>
      <w:ind w:firstLine="300"/>
      <w:jc w:val="left"/>
    </w:pPr>
    <w:rPr>
      <w:rFonts w:eastAsia="Times New Roman"/>
      <w:sz w:val="24"/>
    </w:rPr>
  </w:style>
  <w:style w:type="paragraph" w:customStyle="1" w:styleId="xl129">
    <w:name w:val="xl12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18"/>
      <w:szCs w:val="18"/>
    </w:rPr>
  </w:style>
  <w:style w:type="paragraph" w:customStyle="1" w:styleId="xl130">
    <w:name w:val="xl130"/>
    <w:basedOn w:val="a"/>
    <w:rsid w:val="00A91269"/>
    <w:pPr>
      <w:pBdr>
        <w:top w:val="single" w:sz="4" w:space="0" w:color="000000"/>
        <w:left w:val="single" w:sz="4" w:space="31" w:color="000000"/>
        <w:bottom w:val="single" w:sz="4" w:space="0" w:color="000000"/>
        <w:right w:val="single" w:sz="4" w:space="0" w:color="000000"/>
      </w:pBdr>
      <w:shd w:val="clear" w:color="000000" w:fill="FFFFFF"/>
      <w:spacing w:before="100" w:beforeAutospacing="1" w:after="100" w:afterAutospacing="1" w:line="240" w:lineRule="auto"/>
      <w:ind w:firstLine="500"/>
      <w:jc w:val="left"/>
    </w:pPr>
    <w:rPr>
      <w:rFonts w:eastAsia="Times New Roman"/>
      <w:i/>
      <w:iCs/>
      <w:sz w:val="20"/>
      <w:szCs w:val="20"/>
    </w:rPr>
  </w:style>
  <w:style w:type="paragraph" w:customStyle="1" w:styleId="xl131">
    <w:name w:val="xl13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0"/>
      <w:szCs w:val="20"/>
    </w:rPr>
  </w:style>
  <w:style w:type="paragraph" w:customStyle="1" w:styleId="xl132">
    <w:name w:val="xl13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3">
    <w:name w:val="xl133"/>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4">
    <w:name w:val="xl134"/>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5">
    <w:name w:val="xl13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36">
    <w:name w:val="xl136"/>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37">
    <w:name w:val="xl13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38">
    <w:name w:val="xl13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39">
    <w:name w:val="xl13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40">
    <w:name w:val="xl14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41">
    <w:name w:val="xl14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42">
    <w:name w:val="xl14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43">
    <w:name w:val="xl14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44">
    <w:name w:val="xl14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0"/>
      <w:szCs w:val="20"/>
    </w:rPr>
  </w:style>
  <w:style w:type="paragraph" w:customStyle="1" w:styleId="xl145">
    <w:name w:val="xl145"/>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0"/>
      <w:szCs w:val="20"/>
    </w:rPr>
  </w:style>
  <w:style w:type="paragraph" w:customStyle="1" w:styleId="xl146">
    <w:name w:val="xl14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0"/>
      <w:szCs w:val="20"/>
    </w:rPr>
  </w:style>
  <w:style w:type="paragraph" w:customStyle="1" w:styleId="xl147">
    <w:name w:val="xl147"/>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0"/>
      <w:szCs w:val="20"/>
    </w:rPr>
  </w:style>
  <w:style w:type="paragraph" w:customStyle="1" w:styleId="xl148">
    <w:name w:val="xl14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0"/>
      <w:szCs w:val="20"/>
    </w:rPr>
  </w:style>
  <w:style w:type="paragraph" w:customStyle="1" w:styleId="xl149">
    <w:name w:val="xl14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50">
    <w:name w:val="xl15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0"/>
      <w:szCs w:val="20"/>
    </w:rPr>
  </w:style>
  <w:style w:type="paragraph" w:customStyle="1" w:styleId="xl151">
    <w:name w:val="xl151"/>
    <w:basedOn w:val="a"/>
    <w:rsid w:val="00A91269"/>
    <w:pPr>
      <w:shd w:val="clear" w:color="000000" w:fill="FFFFFF"/>
      <w:spacing w:before="100" w:beforeAutospacing="1" w:after="100" w:afterAutospacing="1" w:line="240" w:lineRule="auto"/>
      <w:jc w:val="left"/>
    </w:pPr>
    <w:rPr>
      <w:rFonts w:eastAsia="Times New Roman"/>
      <w:sz w:val="24"/>
    </w:rPr>
  </w:style>
  <w:style w:type="paragraph" w:customStyle="1" w:styleId="xl152">
    <w:name w:val="xl152"/>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3">
    <w:name w:val="xl153"/>
    <w:basedOn w:val="a"/>
    <w:rsid w:val="00A91269"/>
    <w:pPr>
      <w:pBdr>
        <w:top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4">
    <w:name w:val="xl154"/>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5">
    <w:name w:val="xl155"/>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56">
    <w:name w:val="xl156"/>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57">
    <w:name w:val="xl157"/>
    <w:basedOn w:val="a"/>
    <w:rsid w:val="00A91269"/>
    <w:pPr>
      <w:pBdr>
        <w:top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Default">
    <w:name w:val="Default"/>
    <w:rsid w:val="00A91269"/>
    <w:pPr>
      <w:spacing w:after="0" w:line="240" w:lineRule="auto"/>
    </w:pPr>
    <w:rPr>
      <w:rFonts w:ascii="Times New Roman" w:eastAsia="Times New Roman" w:hAnsi="Times New Roman" w:cs="Times New Roman"/>
      <w:color w:val="000000"/>
      <w:sz w:val="24"/>
      <w:szCs w:val="24"/>
      <w:lang w:eastAsia="ru-RU"/>
    </w:rPr>
  </w:style>
  <w:style w:type="character" w:styleId="afff0">
    <w:name w:val="annotation reference"/>
    <w:basedOn w:val="a0"/>
    <w:semiHidden/>
    <w:unhideWhenUsed/>
    <w:rsid w:val="00A91269"/>
    <w:rPr>
      <w:sz w:val="16"/>
      <w:szCs w:val="16"/>
    </w:rPr>
  </w:style>
  <w:style w:type="paragraph" w:styleId="afff1">
    <w:name w:val="annotation text"/>
    <w:basedOn w:val="a"/>
    <w:link w:val="afff2"/>
    <w:semiHidden/>
    <w:unhideWhenUsed/>
    <w:rsid w:val="00A91269"/>
    <w:pPr>
      <w:spacing w:after="200" w:line="240" w:lineRule="auto"/>
      <w:jc w:val="left"/>
    </w:pPr>
    <w:rPr>
      <w:rFonts w:asciiTheme="minorHAnsi" w:eastAsiaTheme="minorHAnsi" w:hAnsiTheme="minorHAnsi" w:cstheme="minorBidi"/>
      <w:sz w:val="20"/>
      <w:szCs w:val="20"/>
      <w:lang w:eastAsia="en-US"/>
    </w:rPr>
  </w:style>
  <w:style w:type="character" w:customStyle="1" w:styleId="afff2">
    <w:name w:val="Текст примечания Знак"/>
    <w:basedOn w:val="a0"/>
    <w:link w:val="afff1"/>
    <w:semiHidden/>
    <w:rsid w:val="00A91269"/>
    <w:rPr>
      <w:sz w:val="20"/>
      <w:szCs w:val="20"/>
    </w:rPr>
  </w:style>
  <w:style w:type="paragraph" w:styleId="afff3">
    <w:name w:val="annotation subject"/>
    <w:basedOn w:val="afff1"/>
    <w:next w:val="afff1"/>
    <w:link w:val="afff4"/>
    <w:semiHidden/>
    <w:unhideWhenUsed/>
    <w:rsid w:val="00A91269"/>
    <w:rPr>
      <w:b/>
      <w:bCs/>
    </w:rPr>
  </w:style>
  <w:style w:type="character" w:customStyle="1" w:styleId="afff4">
    <w:name w:val="Тема примечания Знак"/>
    <w:basedOn w:val="afff2"/>
    <w:link w:val="afff3"/>
    <w:semiHidden/>
    <w:rsid w:val="00A91269"/>
    <w:rPr>
      <w:b/>
      <w:bCs/>
      <w:sz w:val="20"/>
      <w:szCs w:val="20"/>
    </w:rPr>
  </w:style>
  <w:style w:type="character" w:customStyle="1" w:styleId="af">
    <w:name w:val="Абзац списка Знак"/>
    <w:link w:val="ae"/>
    <w:uiPriority w:val="34"/>
    <w:locked/>
    <w:rsid w:val="00585C99"/>
    <w:rPr>
      <w:rFonts w:ascii="Calibri" w:eastAsia="Times New Roman" w:hAnsi="Calibri" w:cs="Times New Roman"/>
    </w:rPr>
  </w:style>
  <w:style w:type="paragraph" w:customStyle="1" w:styleId="Textbody">
    <w:name w:val="Text body"/>
    <w:basedOn w:val="a"/>
    <w:rsid w:val="00777DCF"/>
    <w:pPr>
      <w:autoSpaceDN w:val="0"/>
      <w:spacing w:after="140" w:line="288" w:lineRule="auto"/>
      <w:jc w:val="left"/>
    </w:pPr>
    <w:rPr>
      <w:rFonts w:ascii="Calibri" w:eastAsia="Times New Roman" w:hAnsi="Calibri"/>
      <w:sz w:val="20"/>
      <w:szCs w:val="20"/>
    </w:rPr>
  </w:style>
  <w:style w:type="character" w:customStyle="1" w:styleId="fio2">
    <w:name w:val="fio2"/>
    <w:basedOn w:val="a0"/>
    <w:rsid w:val="00777DCF"/>
  </w:style>
  <w:style w:type="character" w:customStyle="1" w:styleId="nomer2">
    <w:name w:val="nomer2"/>
    <w:basedOn w:val="a0"/>
    <w:rsid w:val="00777DCF"/>
  </w:style>
  <w:style w:type="character" w:customStyle="1" w:styleId="data2">
    <w:name w:val="data2"/>
    <w:basedOn w:val="a0"/>
    <w:rsid w:val="00777DCF"/>
  </w:style>
  <w:style w:type="character" w:customStyle="1" w:styleId="Bodytext2">
    <w:name w:val="Body text (2)_"/>
    <w:link w:val="Bodytext20"/>
    <w:rsid w:val="00777DCF"/>
    <w:rPr>
      <w:sz w:val="114"/>
      <w:szCs w:val="114"/>
      <w:shd w:val="clear" w:color="auto" w:fill="FFFFFF"/>
    </w:rPr>
  </w:style>
  <w:style w:type="paragraph" w:customStyle="1" w:styleId="Bodytext20">
    <w:name w:val="Body text (2)"/>
    <w:basedOn w:val="a"/>
    <w:link w:val="Bodytext2"/>
    <w:rsid w:val="00777DCF"/>
    <w:pPr>
      <w:widowControl w:val="0"/>
      <w:shd w:val="clear" w:color="auto" w:fill="FFFFFF"/>
      <w:spacing w:after="900" w:line="1330" w:lineRule="exact"/>
      <w:jc w:val="left"/>
    </w:pPr>
    <w:rPr>
      <w:rFonts w:asciiTheme="minorHAnsi" w:eastAsiaTheme="minorHAnsi" w:hAnsiTheme="minorHAnsi" w:cstheme="minorBidi"/>
      <w:sz w:val="114"/>
      <w:szCs w:val="114"/>
      <w:lang w:eastAsia="en-US"/>
    </w:rPr>
  </w:style>
  <w:style w:type="character" w:customStyle="1" w:styleId="Bodytext2Exact">
    <w:name w:val="Body text (2) Exact"/>
    <w:rsid w:val="00777DCF"/>
    <w:rPr>
      <w:rFonts w:ascii="Times New Roman" w:eastAsia="Times New Roman" w:hAnsi="Times New Roman" w:cs="Times New Roman"/>
      <w:b w:val="0"/>
      <w:bCs w:val="0"/>
      <w:i w:val="0"/>
      <w:iCs w:val="0"/>
      <w:smallCaps w:val="0"/>
      <w:strike w:val="0"/>
      <w:sz w:val="114"/>
      <w:szCs w:val="114"/>
      <w:u w:val="none"/>
    </w:rPr>
  </w:style>
  <w:style w:type="character" w:customStyle="1" w:styleId="Bodytext6">
    <w:name w:val="Body text (6)_"/>
    <w:link w:val="Bodytext60"/>
    <w:rsid w:val="00777DCF"/>
    <w:rPr>
      <w:rFonts w:ascii="Arial" w:eastAsia="Arial" w:hAnsi="Arial" w:cs="Arial"/>
      <w:i/>
      <w:iCs/>
      <w:sz w:val="17"/>
      <w:szCs w:val="17"/>
      <w:shd w:val="clear" w:color="auto" w:fill="FFFFFF"/>
    </w:rPr>
  </w:style>
  <w:style w:type="paragraph" w:customStyle="1" w:styleId="Bodytext60">
    <w:name w:val="Body text (6)"/>
    <w:basedOn w:val="a"/>
    <w:link w:val="Bodytext6"/>
    <w:rsid w:val="00777DCF"/>
    <w:pPr>
      <w:widowControl w:val="0"/>
      <w:shd w:val="clear" w:color="auto" w:fill="FFFFFF"/>
      <w:spacing w:after="0" w:line="0" w:lineRule="atLeast"/>
      <w:jc w:val="left"/>
    </w:pPr>
    <w:rPr>
      <w:rFonts w:ascii="Arial" w:eastAsia="Arial" w:hAnsi="Arial" w:cs="Arial"/>
      <w:i/>
      <w:iCs/>
      <w:sz w:val="17"/>
      <w:szCs w:val="17"/>
      <w:lang w:eastAsia="en-US"/>
    </w:rPr>
  </w:style>
  <w:style w:type="character" w:customStyle="1" w:styleId="blk">
    <w:name w:val="blk"/>
    <w:basedOn w:val="a0"/>
    <w:rsid w:val="00777DCF"/>
  </w:style>
  <w:style w:type="character" w:customStyle="1" w:styleId="s10">
    <w:name w:val="s_10"/>
    <w:rsid w:val="00777DC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page number" w:uiPriority="0"/>
    <w:lsdException w:name="List 2"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Зоголовок 2"/>
    <w:qFormat/>
    <w:rsid w:val="00A712E1"/>
    <w:pPr>
      <w:spacing w:after="120"/>
      <w:jc w:val="center"/>
    </w:pPr>
    <w:rPr>
      <w:rFonts w:ascii="Times New Roman" w:eastAsia="MS Mincho" w:hAnsi="Times New Roman" w:cs="Times New Roman"/>
      <w:sz w:val="28"/>
      <w:szCs w:val="24"/>
      <w:lang w:eastAsia="ru-RU"/>
    </w:rPr>
  </w:style>
  <w:style w:type="paragraph" w:styleId="1">
    <w:name w:val="heading 1"/>
    <w:basedOn w:val="a"/>
    <w:next w:val="a"/>
    <w:link w:val="10"/>
    <w:qFormat/>
    <w:rsid w:val="00A712E1"/>
    <w:pPr>
      <w:keepNext/>
      <w:spacing w:after="0" w:line="240" w:lineRule="auto"/>
      <w:ind w:firstLine="720"/>
      <w:jc w:val="both"/>
      <w:outlineLvl w:val="0"/>
    </w:pPr>
    <w:rPr>
      <w:rFonts w:eastAsia="Times New Roman"/>
      <w:szCs w:val="20"/>
      <w:u w:val="single"/>
    </w:rPr>
  </w:style>
  <w:style w:type="paragraph" w:styleId="2">
    <w:name w:val="heading 2"/>
    <w:basedOn w:val="a"/>
    <w:next w:val="a"/>
    <w:link w:val="20"/>
    <w:unhideWhenUsed/>
    <w:qFormat/>
    <w:rsid w:val="00A712E1"/>
    <w:pPr>
      <w:keepNext/>
      <w:keepLines/>
      <w:spacing w:before="200" w:after="0"/>
      <w:jc w:val="left"/>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link w:val="30"/>
    <w:uiPriority w:val="9"/>
    <w:qFormat/>
    <w:rsid w:val="00A91269"/>
    <w:pPr>
      <w:spacing w:before="100" w:beforeAutospacing="1" w:after="100" w:afterAutospacing="1" w:line="240" w:lineRule="auto"/>
      <w:jc w:val="left"/>
      <w:outlineLvl w:val="2"/>
    </w:pPr>
    <w:rPr>
      <w:rFonts w:eastAsia="Times New Roman"/>
      <w:b/>
      <w:bCs/>
      <w:sz w:val="27"/>
      <w:szCs w:val="27"/>
    </w:rPr>
  </w:style>
  <w:style w:type="paragraph" w:styleId="4">
    <w:name w:val="heading 4"/>
    <w:basedOn w:val="a"/>
    <w:next w:val="a"/>
    <w:link w:val="40"/>
    <w:qFormat/>
    <w:rsid w:val="00A712E1"/>
    <w:pPr>
      <w:keepNext/>
      <w:spacing w:before="240" w:after="0" w:line="240" w:lineRule="auto"/>
      <w:ind w:firstLine="708"/>
      <w:jc w:val="both"/>
      <w:outlineLvl w:val="3"/>
    </w:pPr>
    <w:rPr>
      <w:rFonts w:eastAsia="Calibri"/>
      <w:b/>
      <w:bCs/>
      <w:szCs w:val="28"/>
    </w:rPr>
  </w:style>
  <w:style w:type="paragraph" w:styleId="5">
    <w:name w:val="heading 5"/>
    <w:basedOn w:val="a"/>
    <w:next w:val="a"/>
    <w:link w:val="50"/>
    <w:uiPriority w:val="9"/>
    <w:unhideWhenUsed/>
    <w:qFormat/>
    <w:rsid w:val="00A91269"/>
    <w:pPr>
      <w:keepNext/>
      <w:keepLines/>
      <w:spacing w:before="320" w:after="200"/>
      <w:jc w:val="left"/>
      <w:outlineLvl w:val="4"/>
    </w:pPr>
    <w:rPr>
      <w:rFonts w:ascii="Arial" w:eastAsia="Arial" w:hAnsi="Arial" w:cs="Arial"/>
      <w:b/>
      <w:bCs/>
      <w:sz w:val="24"/>
    </w:rPr>
  </w:style>
  <w:style w:type="paragraph" w:styleId="6">
    <w:name w:val="heading 6"/>
    <w:basedOn w:val="a"/>
    <w:next w:val="a"/>
    <w:link w:val="60"/>
    <w:uiPriority w:val="9"/>
    <w:unhideWhenUsed/>
    <w:qFormat/>
    <w:rsid w:val="00A91269"/>
    <w:pPr>
      <w:keepNext/>
      <w:keepLines/>
      <w:spacing w:before="320" w:after="200"/>
      <w:jc w:val="left"/>
      <w:outlineLvl w:val="5"/>
    </w:pPr>
    <w:rPr>
      <w:rFonts w:ascii="Arial" w:eastAsia="Arial" w:hAnsi="Arial" w:cs="Arial"/>
      <w:b/>
      <w:bCs/>
      <w:sz w:val="22"/>
      <w:szCs w:val="22"/>
    </w:rPr>
  </w:style>
  <w:style w:type="paragraph" w:styleId="7">
    <w:name w:val="heading 7"/>
    <w:basedOn w:val="a"/>
    <w:next w:val="a"/>
    <w:link w:val="70"/>
    <w:uiPriority w:val="9"/>
    <w:unhideWhenUsed/>
    <w:qFormat/>
    <w:rsid w:val="00A91269"/>
    <w:pPr>
      <w:keepNext/>
      <w:keepLines/>
      <w:spacing w:before="320" w:after="200"/>
      <w:jc w:val="left"/>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A91269"/>
    <w:pPr>
      <w:keepNext/>
      <w:keepLines/>
      <w:spacing w:before="320" w:after="200"/>
      <w:jc w:val="left"/>
      <w:outlineLvl w:val="7"/>
    </w:pPr>
    <w:rPr>
      <w:rFonts w:ascii="Arial" w:eastAsia="Arial" w:hAnsi="Arial" w:cs="Arial"/>
      <w:i/>
      <w:iCs/>
      <w:sz w:val="22"/>
      <w:szCs w:val="22"/>
    </w:rPr>
  </w:style>
  <w:style w:type="paragraph" w:styleId="9">
    <w:name w:val="heading 9"/>
    <w:basedOn w:val="a"/>
    <w:next w:val="a"/>
    <w:link w:val="90"/>
    <w:uiPriority w:val="9"/>
    <w:unhideWhenUsed/>
    <w:qFormat/>
    <w:rsid w:val="00A91269"/>
    <w:pPr>
      <w:keepNext/>
      <w:keepLines/>
      <w:spacing w:before="320" w:after="200"/>
      <w:jc w:val="left"/>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A712E1"/>
    <w:rPr>
      <w:rFonts w:ascii="Times New Roman" w:eastAsia="Calibri" w:hAnsi="Times New Roman" w:cs="Times New Roman"/>
      <w:b/>
      <w:bCs/>
      <w:sz w:val="28"/>
      <w:szCs w:val="28"/>
      <w:lang w:eastAsia="ru-RU"/>
    </w:rPr>
  </w:style>
  <w:style w:type="character" w:styleId="a3">
    <w:name w:val="Hyperlink"/>
    <w:basedOn w:val="a0"/>
    <w:uiPriority w:val="99"/>
    <w:unhideWhenUsed/>
    <w:rsid w:val="00A712E1"/>
    <w:rPr>
      <w:color w:val="0000FF" w:themeColor="hyperlink"/>
      <w:u w:val="single"/>
    </w:rPr>
  </w:style>
  <w:style w:type="paragraph" w:customStyle="1" w:styleId="20231">
    <w:name w:val="Отчет 2023 1"/>
    <w:basedOn w:val="a"/>
    <w:link w:val="202310"/>
    <w:autoRedefine/>
    <w:qFormat/>
    <w:rsid w:val="00E231C8"/>
    <w:pPr>
      <w:tabs>
        <w:tab w:val="right" w:leader="dot" w:pos="9786"/>
      </w:tabs>
      <w:spacing w:after="0" w:line="240" w:lineRule="auto"/>
    </w:pPr>
    <w:rPr>
      <w:b/>
      <w:noProof/>
      <w:sz w:val="32"/>
      <w:szCs w:val="32"/>
    </w:rPr>
  </w:style>
  <w:style w:type="character" w:customStyle="1" w:styleId="202310">
    <w:name w:val="Отчет 2023 1 Знак"/>
    <w:basedOn w:val="a0"/>
    <w:link w:val="20231"/>
    <w:rsid w:val="00E231C8"/>
    <w:rPr>
      <w:rFonts w:ascii="Times New Roman" w:eastAsia="MS Mincho" w:hAnsi="Times New Roman" w:cs="Times New Roman"/>
      <w:b/>
      <w:noProof/>
      <w:sz w:val="32"/>
      <w:szCs w:val="32"/>
      <w:lang w:eastAsia="ru-RU"/>
    </w:rPr>
  </w:style>
  <w:style w:type="character" w:styleId="a4">
    <w:name w:val="FollowedHyperlink"/>
    <w:basedOn w:val="a0"/>
    <w:unhideWhenUsed/>
    <w:rsid w:val="00A712E1"/>
    <w:rPr>
      <w:color w:val="800080" w:themeColor="followedHyperlink"/>
      <w:u w:val="single"/>
    </w:rPr>
  </w:style>
  <w:style w:type="character" w:customStyle="1" w:styleId="10">
    <w:name w:val="Заголовок 1 Знак"/>
    <w:basedOn w:val="a0"/>
    <w:link w:val="1"/>
    <w:rsid w:val="00A712E1"/>
    <w:rPr>
      <w:rFonts w:ascii="Times New Roman" w:eastAsia="Times New Roman" w:hAnsi="Times New Roman" w:cs="Times New Roman"/>
      <w:sz w:val="28"/>
      <w:szCs w:val="20"/>
      <w:u w:val="single"/>
      <w:lang w:eastAsia="ru-RU"/>
    </w:rPr>
  </w:style>
  <w:style w:type="character" w:customStyle="1" w:styleId="20">
    <w:name w:val="Заголовок 2 Знак"/>
    <w:basedOn w:val="a0"/>
    <w:link w:val="2"/>
    <w:rsid w:val="00A712E1"/>
    <w:rPr>
      <w:rFonts w:asciiTheme="majorHAnsi" w:eastAsiaTheme="majorEastAsia" w:hAnsiTheme="majorHAnsi" w:cstheme="majorBidi"/>
      <w:b/>
      <w:bCs/>
      <w:color w:val="4F81BD" w:themeColor="accent1"/>
      <w:sz w:val="26"/>
      <w:szCs w:val="26"/>
    </w:rPr>
  </w:style>
  <w:style w:type="paragraph" w:styleId="a5">
    <w:name w:val="Balloon Text"/>
    <w:basedOn w:val="a"/>
    <w:link w:val="a6"/>
    <w:unhideWhenUsed/>
    <w:rsid w:val="00A712E1"/>
    <w:pPr>
      <w:spacing w:after="0" w:line="240" w:lineRule="auto"/>
      <w:jc w:val="left"/>
    </w:pPr>
    <w:rPr>
      <w:rFonts w:ascii="Tahoma" w:eastAsiaTheme="minorHAnsi" w:hAnsi="Tahoma" w:cs="Tahoma"/>
      <w:sz w:val="16"/>
      <w:szCs w:val="16"/>
      <w:lang w:eastAsia="en-US"/>
    </w:rPr>
  </w:style>
  <w:style w:type="character" w:customStyle="1" w:styleId="a6">
    <w:name w:val="Текст выноски Знак"/>
    <w:basedOn w:val="a0"/>
    <w:link w:val="a5"/>
    <w:rsid w:val="00A712E1"/>
    <w:rPr>
      <w:rFonts w:ascii="Tahoma" w:hAnsi="Tahoma" w:cs="Tahoma"/>
      <w:sz w:val="16"/>
      <w:szCs w:val="16"/>
    </w:rPr>
  </w:style>
  <w:style w:type="numbering" w:customStyle="1" w:styleId="11">
    <w:name w:val="Нет списка1"/>
    <w:next w:val="a2"/>
    <w:uiPriority w:val="99"/>
    <w:semiHidden/>
    <w:unhideWhenUsed/>
    <w:rsid w:val="00A712E1"/>
  </w:style>
  <w:style w:type="paragraph" w:styleId="a7">
    <w:name w:val="Body Text"/>
    <w:basedOn w:val="a"/>
    <w:link w:val="a8"/>
    <w:rsid w:val="00A712E1"/>
    <w:pPr>
      <w:spacing w:after="0" w:line="240" w:lineRule="auto"/>
      <w:jc w:val="both"/>
    </w:pPr>
    <w:rPr>
      <w:rFonts w:eastAsia="Times New Roman"/>
    </w:rPr>
  </w:style>
  <w:style w:type="character" w:customStyle="1" w:styleId="a8">
    <w:name w:val="Основной текст Знак"/>
    <w:basedOn w:val="a0"/>
    <w:link w:val="a7"/>
    <w:rsid w:val="00A712E1"/>
    <w:rPr>
      <w:rFonts w:ascii="Times New Roman" w:eastAsia="Times New Roman" w:hAnsi="Times New Roman" w:cs="Times New Roman"/>
      <w:sz w:val="28"/>
      <w:szCs w:val="24"/>
      <w:lang w:eastAsia="ru-RU"/>
    </w:rPr>
  </w:style>
  <w:style w:type="paragraph" w:styleId="21">
    <w:name w:val="Body Text Indent 2"/>
    <w:basedOn w:val="a"/>
    <w:link w:val="22"/>
    <w:uiPriority w:val="99"/>
    <w:rsid w:val="00A712E1"/>
    <w:pPr>
      <w:spacing w:line="480" w:lineRule="auto"/>
      <w:ind w:left="283"/>
      <w:jc w:val="left"/>
    </w:pPr>
    <w:rPr>
      <w:rFonts w:eastAsia="Times New Roman"/>
      <w:sz w:val="24"/>
    </w:rPr>
  </w:style>
  <w:style w:type="character" w:customStyle="1" w:styleId="22">
    <w:name w:val="Основной текст с отступом 2 Знак"/>
    <w:basedOn w:val="a0"/>
    <w:link w:val="21"/>
    <w:uiPriority w:val="99"/>
    <w:rsid w:val="00A712E1"/>
    <w:rPr>
      <w:rFonts w:ascii="Times New Roman" w:eastAsia="Times New Roman" w:hAnsi="Times New Roman" w:cs="Times New Roman"/>
      <w:sz w:val="24"/>
      <w:szCs w:val="24"/>
      <w:lang w:eastAsia="ru-RU"/>
    </w:rPr>
  </w:style>
  <w:style w:type="paragraph" w:styleId="a9">
    <w:name w:val="Body Text Indent"/>
    <w:basedOn w:val="a"/>
    <w:link w:val="aa"/>
    <w:rsid w:val="00A712E1"/>
    <w:pPr>
      <w:spacing w:line="240" w:lineRule="auto"/>
      <w:ind w:left="283"/>
      <w:jc w:val="left"/>
    </w:pPr>
    <w:rPr>
      <w:rFonts w:eastAsia="Times New Roman"/>
      <w:sz w:val="24"/>
    </w:rPr>
  </w:style>
  <w:style w:type="character" w:customStyle="1" w:styleId="aa">
    <w:name w:val="Основной текст с отступом Знак"/>
    <w:basedOn w:val="a0"/>
    <w:link w:val="a9"/>
    <w:rsid w:val="00A712E1"/>
    <w:rPr>
      <w:rFonts w:ascii="Times New Roman" w:eastAsia="Times New Roman" w:hAnsi="Times New Roman" w:cs="Times New Roman"/>
      <w:sz w:val="24"/>
      <w:szCs w:val="24"/>
      <w:lang w:eastAsia="ru-RU"/>
    </w:rPr>
  </w:style>
  <w:style w:type="paragraph" w:styleId="ab">
    <w:name w:val="header"/>
    <w:basedOn w:val="a"/>
    <w:link w:val="ac"/>
    <w:uiPriority w:val="99"/>
    <w:rsid w:val="00A712E1"/>
    <w:pPr>
      <w:tabs>
        <w:tab w:val="center" w:pos="4153"/>
        <w:tab w:val="right" w:pos="8306"/>
      </w:tabs>
      <w:spacing w:after="0" w:line="240" w:lineRule="auto"/>
      <w:jc w:val="left"/>
    </w:pPr>
    <w:rPr>
      <w:rFonts w:eastAsia="Times New Roman"/>
      <w:szCs w:val="20"/>
    </w:rPr>
  </w:style>
  <w:style w:type="character" w:customStyle="1" w:styleId="ac">
    <w:name w:val="Верхний колонтитул Знак"/>
    <w:basedOn w:val="a0"/>
    <w:link w:val="ab"/>
    <w:uiPriority w:val="99"/>
    <w:rsid w:val="00A712E1"/>
    <w:rPr>
      <w:rFonts w:ascii="Times New Roman" w:eastAsia="Times New Roman" w:hAnsi="Times New Roman" w:cs="Times New Roman"/>
      <w:sz w:val="28"/>
      <w:szCs w:val="20"/>
      <w:lang w:eastAsia="ru-RU"/>
    </w:rPr>
  </w:style>
  <w:style w:type="paragraph" w:styleId="23">
    <w:name w:val="Body Text 2"/>
    <w:basedOn w:val="a"/>
    <w:link w:val="24"/>
    <w:uiPriority w:val="99"/>
    <w:rsid w:val="00A712E1"/>
    <w:pPr>
      <w:spacing w:line="480" w:lineRule="auto"/>
      <w:jc w:val="left"/>
    </w:pPr>
    <w:rPr>
      <w:rFonts w:eastAsia="Times New Roman"/>
      <w:sz w:val="24"/>
    </w:rPr>
  </w:style>
  <w:style w:type="character" w:customStyle="1" w:styleId="24">
    <w:name w:val="Основной текст 2 Знак"/>
    <w:basedOn w:val="a0"/>
    <w:link w:val="23"/>
    <w:uiPriority w:val="99"/>
    <w:rsid w:val="00A712E1"/>
    <w:rPr>
      <w:rFonts w:ascii="Times New Roman" w:eastAsia="Times New Roman" w:hAnsi="Times New Roman" w:cs="Times New Roman"/>
      <w:sz w:val="24"/>
      <w:szCs w:val="24"/>
      <w:lang w:eastAsia="ru-RU"/>
    </w:rPr>
  </w:style>
  <w:style w:type="paragraph" w:styleId="25">
    <w:name w:val="List 2"/>
    <w:basedOn w:val="a"/>
    <w:rsid w:val="00A712E1"/>
    <w:pPr>
      <w:spacing w:after="0" w:line="240" w:lineRule="auto"/>
      <w:ind w:left="566" w:hanging="283"/>
      <w:jc w:val="left"/>
    </w:pPr>
    <w:rPr>
      <w:rFonts w:eastAsia="Times New Roman"/>
      <w:sz w:val="20"/>
      <w:szCs w:val="20"/>
    </w:rPr>
  </w:style>
  <w:style w:type="paragraph" w:styleId="31">
    <w:name w:val="Body Text Indent 3"/>
    <w:basedOn w:val="a"/>
    <w:link w:val="32"/>
    <w:uiPriority w:val="99"/>
    <w:rsid w:val="00A712E1"/>
    <w:pPr>
      <w:spacing w:line="240" w:lineRule="auto"/>
      <w:ind w:left="283"/>
      <w:jc w:val="left"/>
    </w:pPr>
    <w:rPr>
      <w:rFonts w:eastAsia="Times New Roman"/>
      <w:sz w:val="16"/>
      <w:szCs w:val="16"/>
    </w:rPr>
  </w:style>
  <w:style w:type="character" w:customStyle="1" w:styleId="32">
    <w:name w:val="Основной текст с отступом 3 Знак"/>
    <w:basedOn w:val="a0"/>
    <w:link w:val="31"/>
    <w:uiPriority w:val="99"/>
    <w:rsid w:val="00A712E1"/>
    <w:rPr>
      <w:rFonts w:ascii="Times New Roman" w:eastAsia="Times New Roman" w:hAnsi="Times New Roman" w:cs="Times New Roman"/>
      <w:sz w:val="16"/>
      <w:szCs w:val="16"/>
      <w:lang w:eastAsia="ru-RU"/>
    </w:rPr>
  </w:style>
  <w:style w:type="paragraph" w:customStyle="1" w:styleId="ConsPlusNormal">
    <w:name w:val="ConsPlusNormal"/>
    <w:qFormat/>
    <w:rsid w:val="00A712E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Strong"/>
    <w:basedOn w:val="a0"/>
    <w:uiPriority w:val="22"/>
    <w:qFormat/>
    <w:rsid w:val="00A712E1"/>
    <w:rPr>
      <w:rFonts w:cs="Times New Roman"/>
      <w:b/>
      <w:bCs/>
    </w:rPr>
  </w:style>
  <w:style w:type="paragraph" w:customStyle="1" w:styleId="ConsPlusTitle">
    <w:name w:val="ConsPlusTitle"/>
    <w:rsid w:val="00A712E1"/>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A712E1"/>
    <w:pPr>
      <w:autoSpaceDE w:val="0"/>
      <w:autoSpaceDN w:val="0"/>
      <w:adjustRightInd w:val="0"/>
      <w:spacing w:after="0" w:line="240" w:lineRule="auto"/>
    </w:pPr>
    <w:rPr>
      <w:rFonts w:ascii="Arial" w:eastAsia="Times New Roman" w:hAnsi="Arial" w:cs="Arial"/>
      <w:sz w:val="20"/>
      <w:szCs w:val="20"/>
      <w:lang w:eastAsia="ru-RU"/>
    </w:rPr>
  </w:style>
  <w:style w:type="paragraph" w:styleId="ae">
    <w:name w:val="List Paragraph"/>
    <w:basedOn w:val="a"/>
    <w:link w:val="af"/>
    <w:uiPriority w:val="34"/>
    <w:qFormat/>
    <w:rsid w:val="00A712E1"/>
    <w:pPr>
      <w:spacing w:after="200"/>
      <w:ind w:left="720"/>
      <w:contextualSpacing/>
      <w:jc w:val="left"/>
    </w:pPr>
    <w:rPr>
      <w:rFonts w:ascii="Calibri" w:eastAsia="Times New Roman" w:hAnsi="Calibri"/>
      <w:sz w:val="22"/>
      <w:szCs w:val="22"/>
      <w:lang w:eastAsia="en-US"/>
    </w:rPr>
  </w:style>
  <w:style w:type="paragraph" w:customStyle="1" w:styleId="12">
    <w:name w:val="Абзац списка1"/>
    <w:basedOn w:val="a"/>
    <w:rsid w:val="00A712E1"/>
    <w:pPr>
      <w:spacing w:after="0" w:line="240" w:lineRule="auto"/>
      <w:ind w:left="720"/>
      <w:contextualSpacing/>
      <w:jc w:val="left"/>
    </w:pPr>
    <w:rPr>
      <w:rFonts w:eastAsia="Times New Roman"/>
      <w:sz w:val="20"/>
      <w:szCs w:val="20"/>
    </w:rPr>
  </w:style>
  <w:style w:type="paragraph" w:customStyle="1" w:styleId="-12">
    <w:name w:val="Цветной список - Акцент 12"/>
    <w:basedOn w:val="a"/>
    <w:uiPriority w:val="34"/>
    <w:qFormat/>
    <w:rsid w:val="00A712E1"/>
    <w:pPr>
      <w:spacing w:after="200"/>
      <w:ind w:left="720"/>
      <w:contextualSpacing/>
      <w:jc w:val="left"/>
    </w:pPr>
    <w:rPr>
      <w:rFonts w:ascii="Calibri" w:eastAsia="Times New Roman" w:hAnsi="Calibri"/>
      <w:sz w:val="22"/>
      <w:szCs w:val="22"/>
      <w:lang w:eastAsia="en-US"/>
    </w:rPr>
  </w:style>
  <w:style w:type="paragraph" w:styleId="af0">
    <w:name w:val="Title"/>
    <w:basedOn w:val="a"/>
    <w:link w:val="af1"/>
    <w:uiPriority w:val="99"/>
    <w:qFormat/>
    <w:rsid w:val="00A712E1"/>
    <w:pPr>
      <w:spacing w:after="0" w:line="240" w:lineRule="auto"/>
    </w:pPr>
    <w:rPr>
      <w:rFonts w:eastAsia="Times New Roman"/>
      <w:b/>
      <w:bCs/>
      <w:sz w:val="24"/>
    </w:rPr>
  </w:style>
  <w:style w:type="character" w:customStyle="1" w:styleId="af1">
    <w:name w:val="Название Знак"/>
    <w:basedOn w:val="a0"/>
    <w:link w:val="af0"/>
    <w:uiPriority w:val="99"/>
    <w:rsid w:val="00A712E1"/>
    <w:rPr>
      <w:rFonts w:ascii="Times New Roman" w:eastAsia="Times New Roman" w:hAnsi="Times New Roman" w:cs="Times New Roman"/>
      <w:b/>
      <w:bCs/>
      <w:sz w:val="24"/>
      <w:szCs w:val="24"/>
      <w:lang w:eastAsia="ru-RU"/>
    </w:rPr>
  </w:style>
  <w:style w:type="table" w:styleId="af2">
    <w:name w:val="Table Grid"/>
    <w:basedOn w:val="a1"/>
    <w:uiPriority w:val="59"/>
    <w:rsid w:val="00A712E1"/>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footer"/>
    <w:basedOn w:val="a"/>
    <w:link w:val="af4"/>
    <w:uiPriority w:val="99"/>
    <w:rsid w:val="00A712E1"/>
    <w:pPr>
      <w:tabs>
        <w:tab w:val="center" w:pos="4677"/>
        <w:tab w:val="right" w:pos="9355"/>
      </w:tabs>
      <w:spacing w:after="0" w:line="240" w:lineRule="auto"/>
      <w:jc w:val="left"/>
    </w:pPr>
    <w:rPr>
      <w:rFonts w:eastAsia="Times New Roman"/>
      <w:sz w:val="24"/>
    </w:rPr>
  </w:style>
  <w:style w:type="character" w:customStyle="1" w:styleId="af4">
    <w:name w:val="Нижний колонтитул Знак"/>
    <w:basedOn w:val="a0"/>
    <w:link w:val="af3"/>
    <w:uiPriority w:val="99"/>
    <w:rsid w:val="00A712E1"/>
    <w:rPr>
      <w:rFonts w:ascii="Times New Roman" w:eastAsia="Times New Roman" w:hAnsi="Times New Roman" w:cs="Times New Roman"/>
      <w:sz w:val="24"/>
      <w:szCs w:val="24"/>
      <w:lang w:eastAsia="ru-RU"/>
    </w:rPr>
  </w:style>
  <w:style w:type="paragraph" w:customStyle="1" w:styleId="af5">
    <w:name w:val="Стиль второй"/>
    <w:basedOn w:val="a"/>
    <w:link w:val="af6"/>
    <w:autoRedefine/>
    <w:qFormat/>
    <w:rsid w:val="00A712E1"/>
    <w:pPr>
      <w:tabs>
        <w:tab w:val="right" w:leader="dot" w:pos="9786"/>
      </w:tabs>
      <w:spacing w:after="0" w:line="240" w:lineRule="auto"/>
      <w:jc w:val="left"/>
    </w:pPr>
    <w:rPr>
      <w:b/>
      <w:noProof/>
      <w:szCs w:val="27"/>
    </w:rPr>
  </w:style>
  <w:style w:type="paragraph" w:styleId="af7">
    <w:name w:val="Normal (Web)"/>
    <w:basedOn w:val="a"/>
    <w:uiPriority w:val="99"/>
    <w:unhideWhenUsed/>
    <w:rsid w:val="00A712E1"/>
    <w:pPr>
      <w:spacing w:before="100" w:beforeAutospacing="1" w:after="100" w:afterAutospacing="1" w:line="240" w:lineRule="auto"/>
      <w:jc w:val="left"/>
    </w:pPr>
    <w:rPr>
      <w:rFonts w:eastAsia="Times New Roman"/>
      <w:sz w:val="24"/>
    </w:rPr>
  </w:style>
  <w:style w:type="paragraph" w:customStyle="1" w:styleId="af8">
    <w:name w:val="Знак"/>
    <w:basedOn w:val="a"/>
    <w:autoRedefine/>
    <w:rsid w:val="00A712E1"/>
    <w:pPr>
      <w:spacing w:after="160" w:line="240" w:lineRule="exact"/>
      <w:ind w:left="26"/>
      <w:jc w:val="left"/>
    </w:pPr>
    <w:rPr>
      <w:rFonts w:eastAsia="Times New Roman"/>
      <w:sz w:val="24"/>
      <w:lang w:val="en-US" w:eastAsia="en-US"/>
    </w:rPr>
  </w:style>
  <w:style w:type="paragraph" w:customStyle="1" w:styleId="ConsPlusNonformat">
    <w:name w:val="ConsPlusNonformat"/>
    <w:rsid w:val="00A712E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9">
    <w:name w:val="No Spacing"/>
    <w:link w:val="afa"/>
    <w:uiPriority w:val="1"/>
    <w:qFormat/>
    <w:rsid w:val="00A712E1"/>
    <w:pPr>
      <w:spacing w:after="0" w:line="240" w:lineRule="auto"/>
    </w:pPr>
    <w:rPr>
      <w:rFonts w:ascii="Calibri" w:eastAsia="Calibri" w:hAnsi="Calibri" w:cs="Times New Roman"/>
    </w:rPr>
  </w:style>
  <w:style w:type="numbering" w:customStyle="1" w:styleId="26">
    <w:name w:val="Нет списка2"/>
    <w:next w:val="a2"/>
    <w:uiPriority w:val="99"/>
    <w:semiHidden/>
    <w:unhideWhenUsed/>
    <w:rsid w:val="00A712E1"/>
  </w:style>
  <w:style w:type="table" w:customStyle="1" w:styleId="13">
    <w:name w:val="Сетка таблицы1"/>
    <w:basedOn w:val="a1"/>
    <w:next w:val="af2"/>
    <w:uiPriority w:val="59"/>
    <w:rsid w:val="00A71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A712E1"/>
  </w:style>
  <w:style w:type="character" w:customStyle="1" w:styleId="14">
    <w:name w:val="Просмотренная гиперссылка1"/>
    <w:basedOn w:val="a0"/>
    <w:uiPriority w:val="99"/>
    <w:semiHidden/>
    <w:unhideWhenUsed/>
    <w:rsid w:val="00A712E1"/>
    <w:rPr>
      <w:color w:val="800080"/>
      <w:u w:val="single"/>
    </w:rPr>
  </w:style>
  <w:style w:type="paragraph" w:customStyle="1" w:styleId="afb">
    <w:name w:val="Прижатый влево"/>
    <w:basedOn w:val="a"/>
    <w:next w:val="a"/>
    <w:rsid w:val="00A712E1"/>
    <w:pPr>
      <w:autoSpaceDE w:val="0"/>
      <w:autoSpaceDN w:val="0"/>
      <w:adjustRightInd w:val="0"/>
      <w:spacing w:after="0" w:line="240" w:lineRule="auto"/>
      <w:jc w:val="left"/>
    </w:pPr>
    <w:rPr>
      <w:rFonts w:ascii="Arial" w:eastAsia="Times New Roman" w:hAnsi="Arial"/>
      <w:sz w:val="20"/>
      <w:szCs w:val="20"/>
    </w:rPr>
  </w:style>
  <w:style w:type="character" w:styleId="afc">
    <w:name w:val="Placeholder Text"/>
    <w:basedOn w:val="a0"/>
    <w:uiPriority w:val="99"/>
    <w:semiHidden/>
    <w:rsid w:val="00A712E1"/>
    <w:rPr>
      <w:color w:val="808080"/>
    </w:rPr>
  </w:style>
  <w:style w:type="table" w:customStyle="1" w:styleId="110">
    <w:name w:val="Сетка таблицы11"/>
    <w:basedOn w:val="a1"/>
    <w:next w:val="af2"/>
    <w:rsid w:val="00A712E1"/>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f2"/>
    <w:uiPriority w:val="59"/>
    <w:rsid w:val="00A71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Без интервала Знак"/>
    <w:link w:val="af9"/>
    <w:uiPriority w:val="1"/>
    <w:rsid w:val="00253348"/>
    <w:rPr>
      <w:rFonts w:ascii="Calibri" w:eastAsia="Calibri" w:hAnsi="Calibri" w:cs="Times New Roman"/>
    </w:rPr>
  </w:style>
  <w:style w:type="character" w:customStyle="1" w:styleId="30">
    <w:name w:val="Заголовок 3 Знак"/>
    <w:basedOn w:val="a0"/>
    <w:link w:val="3"/>
    <w:uiPriority w:val="9"/>
    <w:rsid w:val="00A91269"/>
    <w:rPr>
      <w:rFonts w:ascii="Times New Roman" w:eastAsia="Times New Roman" w:hAnsi="Times New Roman" w:cs="Times New Roman"/>
      <w:b/>
      <w:bCs/>
      <w:sz w:val="27"/>
      <w:szCs w:val="27"/>
      <w:lang w:eastAsia="ru-RU"/>
    </w:rPr>
  </w:style>
  <w:style w:type="character" w:customStyle="1" w:styleId="50">
    <w:name w:val="Заголовок 5 Знак"/>
    <w:basedOn w:val="a0"/>
    <w:link w:val="5"/>
    <w:uiPriority w:val="9"/>
    <w:rsid w:val="00A91269"/>
    <w:rPr>
      <w:rFonts w:ascii="Arial" w:eastAsia="Arial" w:hAnsi="Arial" w:cs="Arial"/>
      <w:b/>
      <w:bCs/>
      <w:sz w:val="24"/>
      <w:szCs w:val="24"/>
      <w:lang w:eastAsia="ru-RU"/>
    </w:rPr>
  </w:style>
  <w:style w:type="character" w:customStyle="1" w:styleId="60">
    <w:name w:val="Заголовок 6 Знак"/>
    <w:basedOn w:val="a0"/>
    <w:link w:val="6"/>
    <w:uiPriority w:val="9"/>
    <w:rsid w:val="00A91269"/>
    <w:rPr>
      <w:rFonts w:ascii="Arial" w:eastAsia="Arial" w:hAnsi="Arial" w:cs="Arial"/>
      <w:b/>
      <w:bCs/>
      <w:lang w:eastAsia="ru-RU"/>
    </w:rPr>
  </w:style>
  <w:style w:type="character" w:customStyle="1" w:styleId="70">
    <w:name w:val="Заголовок 7 Знак"/>
    <w:basedOn w:val="a0"/>
    <w:link w:val="7"/>
    <w:uiPriority w:val="9"/>
    <w:rsid w:val="00A91269"/>
    <w:rPr>
      <w:rFonts w:ascii="Arial" w:eastAsia="Arial" w:hAnsi="Arial" w:cs="Arial"/>
      <w:b/>
      <w:bCs/>
      <w:i/>
      <w:iCs/>
      <w:lang w:eastAsia="ru-RU"/>
    </w:rPr>
  </w:style>
  <w:style w:type="character" w:customStyle="1" w:styleId="80">
    <w:name w:val="Заголовок 8 Знак"/>
    <w:basedOn w:val="a0"/>
    <w:link w:val="8"/>
    <w:uiPriority w:val="9"/>
    <w:rsid w:val="00A91269"/>
    <w:rPr>
      <w:rFonts w:ascii="Arial" w:eastAsia="Arial" w:hAnsi="Arial" w:cs="Arial"/>
      <w:i/>
      <w:iCs/>
      <w:lang w:eastAsia="ru-RU"/>
    </w:rPr>
  </w:style>
  <w:style w:type="character" w:customStyle="1" w:styleId="90">
    <w:name w:val="Заголовок 9 Знак"/>
    <w:basedOn w:val="a0"/>
    <w:link w:val="9"/>
    <w:uiPriority w:val="9"/>
    <w:rsid w:val="00A91269"/>
    <w:rPr>
      <w:rFonts w:ascii="Arial" w:eastAsia="Arial" w:hAnsi="Arial" w:cs="Arial"/>
      <w:i/>
      <w:iCs/>
      <w:sz w:val="21"/>
      <w:szCs w:val="21"/>
      <w:lang w:eastAsia="ru-RU"/>
    </w:rPr>
  </w:style>
  <w:style w:type="character" w:customStyle="1" w:styleId="Heading1Char">
    <w:name w:val="Heading 1 Char"/>
    <w:basedOn w:val="a0"/>
    <w:uiPriority w:val="9"/>
    <w:rsid w:val="00A91269"/>
    <w:rPr>
      <w:rFonts w:ascii="Arial" w:eastAsia="Arial" w:hAnsi="Arial" w:cs="Arial"/>
      <w:sz w:val="40"/>
      <w:szCs w:val="40"/>
    </w:rPr>
  </w:style>
  <w:style w:type="character" w:customStyle="1" w:styleId="Heading2Char">
    <w:name w:val="Heading 2 Char"/>
    <w:basedOn w:val="a0"/>
    <w:uiPriority w:val="9"/>
    <w:rsid w:val="00A91269"/>
    <w:rPr>
      <w:rFonts w:ascii="Arial" w:eastAsia="Arial" w:hAnsi="Arial" w:cs="Arial"/>
      <w:sz w:val="34"/>
    </w:rPr>
  </w:style>
  <w:style w:type="character" w:customStyle="1" w:styleId="Heading3Char">
    <w:name w:val="Heading 3 Char"/>
    <w:basedOn w:val="a0"/>
    <w:uiPriority w:val="9"/>
    <w:rsid w:val="00A91269"/>
    <w:rPr>
      <w:rFonts w:ascii="Arial" w:eastAsia="Arial" w:hAnsi="Arial" w:cs="Arial"/>
      <w:sz w:val="30"/>
      <w:szCs w:val="30"/>
    </w:rPr>
  </w:style>
  <w:style w:type="character" w:customStyle="1" w:styleId="Heading4Char">
    <w:name w:val="Heading 4 Char"/>
    <w:basedOn w:val="a0"/>
    <w:uiPriority w:val="9"/>
    <w:rsid w:val="00A91269"/>
    <w:rPr>
      <w:rFonts w:ascii="Arial" w:eastAsia="Arial" w:hAnsi="Arial" w:cs="Arial"/>
      <w:b/>
      <w:bCs/>
      <w:sz w:val="26"/>
      <w:szCs w:val="26"/>
    </w:rPr>
  </w:style>
  <w:style w:type="character" w:customStyle="1" w:styleId="TitleChar">
    <w:name w:val="Title Char"/>
    <w:basedOn w:val="a0"/>
    <w:uiPriority w:val="10"/>
    <w:rsid w:val="00A91269"/>
    <w:rPr>
      <w:sz w:val="48"/>
      <w:szCs w:val="48"/>
    </w:rPr>
  </w:style>
  <w:style w:type="paragraph" w:styleId="afd">
    <w:name w:val="Subtitle"/>
    <w:basedOn w:val="a"/>
    <w:next w:val="a"/>
    <w:link w:val="afe"/>
    <w:uiPriority w:val="11"/>
    <w:qFormat/>
    <w:rsid w:val="00A91269"/>
    <w:pPr>
      <w:spacing w:before="200" w:after="200"/>
      <w:jc w:val="left"/>
    </w:pPr>
    <w:rPr>
      <w:sz w:val="24"/>
    </w:rPr>
  </w:style>
  <w:style w:type="character" w:customStyle="1" w:styleId="afe">
    <w:name w:val="Подзаголовок Знак"/>
    <w:basedOn w:val="a0"/>
    <w:link w:val="afd"/>
    <w:uiPriority w:val="11"/>
    <w:rsid w:val="00A91269"/>
    <w:rPr>
      <w:rFonts w:ascii="Times New Roman" w:eastAsia="MS Mincho" w:hAnsi="Times New Roman" w:cs="Times New Roman"/>
      <w:sz w:val="24"/>
      <w:szCs w:val="24"/>
      <w:lang w:eastAsia="ru-RU"/>
    </w:rPr>
  </w:style>
  <w:style w:type="paragraph" w:styleId="28">
    <w:name w:val="Quote"/>
    <w:basedOn w:val="a"/>
    <w:next w:val="a"/>
    <w:link w:val="29"/>
    <w:uiPriority w:val="29"/>
    <w:qFormat/>
    <w:rsid w:val="00A91269"/>
    <w:pPr>
      <w:ind w:left="720" w:right="720"/>
      <w:jc w:val="left"/>
    </w:pPr>
    <w:rPr>
      <w:i/>
      <w:sz w:val="24"/>
    </w:rPr>
  </w:style>
  <w:style w:type="character" w:customStyle="1" w:styleId="29">
    <w:name w:val="Цитата 2 Знак"/>
    <w:basedOn w:val="a0"/>
    <w:link w:val="28"/>
    <w:uiPriority w:val="29"/>
    <w:rsid w:val="00A91269"/>
    <w:rPr>
      <w:rFonts w:ascii="Times New Roman" w:eastAsia="MS Mincho" w:hAnsi="Times New Roman" w:cs="Times New Roman"/>
      <w:i/>
      <w:sz w:val="24"/>
      <w:szCs w:val="24"/>
      <w:lang w:eastAsia="ru-RU"/>
    </w:rPr>
  </w:style>
  <w:style w:type="paragraph" w:styleId="aff">
    <w:name w:val="Intense Quote"/>
    <w:basedOn w:val="a"/>
    <w:next w:val="a"/>
    <w:link w:val="aff0"/>
    <w:uiPriority w:val="30"/>
    <w:qFormat/>
    <w:rsid w:val="00A91269"/>
    <w:pPr>
      <w:pBdr>
        <w:top w:val="single" w:sz="4" w:space="5" w:color="FFFFFF"/>
        <w:left w:val="single" w:sz="4" w:space="10" w:color="FFFFFF"/>
        <w:bottom w:val="single" w:sz="4" w:space="5" w:color="FFFFFF"/>
        <w:right w:val="single" w:sz="4" w:space="10" w:color="FFFFFF"/>
      </w:pBdr>
      <w:shd w:val="clear" w:color="auto" w:fill="F2F2F2"/>
      <w:ind w:left="720" w:right="720"/>
      <w:jc w:val="left"/>
    </w:pPr>
    <w:rPr>
      <w:i/>
      <w:sz w:val="24"/>
    </w:rPr>
  </w:style>
  <w:style w:type="character" w:customStyle="1" w:styleId="aff0">
    <w:name w:val="Выделенная цитата Знак"/>
    <w:basedOn w:val="a0"/>
    <w:link w:val="aff"/>
    <w:uiPriority w:val="30"/>
    <w:rsid w:val="00A91269"/>
    <w:rPr>
      <w:rFonts w:ascii="Times New Roman" w:eastAsia="MS Mincho" w:hAnsi="Times New Roman" w:cs="Times New Roman"/>
      <w:i/>
      <w:sz w:val="24"/>
      <w:szCs w:val="24"/>
      <w:shd w:val="clear" w:color="auto" w:fill="F2F2F2"/>
      <w:lang w:eastAsia="ru-RU"/>
    </w:rPr>
  </w:style>
  <w:style w:type="character" w:customStyle="1" w:styleId="HeaderChar">
    <w:name w:val="Header Char"/>
    <w:basedOn w:val="a0"/>
    <w:uiPriority w:val="99"/>
    <w:rsid w:val="00A91269"/>
  </w:style>
  <w:style w:type="character" w:customStyle="1" w:styleId="FooterChar">
    <w:name w:val="Footer Char"/>
    <w:basedOn w:val="a0"/>
    <w:uiPriority w:val="99"/>
    <w:rsid w:val="00A91269"/>
  </w:style>
  <w:style w:type="paragraph" w:styleId="aff1">
    <w:name w:val="caption"/>
    <w:basedOn w:val="a"/>
    <w:next w:val="a"/>
    <w:link w:val="aff2"/>
    <w:uiPriority w:val="35"/>
    <w:semiHidden/>
    <w:unhideWhenUsed/>
    <w:qFormat/>
    <w:rsid w:val="00A91269"/>
    <w:pPr>
      <w:jc w:val="left"/>
    </w:pPr>
    <w:rPr>
      <w:b/>
      <w:bCs/>
      <w:color w:val="4F81BD" w:themeColor="accent1"/>
      <w:sz w:val="18"/>
      <w:szCs w:val="18"/>
    </w:rPr>
  </w:style>
  <w:style w:type="character" w:customStyle="1" w:styleId="aff2">
    <w:name w:val="Название объекта Знак"/>
    <w:basedOn w:val="a0"/>
    <w:link w:val="aff1"/>
    <w:uiPriority w:val="35"/>
    <w:semiHidden/>
    <w:rsid w:val="00A91269"/>
    <w:rPr>
      <w:rFonts w:ascii="Times New Roman" w:eastAsia="MS Mincho" w:hAnsi="Times New Roman" w:cs="Times New Roman"/>
      <w:b/>
      <w:bCs/>
      <w:color w:val="4F81BD" w:themeColor="accent1"/>
      <w:sz w:val="18"/>
      <w:szCs w:val="18"/>
      <w:lang w:eastAsia="ru-RU"/>
    </w:rPr>
  </w:style>
  <w:style w:type="table" w:customStyle="1" w:styleId="TableGridLight">
    <w:name w:val="Table Grid Light"/>
    <w:basedOn w:val="a1"/>
    <w:uiPriority w:val="59"/>
    <w:rsid w:val="00A9126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A9126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A9126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A9126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A9126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A9126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A9126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A9126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A9126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A9126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A9126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A9126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A9126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A9126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A9126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A9126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A9126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A9126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A9126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A9126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A9126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A9126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A9126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A9126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A9126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A9126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A9126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A9126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A9126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A9126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A9126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A9126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A9126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A9126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A9126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A9126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A9126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A9126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A9126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A9126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A9126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A9126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A9126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A9126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A9126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A9126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A9126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A9126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A9126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A9126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A9126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A9126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A9126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A9126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A9126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A9126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A9126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A9126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A9126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A9126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A9126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A9126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A9126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A9126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A9126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A9126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A9126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A9126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A9126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A9126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A9126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A9126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A9126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A9126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A9126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A9126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A9126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A9126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A9126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A9126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A9126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A9126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A9126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A9126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A9126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A9126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A9126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A9126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A9126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A9126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A9126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A9126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A9126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A9126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A9126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A9126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A9126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A9126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A9126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A9126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A9126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A91269"/>
    <w:rPr>
      <w:sz w:val="18"/>
    </w:rPr>
  </w:style>
  <w:style w:type="paragraph" w:styleId="aff3">
    <w:name w:val="endnote text"/>
    <w:basedOn w:val="a"/>
    <w:link w:val="aff4"/>
    <w:uiPriority w:val="99"/>
    <w:semiHidden/>
    <w:unhideWhenUsed/>
    <w:rsid w:val="00A91269"/>
    <w:pPr>
      <w:spacing w:after="0" w:line="240" w:lineRule="auto"/>
      <w:jc w:val="left"/>
    </w:pPr>
    <w:rPr>
      <w:sz w:val="20"/>
    </w:rPr>
  </w:style>
  <w:style w:type="character" w:customStyle="1" w:styleId="aff4">
    <w:name w:val="Текст концевой сноски Знак"/>
    <w:basedOn w:val="a0"/>
    <w:link w:val="aff3"/>
    <w:uiPriority w:val="99"/>
    <w:semiHidden/>
    <w:rsid w:val="00A91269"/>
    <w:rPr>
      <w:rFonts w:ascii="Times New Roman" w:eastAsia="MS Mincho" w:hAnsi="Times New Roman" w:cs="Times New Roman"/>
      <w:sz w:val="20"/>
      <w:szCs w:val="24"/>
      <w:lang w:eastAsia="ru-RU"/>
    </w:rPr>
  </w:style>
  <w:style w:type="character" w:styleId="aff5">
    <w:name w:val="endnote reference"/>
    <w:basedOn w:val="a0"/>
    <w:uiPriority w:val="99"/>
    <w:semiHidden/>
    <w:unhideWhenUsed/>
    <w:rsid w:val="00A91269"/>
    <w:rPr>
      <w:vertAlign w:val="superscript"/>
    </w:rPr>
  </w:style>
  <w:style w:type="paragraph" w:styleId="2a">
    <w:name w:val="toc 2"/>
    <w:basedOn w:val="a"/>
    <w:next w:val="a"/>
    <w:uiPriority w:val="39"/>
    <w:unhideWhenUsed/>
    <w:qFormat/>
    <w:rsid w:val="00A91269"/>
    <w:pPr>
      <w:spacing w:after="57"/>
      <w:ind w:left="283"/>
      <w:jc w:val="left"/>
    </w:pPr>
    <w:rPr>
      <w:sz w:val="24"/>
    </w:rPr>
  </w:style>
  <w:style w:type="paragraph" w:styleId="34">
    <w:name w:val="toc 3"/>
    <w:basedOn w:val="a"/>
    <w:next w:val="a"/>
    <w:uiPriority w:val="39"/>
    <w:unhideWhenUsed/>
    <w:qFormat/>
    <w:rsid w:val="00A91269"/>
    <w:pPr>
      <w:spacing w:after="57"/>
      <w:ind w:left="567"/>
      <w:jc w:val="left"/>
    </w:pPr>
    <w:rPr>
      <w:sz w:val="24"/>
    </w:rPr>
  </w:style>
  <w:style w:type="paragraph" w:styleId="41">
    <w:name w:val="toc 4"/>
    <w:basedOn w:val="a"/>
    <w:next w:val="a"/>
    <w:uiPriority w:val="39"/>
    <w:unhideWhenUsed/>
    <w:rsid w:val="00A91269"/>
    <w:pPr>
      <w:spacing w:after="57"/>
      <w:ind w:left="850"/>
      <w:jc w:val="left"/>
    </w:pPr>
    <w:rPr>
      <w:sz w:val="24"/>
    </w:rPr>
  </w:style>
  <w:style w:type="paragraph" w:styleId="51">
    <w:name w:val="toc 5"/>
    <w:basedOn w:val="a"/>
    <w:next w:val="a"/>
    <w:uiPriority w:val="39"/>
    <w:unhideWhenUsed/>
    <w:rsid w:val="00A91269"/>
    <w:pPr>
      <w:spacing w:after="57"/>
      <w:ind w:left="1134"/>
      <w:jc w:val="left"/>
    </w:pPr>
    <w:rPr>
      <w:sz w:val="24"/>
    </w:rPr>
  </w:style>
  <w:style w:type="paragraph" w:styleId="61">
    <w:name w:val="toc 6"/>
    <w:basedOn w:val="a"/>
    <w:next w:val="a"/>
    <w:uiPriority w:val="39"/>
    <w:unhideWhenUsed/>
    <w:rsid w:val="00A91269"/>
    <w:pPr>
      <w:spacing w:after="57"/>
      <w:ind w:left="1417"/>
      <w:jc w:val="left"/>
    </w:pPr>
    <w:rPr>
      <w:sz w:val="24"/>
    </w:rPr>
  </w:style>
  <w:style w:type="paragraph" w:styleId="71">
    <w:name w:val="toc 7"/>
    <w:basedOn w:val="a"/>
    <w:next w:val="a"/>
    <w:uiPriority w:val="39"/>
    <w:unhideWhenUsed/>
    <w:rsid w:val="00A91269"/>
    <w:pPr>
      <w:spacing w:after="57"/>
      <w:ind w:left="1701"/>
      <w:jc w:val="left"/>
    </w:pPr>
    <w:rPr>
      <w:sz w:val="24"/>
    </w:rPr>
  </w:style>
  <w:style w:type="paragraph" w:styleId="81">
    <w:name w:val="toc 8"/>
    <w:basedOn w:val="a"/>
    <w:next w:val="a"/>
    <w:uiPriority w:val="39"/>
    <w:unhideWhenUsed/>
    <w:rsid w:val="00A91269"/>
    <w:pPr>
      <w:spacing w:after="57"/>
      <w:ind w:left="1984"/>
      <w:jc w:val="left"/>
    </w:pPr>
    <w:rPr>
      <w:sz w:val="24"/>
    </w:rPr>
  </w:style>
  <w:style w:type="paragraph" w:styleId="91">
    <w:name w:val="toc 9"/>
    <w:basedOn w:val="a"/>
    <w:next w:val="a"/>
    <w:uiPriority w:val="39"/>
    <w:unhideWhenUsed/>
    <w:rsid w:val="00A91269"/>
    <w:pPr>
      <w:spacing w:after="57"/>
      <w:ind w:left="2268"/>
      <w:jc w:val="left"/>
    </w:pPr>
    <w:rPr>
      <w:sz w:val="24"/>
    </w:rPr>
  </w:style>
  <w:style w:type="paragraph" w:styleId="aff6">
    <w:name w:val="TOC Heading"/>
    <w:uiPriority w:val="39"/>
    <w:unhideWhenUsed/>
    <w:qFormat/>
    <w:rsid w:val="00A91269"/>
  </w:style>
  <w:style w:type="paragraph" w:styleId="aff7">
    <w:name w:val="table of figures"/>
    <w:basedOn w:val="a"/>
    <w:next w:val="a"/>
    <w:uiPriority w:val="99"/>
    <w:unhideWhenUsed/>
    <w:rsid w:val="00A91269"/>
    <w:pPr>
      <w:spacing w:after="0"/>
      <w:jc w:val="left"/>
    </w:pPr>
    <w:rPr>
      <w:sz w:val="24"/>
    </w:rPr>
  </w:style>
  <w:style w:type="character" w:customStyle="1" w:styleId="af6">
    <w:name w:val="Стиль второй Знак"/>
    <w:basedOn w:val="a0"/>
    <w:link w:val="af5"/>
    <w:rsid w:val="00A91269"/>
    <w:rPr>
      <w:rFonts w:ascii="Times New Roman" w:eastAsia="MS Mincho" w:hAnsi="Times New Roman" w:cs="Times New Roman"/>
      <w:b/>
      <w:noProof/>
      <w:sz w:val="28"/>
      <w:szCs w:val="27"/>
      <w:lang w:eastAsia="ru-RU"/>
    </w:rPr>
  </w:style>
  <w:style w:type="paragraph" w:customStyle="1" w:styleId="15">
    <w:name w:val="Стиль1"/>
    <w:basedOn w:val="4"/>
    <w:link w:val="16"/>
    <w:qFormat/>
    <w:rsid w:val="00A91269"/>
    <w:pPr>
      <w:spacing w:after="60" w:line="276" w:lineRule="auto"/>
      <w:ind w:firstLine="0"/>
      <w:jc w:val="left"/>
    </w:pPr>
    <w:rPr>
      <w:rFonts w:eastAsia="Times New Roman"/>
      <w:sz w:val="32"/>
      <w:szCs w:val="32"/>
    </w:rPr>
  </w:style>
  <w:style w:type="character" w:customStyle="1" w:styleId="16">
    <w:name w:val="Стиль1 Знак"/>
    <w:basedOn w:val="40"/>
    <w:link w:val="15"/>
    <w:rsid w:val="00A91269"/>
    <w:rPr>
      <w:rFonts w:ascii="Times New Roman" w:eastAsia="Times New Roman" w:hAnsi="Times New Roman" w:cs="Times New Roman"/>
      <w:b/>
      <w:bCs/>
      <w:sz w:val="32"/>
      <w:szCs w:val="32"/>
      <w:lang w:eastAsia="ru-RU"/>
    </w:rPr>
  </w:style>
  <w:style w:type="paragraph" w:customStyle="1" w:styleId="17">
    <w:name w:val="Без интервала1"/>
    <w:rsid w:val="00A91269"/>
    <w:pPr>
      <w:spacing w:after="0" w:line="240" w:lineRule="auto"/>
    </w:pPr>
    <w:rPr>
      <w:rFonts w:ascii="Calibri" w:eastAsia="Calibri" w:hAnsi="Calibri" w:cs="Times New Roman"/>
      <w:lang w:val="en-US"/>
    </w:rPr>
  </w:style>
  <w:style w:type="paragraph" w:customStyle="1" w:styleId="aff8">
    <w:name w:val="Стиль первый"/>
    <w:basedOn w:val="a"/>
    <w:qFormat/>
    <w:rsid w:val="00A91269"/>
    <w:pPr>
      <w:tabs>
        <w:tab w:val="right" w:leader="dot" w:pos="9786"/>
      </w:tabs>
      <w:jc w:val="left"/>
    </w:pPr>
    <w:rPr>
      <w:b/>
      <w:sz w:val="32"/>
      <w:szCs w:val="28"/>
    </w:rPr>
  </w:style>
  <w:style w:type="character" w:customStyle="1" w:styleId="18">
    <w:name w:val="Основной текст Знак1"/>
    <w:basedOn w:val="a0"/>
    <w:uiPriority w:val="99"/>
    <w:semiHidden/>
    <w:rsid w:val="00A91269"/>
    <w:rPr>
      <w:rFonts w:ascii="Times New Roman" w:eastAsia="MS Mincho" w:hAnsi="Times New Roman" w:cs="Times New Roman"/>
      <w:sz w:val="24"/>
      <w:szCs w:val="24"/>
      <w:lang w:eastAsia="ru-RU"/>
    </w:rPr>
  </w:style>
  <w:style w:type="character" w:customStyle="1" w:styleId="apple-converted-space">
    <w:name w:val="apple-converted-space"/>
    <w:basedOn w:val="a0"/>
    <w:rsid w:val="00A91269"/>
  </w:style>
  <w:style w:type="paragraph" w:customStyle="1" w:styleId="ConsNormal">
    <w:name w:val="ConsNormal"/>
    <w:rsid w:val="00A91269"/>
    <w:pPr>
      <w:widowControl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A91269"/>
  </w:style>
  <w:style w:type="character" w:styleId="aff9">
    <w:name w:val="page number"/>
    <w:basedOn w:val="a0"/>
    <w:rsid w:val="00A91269"/>
  </w:style>
  <w:style w:type="paragraph" w:styleId="affa">
    <w:name w:val="footnote text"/>
    <w:basedOn w:val="a"/>
    <w:link w:val="affb"/>
    <w:rsid w:val="00A91269"/>
    <w:pPr>
      <w:spacing w:after="0" w:line="240" w:lineRule="auto"/>
      <w:jc w:val="left"/>
    </w:pPr>
    <w:rPr>
      <w:rFonts w:eastAsia="Times New Roman"/>
      <w:sz w:val="20"/>
      <w:szCs w:val="20"/>
    </w:rPr>
  </w:style>
  <w:style w:type="character" w:customStyle="1" w:styleId="affb">
    <w:name w:val="Текст сноски Знак"/>
    <w:basedOn w:val="a0"/>
    <w:link w:val="affa"/>
    <w:rsid w:val="00A91269"/>
    <w:rPr>
      <w:rFonts w:ascii="Times New Roman" w:eastAsia="Times New Roman" w:hAnsi="Times New Roman" w:cs="Times New Roman"/>
      <w:sz w:val="20"/>
      <w:szCs w:val="20"/>
      <w:lang w:eastAsia="ru-RU"/>
    </w:rPr>
  </w:style>
  <w:style w:type="character" w:styleId="affc">
    <w:name w:val="footnote reference"/>
    <w:rsid w:val="00A91269"/>
    <w:rPr>
      <w:vertAlign w:val="superscript"/>
    </w:rPr>
  </w:style>
  <w:style w:type="paragraph" w:customStyle="1" w:styleId="SMAPlainText">
    <w:name w:val="SMA_PlainText"/>
    <w:link w:val="SMAPlainText0"/>
    <w:qFormat/>
    <w:rsid w:val="00A91269"/>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A91269"/>
    <w:rPr>
      <w:rFonts w:ascii="Times New Roman" w:eastAsia="MS Mincho" w:hAnsi="Times New Roman" w:cs="Times New Roman"/>
      <w:sz w:val="24"/>
      <w:szCs w:val="28"/>
      <w:lang w:eastAsia="ru-RU"/>
    </w:rPr>
  </w:style>
  <w:style w:type="paragraph" w:customStyle="1" w:styleId="2b">
    <w:name w:val="Стиль ОТЧЕТ2"/>
    <w:basedOn w:val="a"/>
    <w:qFormat/>
    <w:rsid w:val="00A91269"/>
    <w:pPr>
      <w:tabs>
        <w:tab w:val="right" w:leader="dot" w:pos="9786"/>
      </w:tabs>
      <w:spacing w:after="0" w:line="240" w:lineRule="auto"/>
      <w:jc w:val="left"/>
    </w:pPr>
    <w:rPr>
      <w:b/>
      <w:i/>
      <w:sz w:val="32"/>
      <w:szCs w:val="28"/>
    </w:rPr>
  </w:style>
  <w:style w:type="character" w:customStyle="1" w:styleId="affd">
    <w:name w:val="Цветовое выделение"/>
    <w:rsid w:val="00A91269"/>
    <w:rPr>
      <w:b/>
      <w:bCs/>
      <w:color w:val="000080"/>
      <w:sz w:val="20"/>
      <w:szCs w:val="20"/>
    </w:rPr>
  </w:style>
  <w:style w:type="paragraph" w:customStyle="1" w:styleId="19">
    <w:name w:val="Стиль ОТЧЕТ 1"/>
    <w:basedOn w:val="1a"/>
    <w:qFormat/>
    <w:rsid w:val="00A91269"/>
    <w:pPr>
      <w:tabs>
        <w:tab w:val="right" w:leader="dot" w:pos="9786"/>
      </w:tabs>
      <w:spacing w:after="0" w:line="240" w:lineRule="auto"/>
    </w:pPr>
    <w:rPr>
      <w:b/>
      <w:sz w:val="32"/>
      <w:szCs w:val="28"/>
    </w:rPr>
  </w:style>
  <w:style w:type="paragraph" w:styleId="1a">
    <w:name w:val="toc 1"/>
    <w:basedOn w:val="a"/>
    <w:next w:val="a"/>
    <w:uiPriority w:val="39"/>
    <w:unhideWhenUsed/>
    <w:qFormat/>
    <w:rsid w:val="00A91269"/>
    <w:pPr>
      <w:spacing w:after="100"/>
      <w:jc w:val="left"/>
    </w:pPr>
    <w:rPr>
      <w:sz w:val="24"/>
    </w:rPr>
  </w:style>
  <w:style w:type="character" w:styleId="affe">
    <w:name w:val="Emphasis"/>
    <w:uiPriority w:val="20"/>
    <w:qFormat/>
    <w:rsid w:val="00A91269"/>
    <w:rPr>
      <w:i/>
      <w:iCs/>
    </w:rPr>
  </w:style>
  <w:style w:type="paragraph" w:customStyle="1" w:styleId="35">
    <w:name w:val="Стиль ОТЧЕТ 3"/>
    <w:basedOn w:val="a"/>
    <w:qFormat/>
    <w:rsid w:val="00A91269"/>
    <w:pPr>
      <w:tabs>
        <w:tab w:val="right" w:leader="dot" w:pos="9786"/>
      </w:tabs>
      <w:spacing w:after="0" w:line="240" w:lineRule="auto"/>
      <w:jc w:val="left"/>
    </w:pPr>
    <w:rPr>
      <w:b/>
      <w:i/>
      <w:szCs w:val="28"/>
    </w:rPr>
  </w:style>
  <w:style w:type="character" w:customStyle="1" w:styleId="afff">
    <w:name w:val="Основной текст_"/>
    <w:basedOn w:val="a0"/>
    <w:link w:val="1b"/>
    <w:rsid w:val="00A91269"/>
    <w:rPr>
      <w:rFonts w:ascii="Times New Roman" w:hAnsi="Times New Roman"/>
      <w:sz w:val="26"/>
      <w:szCs w:val="26"/>
      <w:shd w:val="clear" w:color="auto" w:fill="FFFFFF"/>
    </w:rPr>
  </w:style>
  <w:style w:type="paragraph" w:customStyle="1" w:styleId="1b">
    <w:name w:val="Основной текст1"/>
    <w:basedOn w:val="a"/>
    <w:link w:val="afff"/>
    <w:rsid w:val="00A91269"/>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A91269"/>
    <w:pPr>
      <w:spacing w:before="100" w:beforeAutospacing="1" w:after="100" w:afterAutospacing="1" w:line="240" w:lineRule="auto"/>
      <w:jc w:val="left"/>
    </w:pPr>
    <w:rPr>
      <w:rFonts w:eastAsia="Times New Roman"/>
      <w:sz w:val="16"/>
      <w:szCs w:val="16"/>
    </w:rPr>
  </w:style>
  <w:style w:type="paragraph" w:customStyle="1" w:styleId="font6">
    <w:name w:val="font6"/>
    <w:basedOn w:val="a"/>
    <w:rsid w:val="00A91269"/>
    <w:pPr>
      <w:spacing w:before="100" w:beforeAutospacing="1" w:after="100" w:afterAutospacing="1" w:line="240" w:lineRule="auto"/>
      <w:jc w:val="left"/>
    </w:pPr>
    <w:rPr>
      <w:rFonts w:eastAsia="Times New Roman"/>
      <w:b/>
      <w:bCs/>
      <w:sz w:val="16"/>
      <w:szCs w:val="16"/>
    </w:rPr>
  </w:style>
  <w:style w:type="paragraph" w:customStyle="1" w:styleId="xl63">
    <w:name w:val="xl63"/>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64">
    <w:name w:val="xl6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65">
    <w:name w:val="xl65"/>
    <w:basedOn w:val="a"/>
    <w:rsid w:val="00A91269"/>
    <w:pPr>
      <w:pBdr>
        <w:top w:val="single" w:sz="4" w:space="0" w:color="000000"/>
        <w:left w:val="single" w:sz="4" w:space="0" w:color="000000"/>
      </w:pBdr>
      <w:spacing w:before="100" w:beforeAutospacing="1" w:after="100" w:afterAutospacing="1" w:line="240" w:lineRule="auto"/>
      <w:jc w:val="left"/>
    </w:pPr>
    <w:rPr>
      <w:rFonts w:eastAsia="Times New Roman"/>
      <w:sz w:val="16"/>
      <w:szCs w:val="16"/>
    </w:rPr>
  </w:style>
  <w:style w:type="paragraph" w:customStyle="1" w:styleId="xl66">
    <w:name w:val="xl66"/>
    <w:basedOn w:val="a"/>
    <w:rsid w:val="00A91269"/>
    <w:pPr>
      <w:pBdr>
        <w:top w:val="single" w:sz="4" w:space="0" w:color="000000"/>
      </w:pBdr>
      <w:spacing w:before="100" w:beforeAutospacing="1" w:after="100" w:afterAutospacing="1" w:line="240" w:lineRule="auto"/>
      <w:jc w:val="left"/>
    </w:pPr>
    <w:rPr>
      <w:rFonts w:eastAsia="Times New Roman"/>
      <w:sz w:val="16"/>
      <w:szCs w:val="16"/>
    </w:rPr>
  </w:style>
  <w:style w:type="paragraph" w:customStyle="1" w:styleId="xl67">
    <w:name w:val="xl67"/>
    <w:basedOn w:val="a"/>
    <w:rsid w:val="00A91269"/>
    <w:pPr>
      <w:pBdr>
        <w:top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68">
    <w:name w:val="xl68"/>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69">
    <w:name w:val="xl69"/>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0">
    <w:name w:val="xl70"/>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71">
    <w:name w:val="xl7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2">
    <w:name w:val="xl72"/>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73">
    <w:name w:val="xl73"/>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4">
    <w:name w:val="xl74"/>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sz w:val="16"/>
      <w:szCs w:val="16"/>
    </w:rPr>
  </w:style>
  <w:style w:type="paragraph" w:customStyle="1" w:styleId="xl75">
    <w:name w:val="xl7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6">
    <w:name w:val="xl7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77">
    <w:name w:val="xl7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78">
    <w:name w:val="xl78"/>
    <w:basedOn w:val="a"/>
    <w:rsid w:val="00A91269"/>
    <w:pPr>
      <w:spacing w:before="100" w:beforeAutospacing="1" w:after="100" w:afterAutospacing="1" w:line="240" w:lineRule="auto"/>
      <w:jc w:val="left"/>
    </w:pPr>
    <w:rPr>
      <w:rFonts w:eastAsia="Times New Roman"/>
      <w:sz w:val="16"/>
      <w:szCs w:val="16"/>
    </w:rPr>
  </w:style>
  <w:style w:type="paragraph" w:customStyle="1" w:styleId="xl79">
    <w:name w:val="xl7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0">
    <w:name w:val="xl80"/>
    <w:basedOn w:val="a"/>
    <w:rsid w:val="00A9126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left"/>
    </w:pPr>
    <w:rPr>
      <w:rFonts w:eastAsia="Times New Roman"/>
      <w:sz w:val="16"/>
      <w:szCs w:val="16"/>
    </w:rPr>
  </w:style>
  <w:style w:type="paragraph" w:customStyle="1" w:styleId="xl81">
    <w:name w:val="xl8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2">
    <w:name w:val="xl8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83">
    <w:name w:val="xl8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16"/>
      <w:szCs w:val="16"/>
    </w:rPr>
  </w:style>
  <w:style w:type="paragraph" w:customStyle="1" w:styleId="xl84">
    <w:name w:val="xl84"/>
    <w:basedOn w:val="a"/>
    <w:rsid w:val="00A91269"/>
    <w:pPr>
      <w:pBdr>
        <w:left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5">
    <w:name w:val="xl8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16"/>
      <w:szCs w:val="16"/>
    </w:rPr>
  </w:style>
  <w:style w:type="paragraph" w:customStyle="1" w:styleId="xl86">
    <w:name w:val="xl86"/>
    <w:basedOn w:val="a"/>
    <w:rsid w:val="00A91269"/>
    <w:pPr>
      <w:spacing w:before="100" w:beforeAutospacing="1" w:after="100" w:afterAutospacing="1" w:line="240" w:lineRule="auto"/>
      <w:jc w:val="left"/>
    </w:pPr>
    <w:rPr>
      <w:rFonts w:eastAsia="Times New Roman"/>
      <w:color w:val="0070C0"/>
      <w:sz w:val="20"/>
      <w:szCs w:val="20"/>
    </w:rPr>
  </w:style>
  <w:style w:type="paragraph" w:customStyle="1" w:styleId="xl87">
    <w:name w:val="xl87"/>
    <w:basedOn w:val="a"/>
    <w:rsid w:val="00A91269"/>
    <w:pPr>
      <w:spacing w:before="100" w:beforeAutospacing="1" w:after="100" w:afterAutospacing="1" w:line="240" w:lineRule="auto"/>
      <w:jc w:val="left"/>
    </w:pPr>
    <w:rPr>
      <w:rFonts w:eastAsia="Times New Roman"/>
      <w:i/>
      <w:iCs/>
      <w:color w:val="0070C0"/>
      <w:sz w:val="20"/>
      <w:szCs w:val="20"/>
    </w:rPr>
  </w:style>
  <w:style w:type="paragraph" w:customStyle="1" w:styleId="xl88">
    <w:name w:val="xl88"/>
    <w:basedOn w:val="a"/>
    <w:rsid w:val="00A91269"/>
    <w:pPr>
      <w:shd w:val="clear" w:color="000000" w:fill="DAEEF3"/>
      <w:spacing w:before="100" w:beforeAutospacing="1" w:after="100" w:afterAutospacing="1" w:line="240" w:lineRule="auto"/>
      <w:jc w:val="left"/>
    </w:pPr>
    <w:rPr>
      <w:rFonts w:eastAsia="Times New Roman"/>
      <w:color w:val="0070C0"/>
      <w:sz w:val="24"/>
    </w:rPr>
  </w:style>
  <w:style w:type="paragraph" w:customStyle="1" w:styleId="xl89">
    <w:name w:val="xl89"/>
    <w:basedOn w:val="a"/>
    <w:rsid w:val="00A91269"/>
    <w:pPr>
      <w:spacing w:before="100" w:beforeAutospacing="1" w:after="100" w:afterAutospacing="1" w:line="240" w:lineRule="auto"/>
      <w:jc w:val="left"/>
    </w:pPr>
    <w:rPr>
      <w:rFonts w:eastAsia="Times New Roman"/>
      <w:i/>
      <w:iCs/>
      <w:color w:val="00B050"/>
      <w:sz w:val="24"/>
    </w:rPr>
  </w:style>
  <w:style w:type="paragraph" w:customStyle="1" w:styleId="xl90">
    <w:name w:val="xl90"/>
    <w:basedOn w:val="a"/>
    <w:rsid w:val="00A91269"/>
    <w:pPr>
      <w:spacing w:before="100" w:beforeAutospacing="1" w:after="100" w:afterAutospacing="1" w:line="240" w:lineRule="auto"/>
      <w:jc w:val="left"/>
    </w:pPr>
    <w:rPr>
      <w:rFonts w:eastAsia="Times New Roman"/>
      <w:i/>
      <w:iCs/>
      <w:sz w:val="24"/>
    </w:rPr>
  </w:style>
  <w:style w:type="paragraph" w:customStyle="1" w:styleId="xl91">
    <w:name w:val="xl91"/>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2">
    <w:name w:val="xl9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3">
    <w:name w:val="xl9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4">
    <w:name w:val="xl9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5">
    <w:name w:val="xl95"/>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6">
    <w:name w:val="xl9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97">
    <w:name w:val="xl9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98">
    <w:name w:val="xl98"/>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99">
    <w:name w:val="xl99"/>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00">
    <w:name w:val="xl10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b/>
      <w:bCs/>
      <w:sz w:val="24"/>
    </w:rPr>
  </w:style>
  <w:style w:type="paragraph" w:customStyle="1" w:styleId="xl101">
    <w:name w:val="xl10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02">
    <w:name w:val="xl10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03">
    <w:name w:val="xl10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4">
    <w:name w:val="xl104"/>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5">
    <w:name w:val="xl105"/>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06">
    <w:name w:val="xl10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07">
    <w:name w:val="xl107"/>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sz w:val="24"/>
    </w:rPr>
  </w:style>
  <w:style w:type="paragraph" w:customStyle="1" w:styleId="xl108">
    <w:name w:val="xl108"/>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09">
    <w:name w:val="xl109"/>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10">
    <w:name w:val="xl110"/>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11">
    <w:name w:val="xl11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12">
    <w:name w:val="xl112"/>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i/>
      <w:iCs/>
      <w:sz w:val="24"/>
    </w:rPr>
  </w:style>
  <w:style w:type="paragraph" w:customStyle="1" w:styleId="xl113">
    <w:name w:val="xl11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14">
    <w:name w:val="xl114"/>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b/>
      <w:bCs/>
      <w:sz w:val="24"/>
    </w:rPr>
  </w:style>
  <w:style w:type="paragraph" w:customStyle="1" w:styleId="xl115">
    <w:name w:val="xl115"/>
    <w:basedOn w:val="a"/>
    <w:rsid w:val="00A91269"/>
    <w:pPr>
      <w:pBdr>
        <w:top w:val="single" w:sz="4" w:space="0" w:color="000000"/>
        <w:left w:val="single" w:sz="4" w:space="7" w:color="000000"/>
        <w:bottom w:val="single" w:sz="4" w:space="0" w:color="000000"/>
        <w:right w:val="single" w:sz="4" w:space="0" w:color="000000"/>
      </w:pBdr>
      <w:shd w:val="clear" w:color="000000" w:fill="FFFFFF"/>
      <w:spacing w:before="100" w:beforeAutospacing="1" w:after="100" w:afterAutospacing="1" w:line="240" w:lineRule="auto"/>
      <w:ind w:firstLine="100"/>
      <w:jc w:val="left"/>
    </w:pPr>
    <w:rPr>
      <w:rFonts w:eastAsia="Times New Roman"/>
      <w:sz w:val="24"/>
    </w:rPr>
  </w:style>
  <w:style w:type="paragraph" w:customStyle="1" w:styleId="xl116">
    <w:name w:val="xl11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17">
    <w:name w:val="xl11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18">
    <w:name w:val="xl11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19">
    <w:name w:val="xl119"/>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20">
    <w:name w:val="xl12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b/>
      <w:bCs/>
      <w:sz w:val="24"/>
    </w:rPr>
  </w:style>
  <w:style w:type="paragraph" w:customStyle="1" w:styleId="xl121">
    <w:name w:val="xl121"/>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4"/>
    </w:rPr>
  </w:style>
  <w:style w:type="paragraph" w:customStyle="1" w:styleId="xl122">
    <w:name w:val="xl12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23">
    <w:name w:val="xl12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4"/>
    </w:rPr>
  </w:style>
  <w:style w:type="paragraph" w:customStyle="1" w:styleId="xl124">
    <w:name w:val="xl12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25">
    <w:name w:val="xl12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4"/>
    </w:rPr>
  </w:style>
  <w:style w:type="paragraph" w:customStyle="1" w:styleId="xl126">
    <w:name w:val="xl12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4"/>
    </w:rPr>
  </w:style>
  <w:style w:type="paragraph" w:customStyle="1" w:styleId="xl127">
    <w:name w:val="xl127"/>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28">
    <w:name w:val="xl128"/>
    <w:basedOn w:val="a"/>
    <w:rsid w:val="00A91269"/>
    <w:pPr>
      <w:pBdr>
        <w:top w:val="single" w:sz="4" w:space="0" w:color="000000"/>
        <w:left w:val="single" w:sz="4" w:space="20" w:color="000000"/>
        <w:bottom w:val="single" w:sz="4" w:space="0" w:color="000000"/>
        <w:right w:val="single" w:sz="4" w:space="0" w:color="000000"/>
      </w:pBdr>
      <w:shd w:val="clear" w:color="000000" w:fill="FFFFFF"/>
      <w:spacing w:before="100" w:beforeAutospacing="1" w:after="100" w:afterAutospacing="1" w:line="240" w:lineRule="auto"/>
      <w:ind w:firstLine="300"/>
      <w:jc w:val="left"/>
    </w:pPr>
    <w:rPr>
      <w:rFonts w:eastAsia="Times New Roman"/>
      <w:sz w:val="24"/>
    </w:rPr>
  </w:style>
  <w:style w:type="paragraph" w:customStyle="1" w:styleId="xl129">
    <w:name w:val="xl12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18"/>
      <w:szCs w:val="18"/>
    </w:rPr>
  </w:style>
  <w:style w:type="paragraph" w:customStyle="1" w:styleId="xl130">
    <w:name w:val="xl130"/>
    <w:basedOn w:val="a"/>
    <w:rsid w:val="00A91269"/>
    <w:pPr>
      <w:pBdr>
        <w:top w:val="single" w:sz="4" w:space="0" w:color="000000"/>
        <w:left w:val="single" w:sz="4" w:space="31" w:color="000000"/>
        <w:bottom w:val="single" w:sz="4" w:space="0" w:color="000000"/>
        <w:right w:val="single" w:sz="4" w:space="0" w:color="000000"/>
      </w:pBdr>
      <w:shd w:val="clear" w:color="000000" w:fill="FFFFFF"/>
      <w:spacing w:before="100" w:beforeAutospacing="1" w:after="100" w:afterAutospacing="1" w:line="240" w:lineRule="auto"/>
      <w:ind w:firstLine="500"/>
      <w:jc w:val="left"/>
    </w:pPr>
    <w:rPr>
      <w:rFonts w:eastAsia="Times New Roman"/>
      <w:i/>
      <w:iCs/>
      <w:sz w:val="20"/>
      <w:szCs w:val="20"/>
    </w:rPr>
  </w:style>
  <w:style w:type="paragraph" w:customStyle="1" w:styleId="xl131">
    <w:name w:val="xl13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0"/>
      <w:szCs w:val="20"/>
    </w:rPr>
  </w:style>
  <w:style w:type="paragraph" w:customStyle="1" w:styleId="xl132">
    <w:name w:val="xl13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3">
    <w:name w:val="xl133"/>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4">
    <w:name w:val="xl134"/>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35">
    <w:name w:val="xl135"/>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36">
    <w:name w:val="xl136"/>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37">
    <w:name w:val="xl137"/>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38">
    <w:name w:val="xl13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b/>
      <w:bCs/>
      <w:sz w:val="24"/>
    </w:rPr>
  </w:style>
  <w:style w:type="paragraph" w:customStyle="1" w:styleId="xl139">
    <w:name w:val="xl13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sz w:val="24"/>
    </w:rPr>
  </w:style>
  <w:style w:type="paragraph" w:customStyle="1" w:styleId="xl140">
    <w:name w:val="xl14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b/>
      <w:bCs/>
      <w:i/>
      <w:iCs/>
      <w:sz w:val="24"/>
    </w:rPr>
  </w:style>
  <w:style w:type="paragraph" w:customStyle="1" w:styleId="xl141">
    <w:name w:val="xl141"/>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42">
    <w:name w:val="xl142"/>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4"/>
    </w:rPr>
  </w:style>
  <w:style w:type="paragraph" w:customStyle="1" w:styleId="xl143">
    <w:name w:val="xl143"/>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4"/>
    </w:rPr>
  </w:style>
  <w:style w:type="paragraph" w:customStyle="1" w:styleId="xl144">
    <w:name w:val="xl144"/>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0"/>
      <w:szCs w:val="20"/>
    </w:rPr>
  </w:style>
  <w:style w:type="paragraph" w:customStyle="1" w:styleId="xl145">
    <w:name w:val="xl145"/>
    <w:basedOn w:val="a"/>
    <w:rsid w:val="00A91269"/>
    <w:pPr>
      <w:pBdr>
        <w:top w:val="single" w:sz="4" w:space="0" w:color="000000"/>
        <w:left w:val="single" w:sz="4" w:space="14" w:color="000000"/>
        <w:bottom w:val="single" w:sz="4" w:space="0" w:color="000000"/>
        <w:right w:val="single" w:sz="4" w:space="0" w:color="000000"/>
      </w:pBdr>
      <w:shd w:val="clear" w:color="000000" w:fill="FFFFFF"/>
      <w:spacing w:before="100" w:beforeAutospacing="1" w:after="100" w:afterAutospacing="1" w:line="240" w:lineRule="auto"/>
      <w:ind w:firstLine="200"/>
      <w:jc w:val="left"/>
    </w:pPr>
    <w:rPr>
      <w:rFonts w:eastAsia="Times New Roman"/>
      <w:sz w:val="20"/>
      <w:szCs w:val="20"/>
    </w:rPr>
  </w:style>
  <w:style w:type="paragraph" w:customStyle="1" w:styleId="xl146">
    <w:name w:val="xl146"/>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sz w:val="20"/>
      <w:szCs w:val="20"/>
    </w:rPr>
  </w:style>
  <w:style w:type="paragraph" w:customStyle="1" w:styleId="xl147">
    <w:name w:val="xl147"/>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right"/>
    </w:pPr>
    <w:rPr>
      <w:rFonts w:eastAsia="Times New Roman"/>
      <w:sz w:val="20"/>
      <w:szCs w:val="20"/>
    </w:rPr>
  </w:style>
  <w:style w:type="paragraph" w:customStyle="1" w:styleId="xl148">
    <w:name w:val="xl148"/>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sz w:val="20"/>
      <w:szCs w:val="20"/>
    </w:rPr>
  </w:style>
  <w:style w:type="paragraph" w:customStyle="1" w:styleId="xl149">
    <w:name w:val="xl149"/>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pPr>
    <w:rPr>
      <w:rFonts w:eastAsia="Times New Roman"/>
      <w:i/>
      <w:iCs/>
      <w:sz w:val="20"/>
      <w:szCs w:val="20"/>
    </w:rPr>
  </w:style>
  <w:style w:type="paragraph" w:customStyle="1" w:styleId="xl150">
    <w:name w:val="xl150"/>
    <w:basedOn w:val="a"/>
    <w:rsid w:val="00A9126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left"/>
    </w:pPr>
    <w:rPr>
      <w:rFonts w:eastAsia="Times New Roman"/>
      <w:i/>
      <w:iCs/>
      <w:sz w:val="20"/>
      <w:szCs w:val="20"/>
    </w:rPr>
  </w:style>
  <w:style w:type="paragraph" w:customStyle="1" w:styleId="xl151">
    <w:name w:val="xl151"/>
    <w:basedOn w:val="a"/>
    <w:rsid w:val="00A91269"/>
    <w:pPr>
      <w:shd w:val="clear" w:color="000000" w:fill="FFFFFF"/>
      <w:spacing w:before="100" w:beforeAutospacing="1" w:after="100" w:afterAutospacing="1" w:line="240" w:lineRule="auto"/>
      <w:jc w:val="left"/>
    </w:pPr>
    <w:rPr>
      <w:rFonts w:eastAsia="Times New Roman"/>
      <w:sz w:val="24"/>
    </w:rPr>
  </w:style>
  <w:style w:type="paragraph" w:customStyle="1" w:styleId="xl152">
    <w:name w:val="xl152"/>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3">
    <w:name w:val="xl153"/>
    <w:basedOn w:val="a"/>
    <w:rsid w:val="00A91269"/>
    <w:pPr>
      <w:pBdr>
        <w:top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4">
    <w:name w:val="xl154"/>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xl155">
    <w:name w:val="xl155"/>
    <w:basedOn w:val="a"/>
    <w:rsid w:val="00A91269"/>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56">
    <w:name w:val="xl156"/>
    <w:basedOn w:val="a"/>
    <w:rsid w:val="00A91269"/>
    <w:pPr>
      <w:pBdr>
        <w:top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eastAsia="Times New Roman"/>
      <w:i/>
      <w:iCs/>
      <w:sz w:val="24"/>
    </w:rPr>
  </w:style>
  <w:style w:type="paragraph" w:customStyle="1" w:styleId="xl157">
    <w:name w:val="xl157"/>
    <w:basedOn w:val="a"/>
    <w:rsid w:val="00A91269"/>
    <w:pPr>
      <w:pBdr>
        <w:top w:val="single" w:sz="4" w:space="0" w:color="000000"/>
        <w:bottom w:val="single" w:sz="4" w:space="0" w:color="000000"/>
      </w:pBdr>
      <w:shd w:val="clear" w:color="000000" w:fill="FFFFFF"/>
      <w:spacing w:before="100" w:beforeAutospacing="1" w:after="100" w:afterAutospacing="1" w:line="240" w:lineRule="auto"/>
    </w:pPr>
    <w:rPr>
      <w:rFonts w:eastAsia="Times New Roman"/>
      <w:sz w:val="24"/>
    </w:rPr>
  </w:style>
  <w:style w:type="paragraph" w:customStyle="1" w:styleId="Default">
    <w:name w:val="Default"/>
    <w:rsid w:val="00A91269"/>
    <w:pPr>
      <w:spacing w:after="0" w:line="240" w:lineRule="auto"/>
    </w:pPr>
    <w:rPr>
      <w:rFonts w:ascii="Times New Roman" w:eastAsia="Times New Roman" w:hAnsi="Times New Roman" w:cs="Times New Roman"/>
      <w:color w:val="000000"/>
      <w:sz w:val="24"/>
      <w:szCs w:val="24"/>
      <w:lang w:eastAsia="ru-RU"/>
    </w:rPr>
  </w:style>
  <w:style w:type="character" w:styleId="afff0">
    <w:name w:val="annotation reference"/>
    <w:basedOn w:val="a0"/>
    <w:semiHidden/>
    <w:unhideWhenUsed/>
    <w:rsid w:val="00A91269"/>
    <w:rPr>
      <w:sz w:val="16"/>
      <w:szCs w:val="16"/>
    </w:rPr>
  </w:style>
  <w:style w:type="paragraph" w:styleId="afff1">
    <w:name w:val="annotation text"/>
    <w:basedOn w:val="a"/>
    <w:link w:val="afff2"/>
    <w:semiHidden/>
    <w:unhideWhenUsed/>
    <w:rsid w:val="00A91269"/>
    <w:pPr>
      <w:spacing w:after="200" w:line="240" w:lineRule="auto"/>
      <w:jc w:val="left"/>
    </w:pPr>
    <w:rPr>
      <w:rFonts w:asciiTheme="minorHAnsi" w:eastAsiaTheme="minorHAnsi" w:hAnsiTheme="minorHAnsi" w:cstheme="minorBidi"/>
      <w:sz w:val="20"/>
      <w:szCs w:val="20"/>
      <w:lang w:eastAsia="en-US"/>
    </w:rPr>
  </w:style>
  <w:style w:type="character" w:customStyle="1" w:styleId="afff2">
    <w:name w:val="Текст примечания Знак"/>
    <w:basedOn w:val="a0"/>
    <w:link w:val="afff1"/>
    <w:semiHidden/>
    <w:rsid w:val="00A91269"/>
    <w:rPr>
      <w:sz w:val="20"/>
      <w:szCs w:val="20"/>
    </w:rPr>
  </w:style>
  <w:style w:type="paragraph" w:styleId="afff3">
    <w:name w:val="annotation subject"/>
    <w:basedOn w:val="afff1"/>
    <w:next w:val="afff1"/>
    <w:link w:val="afff4"/>
    <w:semiHidden/>
    <w:unhideWhenUsed/>
    <w:rsid w:val="00A91269"/>
    <w:rPr>
      <w:b/>
      <w:bCs/>
    </w:rPr>
  </w:style>
  <w:style w:type="character" w:customStyle="1" w:styleId="afff4">
    <w:name w:val="Тема примечания Знак"/>
    <w:basedOn w:val="afff2"/>
    <w:link w:val="afff3"/>
    <w:semiHidden/>
    <w:rsid w:val="00A91269"/>
    <w:rPr>
      <w:b/>
      <w:bCs/>
      <w:sz w:val="20"/>
      <w:szCs w:val="20"/>
    </w:rPr>
  </w:style>
  <w:style w:type="character" w:customStyle="1" w:styleId="af">
    <w:name w:val="Абзац списка Знак"/>
    <w:link w:val="ae"/>
    <w:uiPriority w:val="34"/>
    <w:locked/>
    <w:rsid w:val="00585C99"/>
    <w:rPr>
      <w:rFonts w:ascii="Calibri" w:eastAsia="Times New Roman" w:hAnsi="Calibri" w:cs="Times New Roman"/>
    </w:rPr>
  </w:style>
  <w:style w:type="paragraph" w:customStyle="1" w:styleId="Textbody">
    <w:name w:val="Text body"/>
    <w:basedOn w:val="a"/>
    <w:rsid w:val="00777DCF"/>
    <w:pPr>
      <w:autoSpaceDN w:val="0"/>
      <w:spacing w:after="140" w:line="288" w:lineRule="auto"/>
      <w:jc w:val="left"/>
    </w:pPr>
    <w:rPr>
      <w:rFonts w:ascii="Calibri" w:eastAsia="Times New Roman" w:hAnsi="Calibri"/>
      <w:sz w:val="20"/>
      <w:szCs w:val="20"/>
    </w:rPr>
  </w:style>
  <w:style w:type="character" w:customStyle="1" w:styleId="fio2">
    <w:name w:val="fio2"/>
    <w:basedOn w:val="a0"/>
    <w:rsid w:val="00777DCF"/>
  </w:style>
  <w:style w:type="character" w:customStyle="1" w:styleId="nomer2">
    <w:name w:val="nomer2"/>
    <w:basedOn w:val="a0"/>
    <w:rsid w:val="00777DCF"/>
  </w:style>
  <w:style w:type="character" w:customStyle="1" w:styleId="data2">
    <w:name w:val="data2"/>
    <w:basedOn w:val="a0"/>
    <w:rsid w:val="00777DCF"/>
  </w:style>
  <w:style w:type="character" w:customStyle="1" w:styleId="Bodytext2">
    <w:name w:val="Body text (2)_"/>
    <w:link w:val="Bodytext20"/>
    <w:rsid w:val="00777DCF"/>
    <w:rPr>
      <w:sz w:val="114"/>
      <w:szCs w:val="114"/>
      <w:shd w:val="clear" w:color="auto" w:fill="FFFFFF"/>
    </w:rPr>
  </w:style>
  <w:style w:type="paragraph" w:customStyle="1" w:styleId="Bodytext20">
    <w:name w:val="Body text (2)"/>
    <w:basedOn w:val="a"/>
    <w:link w:val="Bodytext2"/>
    <w:rsid w:val="00777DCF"/>
    <w:pPr>
      <w:widowControl w:val="0"/>
      <w:shd w:val="clear" w:color="auto" w:fill="FFFFFF"/>
      <w:spacing w:after="900" w:line="1330" w:lineRule="exact"/>
      <w:jc w:val="left"/>
    </w:pPr>
    <w:rPr>
      <w:rFonts w:asciiTheme="minorHAnsi" w:eastAsiaTheme="minorHAnsi" w:hAnsiTheme="minorHAnsi" w:cstheme="minorBidi"/>
      <w:sz w:val="114"/>
      <w:szCs w:val="114"/>
      <w:lang w:eastAsia="en-US"/>
    </w:rPr>
  </w:style>
  <w:style w:type="character" w:customStyle="1" w:styleId="Bodytext2Exact">
    <w:name w:val="Body text (2) Exact"/>
    <w:rsid w:val="00777DCF"/>
    <w:rPr>
      <w:rFonts w:ascii="Times New Roman" w:eastAsia="Times New Roman" w:hAnsi="Times New Roman" w:cs="Times New Roman"/>
      <w:b w:val="0"/>
      <w:bCs w:val="0"/>
      <w:i w:val="0"/>
      <w:iCs w:val="0"/>
      <w:smallCaps w:val="0"/>
      <w:strike w:val="0"/>
      <w:sz w:val="114"/>
      <w:szCs w:val="114"/>
      <w:u w:val="none"/>
    </w:rPr>
  </w:style>
  <w:style w:type="character" w:customStyle="1" w:styleId="Bodytext6">
    <w:name w:val="Body text (6)_"/>
    <w:link w:val="Bodytext60"/>
    <w:rsid w:val="00777DCF"/>
    <w:rPr>
      <w:rFonts w:ascii="Arial" w:eastAsia="Arial" w:hAnsi="Arial" w:cs="Arial"/>
      <w:i/>
      <w:iCs/>
      <w:sz w:val="17"/>
      <w:szCs w:val="17"/>
      <w:shd w:val="clear" w:color="auto" w:fill="FFFFFF"/>
    </w:rPr>
  </w:style>
  <w:style w:type="paragraph" w:customStyle="1" w:styleId="Bodytext60">
    <w:name w:val="Body text (6)"/>
    <w:basedOn w:val="a"/>
    <w:link w:val="Bodytext6"/>
    <w:rsid w:val="00777DCF"/>
    <w:pPr>
      <w:widowControl w:val="0"/>
      <w:shd w:val="clear" w:color="auto" w:fill="FFFFFF"/>
      <w:spacing w:after="0" w:line="0" w:lineRule="atLeast"/>
      <w:jc w:val="left"/>
    </w:pPr>
    <w:rPr>
      <w:rFonts w:ascii="Arial" w:eastAsia="Arial" w:hAnsi="Arial" w:cs="Arial"/>
      <w:i/>
      <w:iCs/>
      <w:sz w:val="17"/>
      <w:szCs w:val="17"/>
      <w:lang w:eastAsia="en-US"/>
    </w:rPr>
  </w:style>
  <w:style w:type="character" w:customStyle="1" w:styleId="blk">
    <w:name w:val="blk"/>
    <w:basedOn w:val="a0"/>
    <w:rsid w:val="00777DCF"/>
  </w:style>
  <w:style w:type="character" w:customStyle="1" w:styleId="s10">
    <w:name w:val="s_10"/>
    <w:rsid w:val="00777D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microsoft.com/office/2007/relationships/diagramDrawing" Target="diagrams/drawing1.xml"/><Relationship Id="rId21" Type="http://schemas.openxmlformats.org/officeDocument/2006/relationships/chart" Target="charts/chart6.xml"/><Relationship Id="rId42" Type="http://schemas.openxmlformats.org/officeDocument/2006/relationships/chart" Target="charts/chart24.xml"/><Relationship Id="rId63" Type="http://schemas.openxmlformats.org/officeDocument/2006/relationships/hyperlink" Target="consultantplus://offline/ref=E03CADF3A13801D63D7935CF071F2CFBC15EEE4758354C2B479A62D948B57FB33D0FD674C895CB33uFl9H" TargetMode="External"/><Relationship Id="rId138" Type="http://schemas.openxmlformats.org/officeDocument/2006/relationships/diagramQuickStyle" Target="diagrams/quickStyle3.xml"/><Relationship Id="rId159" Type="http://schemas.openxmlformats.org/officeDocument/2006/relationships/diagramColors" Target="diagrams/colors5.xml"/><Relationship Id="rId170" Type="http://schemas.openxmlformats.org/officeDocument/2006/relationships/hyperlink" Target="consultantplus://offline/ref=679197AB6CD0BC315B08795A03EDE6E749EDFDEF0CE2828EBCFCD910D675AF3E76F0E7D59584D905BB34A9DDFCFDA70449D5633BB00219E059CFEC7Cy3W8H" TargetMode="External"/><Relationship Id="rId191" Type="http://schemas.openxmlformats.org/officeDocument/2006/relationships/hyperlink" Target="https://tarif.nso.ru/page/491" TargetMode="External"/><Relationship Id="rId205" Type="http://schemas.openxmlformats.org/officeDocument/2006/relationships/hyperlink" Target="https://tarif.nso.ru/page/149" TargetMode="External"/><Relationship Id="rId107" Type="http://schemas.openxmlformats.org/officeDocument/2006/relationships/package" Target="embeddings/Microsoft_Excel_Worksheet25.xlsx"/><Relationship Id="rId11" Type="http://schemas.openxmlformats.org/officeDocument/2006/relationships/hyperlink" Target="https://tarif.nso.ru/page/41" TargetMode="External"/><Relationship Id="rId32" Type="http://schemas.openxmlformats.org/officeDocument/2006/relationships/image" Target="media/image4.emf"/><Relationship Id="rId53" Type="http://schemas.openxmlformats.org/officeDocument/2006/relationships/chart" Target="charts/chart35.xml"/><Relationship Id="rId74" Type="http://schemas.openxmlformats.org/officeDocument/2006/relationships/chart" Target="charts/chart48.xml"/><Relationship Id="rId128" Type="http://schemas.openxmlformats.org/officeDocument/2006/relationships/hyperlink" Target="https://rpn.gov.ru/activity/regulation/kadastr/groro/18548/" TargetMode="External"/><Relationship Id="rId149" Type="http://schemas.openxmlformats.org/officeDocument/2006/relationships/image" Target="media/image31.emf"/><Relationship Id="rId5" Type="http://schemas.openxmlformats.org/officeDocument/2006/relationships/settings" Target="settings.xml"/><Relationship Id="rId95" Type="http://schemas.openxmlformats.org/officeDocument/2006/relationships/chart" Target="charts/chart53.xml"/><Relationship Id="rId160" Type="http://schemas.microsoft.com/office/2007/relationships/diagramDrawing" Target="diagrams/drawing5.xml"/><Relationship Id="rId181" Type="http://schemas.openxmlformats.org/officeDocument/2006/relationships/hyperlink" Target="http://www.eias.ru/files/shablon/SUMMARY.NADB.JNVLP.2023.zip" TargetMode="External"/><Relationship Id="rId22" Type="http://schemas.openxmlformats.org/officeDocument/2006/relationships/chart" Target="charts/chart7.xml"/><Relationship Id="rId43" Type="http://schemas.openxmlformats.org/officeDocument/2006/relationships/chart" Target="charts/chart25.xml"/><Relationship Id="rId64" Type="http://schemas.openxmlformats.org/officeDocument/2006/relationships/hyperlink" Target="consultantplus://offline/ref=E03CADF3A13801D63D7935CF071F2CFBC257E8435C3C4C2B479A62D948B57FB33D0FD67DuCl8H" TargetMode="External"/><Relationship Id="rId118" Type="http://schemas.openxmlformats.org/officeDocument/2006/relationships/diagramData" Target="diagrams/data2.xml"/><Relationship Id="rId139" Type="http://schemas.openxmlformats.org/officeDocument/2006/relationships/diagramColors" Target="diagrams/colors3.xml"/><Relationship Id="rId150" Type="http://schemas.openxmlformats.org/officeDocument/2006/relationships/image" Target="media/image32.png"/><Relationship Id="rId171" Type="http://schemas.openxmlformats.org/officeDocument/2006/relationships/hyperlink" Target="consultantplus://offline/ref=679197AB6CD0BC315B08795A03EDE6E749EDFDEF0CE2828EBCFCD910D675AF3E76F0E7D59584D905BB34A9D9F4FDA70449D5633BB00219E059CFEC7Cy3W8H" TargetMode="External"/><Relationship Id="rId192" Type="http://schemas.openxmlformats.org/officeDocument/2006/relationships/image" Target="media/image41.jpeg"/><Relationship Id="rId206" Type="http://schemas.openxmlformats.org/officeDocument/2006/relationships/hyperlink" Target="consultantplus://offline/ref=13392FFE2AF39C4BC9B54549391CAA50747F0D90C458E058CBA81E441838DCA765912DA11EF31A2C0A9F3ES6y0K" TargetMode="External"/><Relationship Id="rId12" Type="http://schemas.openxmlformats.org/officeDocument/2006/relationships/hyperlink" Target="https://tarif.nso.ru/page/388" TargetMode="External"/><Relationship Id="rId33" Type="http://schemas.openxmlformats.org/officeDocument/2006/relationships/image" Target="media/image5.emf"/><Relationship Id="rId108" Type="http://schemas.openxmlformats.org/officeDocument/2006/relationships/image" Target="media/image20.emf"/><Relationship Id="rId129" Type="http://schemas.openxmlformats.org/officeDocument/2006/relationships/hyperlink" Target="https://rpn.gov.ru/activity/regulation/kadastr/groro/18550/" TargetMode="External"/><Relationship Id="rId54" Type="http://schemas.openxmlformats.org/officeDocument/2006/relationships/chart" Target="charts/chart36.xml"/><Relationship Id="rId75" Type="http://schemas.openxmlformats.org/officeDocument/2006/relationships/chart" Target="charts/chart49.xml"/><Relationship Id="rId96" Type="http://schemas.openxmlformats.org/officeDocument/2006/relationships/image" Target="media/image15.emf"/><Relationship Id="rId140" Type="http://schemas.microsoft.com/office/2007/relationships/diagramDrawing" Target="diagrams/drawing3.xml"/><Relationship Id="rId161" Type="http://schemas.openxmlformats.org/officeDocument/2006/relationships/image" Target="media/image33.png"/><Relationship Id="rId182" Type="http://schemas.openxmlformats.org/officeDocument/2006/relationships/hyperlink" Target="https://tarif.nso.ru/page/101" TargetMode="External"/><Relationship Id="rId6" Type="http://schemas.openxmlformats.org/officeDocument/2006/relationships/webSettings" Target="webSettings.xml"/><Relationship Id="rId23" Type="http://schemas.openxmlformats.org/officeDocument/2006/relationships/image" Target="media/image3.emf"/><Relationship Id="rId119" Type="http://schemas.openxmlformats.org/officeDocument/2006/relationships/diagramLayout" Target="diagrams/layout2.xml"/><Relationship Id="rId44" Type="http://schemas.openxmlformats.org/officeDocument/2006/relationships/chart" Target="charts/chart26.xml"/><Relationship Id="rId65" Type="http://schemas.openxmlformats.org/officeDocument/2006/relationships/hyperlink" Target="consultantplus://offline/ref=2C69E2858C4C65B810ED2DD260DC91D665181F9BEFB2D3C1F140BE605514BAF75C84AE4561779346AA25CE2324D53B05E159X2J" TargetMode="External"/><Relationship Id="rId130" Type="http://schemas.openxmlformats.org/officeDocument/2006/relationships/hyperlink" Target="https://rpn.gov.ru/activity/regulation/kadastr/groro/18552/" TargetMode="External"/><Relationship Id="rId151" Type="http://schemas.openxmlformats.org/officeDocument/2006/relationships/diagramData" Target="diagrams/data4.xml"/><Relationship Id="rId172" Type="http://schemas.openxmlformats.org/officeDocument/2006/relationships/hyperlink" Target="https://tarif.nso.ru/page/95" TargetMode="External"/><Relationship Id="rId193" Type="http://schemas.openxmlformats.org/officeDocument/2006/relationships/hyperlink" Target="https://tarif.nso.ru/page/491" TargetMode="External"/><Relationship Id="rId207" Type="http://schemas.openxmlformats.org/officeDocument/2006/relationships/hyperlink" Target="http://pravo.gov.ru/proxy/ips/?docbody=&amp;link_id=0&amp;nd=603637722" TargetMode="External"/><Relationship Id="rId13" Type="http://schemas.openxmlformats.org/officeDocument/2006/relationships/hyperlink" Target="consultantplus://offline/ref=57CDBA7AA113CC71321D7EC53BFAEE38648E750DFDAB00C62A40272E4DCA2106955F588E4E8EC8AE7ECD0E870D1D3D73A362B519BAC0983AE7C5ED78n0I5L" TargetMode="External"/><Relationship Id="rId109" Type="http://schemas.openxmlformats.org/officeDocument/2006/relationships/package" Target="embeddings/Microsoft_Excel_Worksheet26.xlsx"/><Relationship Id="rId34" Type="http://schemas.openxmlformats.org/officeDocument/2006/relationships/chart" Target="charts/chart16.xml"/><Relationship Id="rId55" Type="http://schemas.openxmlformats.org/officeDocument/2006/relationships/chart" Target="charts/chart37.xml"/><Relationship Id="rId76" Type="http://schemas.openxmlformats.org/officeDocument/2006/relationships/chart" Target="charts/chart50.xml"/><Relationship Id="rId97" Type="http://schemas.openxmlformats.org/officeDocument/2006/relationships/image" Target="media/media4.svg"/><Relationship Id="rId120" Type="http://schemas.openxmlformats.org/officeDocument/2006/relationships/diagramQuickStyle" Target="diagrams/quickStyle2.xml"/><Relationship Id="rId141" Type="http://schemas.openxmlformats.org/officeDocument/2006/relationships/image" Target="media/image24.png"/><Relationship Id="rId7" Type="http://schemas.openxmlformats.org/officeDocument/2006/relationships/footnotes" Target="footnotes.xml"/><Relationship Id="rId162" Type="http://schemas.openxmlformats.org/officeDocument/2006/relationships/image" Target="media/image34.png"/><Relationship Id="rId183" Type="http://schemas.openxmlformats.org/officeDocument/2006/relationships/hyperlink" Target="https://tarif.nso.ru/page/36" TargetMode="External"/><Relationship Id="rId2" Type="http://schemas.openxmlformats.org/officeDocument/2006/relationships/numbering" Target="numbering.xml"/><Relationship Id="rId29" Type="http://schemas.openxmlformats.org/officeDocument/2006/relationships/chart" Target="charts/chart13.xml"/><Relationship Id="rId24" Type="http://schemas.openxmlformats.org/officeDocument/2006/relationships/chart" Target="charts/chart8.xml"/><Relationship Id="rId40" Type="http://schemas.openxmlformats.org/officeDocument/2006/relationships/chart" Target="charts/chart22.xml"/><Relationship Id="rId45" Type="http://schemas.openxmlformats.org/officeDocument/2006/relationships/chart" Target="charts/chart27.xml"/><Relationship Id="rId66" Type="http://schemas.openxmlformats.org/officeDocument/2006/relationships/chart" Target="charts/chart42.xml"/><Relationship Id="rId110" Type="http://schemas.openxmlformats.org/officeDocument/2006/relationships/image" Target="media/image21.emf"/><Relationship Id="rId115" Type="http://schemas.openxmlformats.org/officeDocument/2006/relationships/diagramQuickStyle" Target="diagrams/quickStyle1.xml"/><Relationship Id="rId131" Type="http://schemas.openxmlformats.org/officeDocument/2006/relationships/hyperlink" Target="https://rpn.gov.ru/activity/regulation/kadastr/groro/18559/" TargetMode="External"/><Relationship Id="rId136" Type="http://schemas.openxmlformats.org/officeDocument/2006/relationships/diagramData" Target="diagrams/data3.xml"/><Relationship Id="rId157" Type="http://schemas.openxmlformats.org/officeDocument/2006/relationships/diagramLayout" Target="diagrams/layout5.xml"/><Relationship Id="rId178" Type="http://schemas.openxmlformats.org/officeDocument/2006/relationships/hyperlink" Target="file:///M:\&#1058;&#1045;&#1061;&#1054;&#1057;&#1052;&#1054;&#1058;&#1056;\2022\&#1053;&#1054;&#1042;&#1040;&#1071;%20&#1052;&#1045;&#1058;&#1054;&#1044;&#1048;&#1050;&#1040;\&#1052;&#1077;&#1090;&#1086;&#1076;&#1080;&#1082;&#1072;%20&#1090;&#1077;&#1093;&#1086;&#1089;&#1084;&#1086;&#1090;&#1088;%202022.docx" TargetMode="External"/><Relationship Id="rId61" Type="http://schemas.openxmlformats.org/officeDocument/2006/relationships/chart" Target="charts/chart41.xml"/><Relationship Id="rId82" Type="http://schemas.openxmlformats.org/officeDocument/2006/relationships/image" Target="media/image12.emf"/><Relationship Id="rId152" Type="http://schemas.openxmlformats.org/officeDocument/2006/relationships/diagramLayout" Target="diagrams/layout4.xml"/><Relationship Id="rId173" Type="http://schemas.openxmlformats.org/officeDocument/2006/relationships/hyperlink" Target="https://tarif.nso.ru/page/95" TargetMode="External"/><Relationship Id="rId194" Type="http://schemas.openxmlformats.org/officeDocument/2006/relationships/image" Target="media/image42.jpeg"/><Relationship Id="rId199" Type="http://schemas.openxmlformats.org/officeDocument/2006/relationships/image" Target="media/image47.jpeg"/><Relationship Id="rId203" Type="http://schemas.openxmlformats.org/officeDocument/2006/relationships/hyperlink" Target="https://tarif.nso.ru/page/384" TargetMode="External"/><Relationship Id="rId208" Type="http://schemas.openxmlformats.org/officeDocument/2006/relationships/footer" Target="footer1.xml"/><Relationship Id="rId19" Type="http://schemas.openxmlformats.org/officeDocument/2006/relationships/image" Target="media/image2.emf"/><Relationship Id="rId14" Type="http://schemas.openxmlformats.org/officeDocument/2006/relationships/chart" Target="charts/chart1.xml"/><Relationship Id="rId30" Type="http://schemas.openxmlformats.org/officeDocument/2006/relationships/chart" Target="charts/chart14.xml"/><Relationship Id="rId35" Type="http://schemas.openxmlformats.org/officeDocument/2006/relationships/chart" Target="charts/chart17.xml"/><Relationship Id="rId56" Type="http://schemas.openxmlformats.org/officeDocument/2006/relationships/chart" Target="charts/chart38.xml"/><Relationship Id="rId77" Type="http://schemas.openxmlformats.org/officeDocument/2006/relationships/chart" Target="charts/chart51.xml"/><Relationship Id="rId100" Type="http://schemas.openxmlformats.org/officeDocument/2006/relationships/chart" Target="charts/chart54.xml"/><Relationship Id="rId105" Type="http://schemas.openxmlformats.org/officeDocument/2006/relationships/chart" Target="charts/chart55.xml"/><Relationship Id="rId126" Type="http://schemas.openxmlformats.org/officeDocument/2006/relationships/hyperlink" Target="https://rpn.gov.ru/activity/regulation/kadastr/groro/18544/" TargetMode="External"/><Relationship Id="rId147" Type="http://schemas.openxmlformats.org/officeDocument/2006/relationships/image" Target="media/image30.png"/><Relationship Id="rId168" Type="http://schemas.openxmlformats.org/officeDocument/2006/relationships/chart" Target="charts/chart57.xml"/><Relationship Id="rId8" Type="http://schemas.openxmlformats.org/officeDocument/2006/relationships/endnotes" Target="endnotes.xml"/><Relationship Id="rId51" Type="http://schemas.openxmlformats.org/officeDocument/2006/relationships/chart" Target="charts/chart33.xml"/><Relationship Id="rId72" Type="http://schemas.openxmlformats.org/officeDocument/2006/relationships/image" Target="media/image7.png"/><Relationship Id="rId93" Type="http://schemas.openxmlformats.org/officeDocument/2006/relationships/image" Target="media/image14.emf"/><Relationship Id="rId98" Type="http://schemas.openxmlformats.org/officeDocument/2006/relationships/image" Target="media/image16.emf"/><Relationship Id="rId121" Type="http://schemas.openxmlformats.org/officeDocument/2006/relationships/diagramColors" Target="diagrams/colors2.xml"/><Relationship Id="rId142" Type="http://schemas.openxmlformats.org/officeDocument/2006/relationships/image" Target="media/image25.png"/><Relationship Id="rId163" Type="http://schemas.openxmlformats.org/officeDocument/2006/relationships/image" Target="media/image35.png"/><Relationship Id="rId184" Type="http://schemas.openxmlformats.org/officeDocument/2006/relationships/hyperlink" Target="https://tarif.nso.ru/page/104" TargetMode="External"/><Relationship Id="rId189" Type="http://schemas.openxmlformats.org/officeDocument/2006/relationships/image" Target="media/image39.jpeg"/><Relationship Id="rId3" Type="http://schemas.openxmlformats.org/officeDocument/2006/relationships/styles" Target="styles.xml"/><Relationship Id="rId25" Type="http://schemas.openxmlformats.org/officeDocument/2006/relationships/chart" Target="charts/chart9.xml"/><Relationship Id="rId46" Type="http://schemas.openxmlformats.org/officeDocument/2006/relationships/chart" Target="charts/chart28.xml"/><Relationship Id="rId67" Type="http://schemas.openxmlformats.org/officeDocument/2006/relationships/chart" Target="charts/chart43.xml"/><Relationship Id="rId116" Type="http://schemas.openxmlformats.org/officeDocument/2006/relationships/diagramColors" Target="diagrams/colors1.xml"/><Relationship Id="rId137" Type="http://schemas.openxmlformats.org/officeDocument/2006/relationships/diagramLayout" Target="diagrams/layout3.xml"/><Relationship Id="rId158" Type="http://schemas.openxmlformats.org/officeDocument/2006/relationships/diagramQuickStyle" Target="diagrams/quickStyle5.xml"/><Relationship Id="rId20" Type="http://schemas.openxmlformats.org/officeDocument/2006/relationships/chart" Target="charts/chart5.xml"/><Relationship Id="rId41" Type="http://schemas.openxmlformats.org/officeDocument/2006/relationships/chart" Target="charts/chart23.xml"/><Relationship Id="rId62" Type="http://schemas.openxmlformats.org/officeDocument/2006/relationships/hyperlink" Target="https://tarif.nso.ru/page/126" TargetMode="External"/><Relationship Id="rId111" Type="http://schemas.openxmlformats.org/officeDocument/2006/relationships/package" Target="embeddings/Microsoft_Excel_Worksheet27.xlsx"/><Relationship Id="rId132" Type="http://schemas.openxmlformats.org/officeDocument/2006/relationships/hyperlink" Target="https://rpn.gov.ru/activity/regulation/kadastr/groro/21372/" TargetMode="External"/><Relationship Id="rId153" Type="http://schemas.openxmlformats.org/officeDocument/2006/relationships/diagramQuickStyle" Target="diagrams/quickStyle4.xml"/><Relationship Id="rId174" Type="http://schemas.openxmlformats.org/officeDocument/2006/relationships/chart" Target="charts/chart58.xml"/><Relationship Id="rId179" Type="http://schemas.openxmlformats.org/officeDocument/2006/relationships/hyperlink" Target="https://tarif.nso.ru/page/97" TargetMode="External"/><Relationship Id="rId195" Type="http://schemas.openxmlformats.org/officeDocument/2006/relationships/image" Target="media/image43.jpeg"/><Relationship Id="rId209" Type="http://schemas.openxmlformats.org/officeDocument/2006/relationships/fontTable" Target="fontTable.xml"/><Relationship Id="rId190" Type="http://schemas.openxmlformats.org/officeDocument/2006/relationships/image" Target="media/image40.jpeg"/><Relationship Id="rId204" Type="http://schemas.openxmlformats.org/officeDocument/2006/relationships/image" Target="media/image49.emf"/><Relationship Id="rId15" Type="http://schemas.openxmlformats.org/officeDocument/2006/relationships/chart" Target="charts/chart2.xml"/><Relationship Id="rId36" Type="http://schemas.openxmlformats.org/officeDocument/2006/relationships/chart" Target="charts/chart18.xml"/><Relationship Id="rId57" Type="http://schemas.openxmlformats.org/officeDocument/2006/relationships/chart" Target="charts/chart39.xml"/><Relationship Id="rId106" Type="http://schemas.openxmlformats.org/officeDocument/2006/relationships/image" Target="media/image19.emf"/><Relationship Id="rId127" Type="http://schemas.openxmlformats.org/officeDocument/2006/relationships/hyperlink" Target="https://rpn.gov.ru/activity/regulation/kadastr/groro/18545/" TargetMode="External"/><Relationship Id="rId10" Type="http://schemas.openxmlformats.org/officeDocument/2006/relationships/hyperlink" Target="https://tarif.nso.ru/" TargetMode="External"/><Relationship Id="rId31" Type="http://schemas.openxmlformats.org/officeDocument/2006/relationships/chart" Target="charts/chart15.xml"/><Relationship Id="rId52" Type="http://schemas.openxmlformats.org/officeDocument/2006/relationships/chart" Target="charts/chart34.xml"/><Relationship Id="rId73" Type="http://schemas.openxmlformats.org/officeDocument/2006/relationships/chart" Target="charts/chart47.xml"/><Relationship Id="rId78" Type="http://schemas.openxmlformats.org/officeDocument/2006/relationships/image" Target="media/image8.png"/><Relationship Id="rId94" Type="http://schemas.openxmlformats.org/officeDocument/2006/relationships/image" Target="media/media3.svg"/><Relationship Id="rId99" Type="http://schemas.openxmlformats.org/officeDocument/2006/relationships/image" Target="media/media5.svg"/><Relationship Id="rId101" Type="http://schemas.openxmlformats.org/officeDocument/2006/relationships/image" Target="media/image17.emf"/><Relationship Id="rId122" Type="http://schemas.microsoft.com/office/2007/relationships/diagramDrawing" Target="diagrams/drawing2.xml"/><Relationship Id="rId143" Type="http://schemas.openxmlformats.org/officeDocument/2006/relationships/image" Target="media/image26.png"/><Relationship Id="rId148" Type="http://schemas.openxmlformats.org/officeDocument/2006/relationships/hyperlink" Target="https://tarif.nso.ru/page/430" TargetMode="External"/><Relationship Id="rId164" Type="http://schemas.openxmlformats.org/officeDocument/2006/relationships/image" Target="media/image36.png"/><Relationship Id="rId169" Type="http://schemas.openxmlformats.org/officeDocument/2006/relationships/hyperlink" Target="https://tarif.nso.ru/page/96" TargetMode="External"/><Relationship Id="rId185" Type="http://schemas.openxmlformats.org/officeDocument/2006/relationships/hyperlink" Target="http://www.tarif.nso.ru" TargetMode="External"/><Relationship Id="rId4" Type="http://schemas.microsoft.com/office/2007/relationships/stylesWithEffects" Target="stylesWithEffects.xml"/><Relationship Id="rId9" Type="http://schemas.openxmlformats.org/officeDocument/2006/relationships/hyperlink" Target="consultantplus://offline/ref=66567A1A3403BC357EDA04688DB923AE7727545A2F8AAD7440ABDF9A35B7DF1C81843A26BF2C27F1C5A37744C6T1kAK" TargetMode="External"/><Relationship Id="rId180" Type="http://schemas.openxmlformats.org/officeDocument/2006/relationships/hyperlink" Target="https://tarif.nso.ru/page/102" TargetMode="External"/><Relationship Id="rId210" Type="http://schemas.openxmlformats.org/officeDocument/2006/relationships/theme" Target="theme/theme1.xml"/><Relationship Id="rId26" Type="http://schemas.openxmlformats.org/officeDocument/2006/relationships/chart" Target="charts/chart10.xml"/><Relationship Id="rId47" Type="http://schemas.openxmlformats.org/officeDocument/2006/relationships/chart" Target="charts/chart29.xml"/><Relationship Id="rId68" Type="http://schemas.openxmlformats.org/officeDocument/2006/relationships/chart" Target="charts/chart44.xml"/><Relationship Id="rId89" Type="http://schemas.openxmlformats.org/officeDocument/2006/relationships/image" Target="media/media1.svg"/><Relationship Id="rId112" Type="http://schemas.openxmlformats.org/officeDocument/2006/relationships/hyperlink" Target="https://tarif.nso.ru/page/93" TargetMode="External"/><Relationship Id="rId133" Type="http://schemas.openxmlformats.org/officeDocument/2006/relationships/hyperlink" Target="https://rpn.gov.ru/activity/regulation/kadastr/groro/21489/" TargetMode="External"/><Relationship Id="rId154" Type="http://schemas.openxmlformats.org/officeDocument/2006/relationships/diagramColors" Target="diagrams/colors4.xml"/><Relationship Id="rId175" Type="http://schemas.openxmlformats.org/officeDocument/2006/relationships/hyperlink" Target="https://tarif.nso.ru/page/98" TargetMode="External"/><Relationship Id="rId196" Type="http://schemas.openxmlformats.org/officeDocument/2006/relationships/image" Target="media/image44.jpeg"/><Relationship Id="rId200" Type="http://schemas.openxmlformats.org/officeDocument/2006/relationships/image" Target="media/image48.jpeg"/><Relationship Id="rId16" Type="http://schemas.openxmlformats.org/officeDocument/2006/relationships/chart" Target="charts/chart3.xml"/><Relationship Id="rId37" Type="http://schemas.openxmlformats.org/officeDocument/2006/relationships/chart" Target="charts/chart19.xml"/><Relationship Id="rId58" Type="http://schemas.openxmlformats.org/officeDocument/2006/relationships/chart" Target="charts/chart40.xml"/><Relationship Id="rId79" Type="http://schemas.openxmlformats.org/officeDocument/2006/relationships/image" Target="media/image9.png"/><Relationship Id="rId102" Type="http://schemas.openxmlformats.org/officeDocument/2006/relationships/image" Target="media/media6.svg"/><Relationship Id="rId123" Type="http://schemas.openxmlformats.org/officeDocument/2006/relationships/hyperlink" Target="https://rpn.gov.ru/activity/regulation/kadastr/groro/18530/" TargetMode="External"/><Relationship Id="rId144" Type="http://schemas.openxmlformats.org/officeDocument/2006/relationships/image" Target="media/image27.png"/><Relationship Id="rId90" Type="http://schemas.openxmlformats.org/officeDocument/2006/relationships/chart" Target="charts/chart52.xml"/><Relationship Id="rId165" Type="http://schemas.openxmlformats.org/officeDocument/2006/relationships/hyperlink" Target="consultantplus://offline/ref=709B485C245F50CF43A47F5D3C8B886DCF87FC4F9878B479FF5AC6DF65D4541FF22517BBF7C5Z838C" TargetMode="External"/><Relationship Id="rId186" Type="http://schemas.openxmlformats.org/officeDocument/2006/relationships/hyperlink" Target="file://C:\Users\kuv.NOV\Downloads\&#1072;&#1082;&#1090;&#1091;&#1072;&#1083;&#1100;&#1085;&#1072;&#1103;%20&#1080;&#1085;&#1092;&#1086;&#1088;&#1084;&#1072;&#1094;&#1080;&#1103;%20&#1086;%20&#1087;&#1088;&#1077;&#1076;&#1077;&#1083;&#1100;&#1085;&#1099;&#1093;%20&#1086;&#1090;&#1087;&#1091;&#1089;&#1082;&#1085;&#1099;&#1093;%20&#1094;&#1077;&#1085;&#1072;&#1093;,%20&#1079;&#1072;&#1088;&#1077;&#1075;&#1080;&#1089;&#1090;&#1088;&#1080;&#1088;&#1086;&#1074;&#1072;&#1085;&#1085;&#1099;&#1093;%20&#1080;%20&#1074;&#1085;&#1077;&#1089;&#1077;&#1085;&#1085;&#1099;&#1093;%20&#1074;%20&#1043;&#1086;&#1089;&#1091;&#1076;&#1072;&#1088;&#1089;&#1090;&#1074;&#1077;&#1085;&#1085;&#1099;&#1081;%20&#1056;&#1077;&#1077;&#1089;&#1090;&#1088;%20&#1094;&#1077;&#1085;%20&#1085;&#1072;%20&#1046;&#1053;&#1042;&#1051;&#1057;%20&#1080;%20&#1087;&#1088;&#1077;&#1076;&#1077;&#1083;&#1100;&#1085;&#1099;&#1093;%20&#1086;&#1087;&#1090;&#1086;&#1074;&#1099;&#1093;%20&#1080;%20&#1088;&#1086;&#1079;&#1085;&#1080;&#1095;&#1085;&#1099;&#1093;%20&#1094;&#1077;&#1085;&#1072;&#1093;%20&#1085;&#1072;%20&#1078;&#1080;&#1079;&#1085;&#1077;&#1085;&#1085;&#1086;%20&#1085;&#1077;&#1086;&#1073;&#1093;&#1086;&#1076;&#1080;&#1084;&#1099;&#1077;%20&#1080;%20&#1074;&#1072;&#1078;&#1085;&#1077;&#1081;&#1096;&#1080;&#1077;%20&#1083;&#1077;&#1082;&#1072;&#1088;&#1089;&#1090;&#1074;&#1077;&#1085;&#1085;&#1099;&#1077;%20&#1087;&#1088;&#1077;&#1087;&#1072;&#1088;&#1072;&#1090;&#1099;%20&#1085;&#1072;%20&#1090;&#1077;&#1088;&#1088;&#1080;&#1090;&#1086;&#1088;&#1080;&#1080;%20&#1053;&#1086;&#1074;&#1086;&#1089;&#1080;&#1073;&#1080;&#1088;&#1089;&#1082;&#1086;&#1081;%20&#1086;&#1073;&#1083;&#1072;&#1089;&#1090;&#1080;" TargetMode="External"/><Relationship Id="rId27" Type="http://schemas.openxmlformats.org/officeDocument/2006/relationships/chart" Target="charts/chart11.xml"/><Relationship Id="rId48" Type="http://schemas.openxmlformats.org/officeDocument/2006/relationships/chart" Target="charts/chart30.xml"/><Relationship Id="rId69" Type="http://schemas.openxmlformats.org/officeDocument/2006/relationships/chart" Target="charts/chart45.xml"/><Relationship Id="rId113" Type="http://schemas.openxmlformats.org/officeDocument/2006/relationships/diagramData" Target="diagrams/data1.xml"/><Relationship Id="rId134" Type="http://schemas.openxmlformats.org/officeDocument/2006/relationships/image" Target="media/image22.png"/><Relationship Id="rId80" Type="http://schemas.openxmlformats.org/officeDocument/2006/relationships/image" Target="media/image10.png"/><Relationship Id="rId155" Type="http://schemas.microsoft.com/office/2007/relationships/diagramDrawing" Target="diagrams/drawing4.xml"/><Relationship Id="rId176" Type="http://schemas.openxmlformats.org/officeDocument/2006/relationships/hyperlink" Target="https://tarif.nso.ru/page/99" TargetMode="External"/><Relationship Id="rId197" Type="http://schemas.openxmlformats.org/officeDocument/2006/relationships/image" Target="media/image45.jpeg"/><Relationship Id="rId201" Type="http://schemas.openxmlformats.org/officeDocument/2006/relationships/hyperlink" Target="https://login.consultant.ru/link/?req=doc&amp;base=LAW&amp;n=465728&amp;dst=101038" TargetMode="External"/><Relationship Id="rId17" Type="http://schemas.openxmlformats.org/officeDocument/2006/relationships/image" Target="media/image1.emf"/><Relationship Id="rId38" Type="http://schemas.openxmlformats.org/officeDocument/2006/relationships/chart" Target="charts/chart20.xml"/><Relationship Id="rId59" Type="http://schemas.openxmlformats.org/officeDocument/2006/relationships/hyperlink" Target="https://tarif.nso.ru/page/143" TargetMode="External"/><Relationship Id="rId103" Type="http://schemas.openxmlformats.org/officeDocument/2006/relationships/image" Target="media/image18.emf"/><Relationship Id="rId124" Type="http://schemas.openxmlformats.org/officeDocument/2006/relationships/hyperlink" Target="https://rpn.gov.ru/activity/regulation/kadastr/groro/21595/" TargetMode="External"/><Relationship Id="rId70" Type="http://schemas.openxmlformats.org/officeDocument/2006/relationships/image" Target="media/image6.png"/><Relationship Id="rId91" Type="http://schemas.openxmlformats.org/officeDocument/2006/relationships/image" Target="media/image13.emf"/><Relationship Id="rId145" Type="http://schemas.openxmlformats.org/officeDocument/2006/relationships/image" Target="media/image28.png"/><Relationship Id="rId166" Type="http://schemas.openxmlformats.org/officeDocument/2006/relationships/hyperlink" Target="consultantplus://offline/ref=6FE16E0E96A3C644FEAF4BBB4E6AB9EECDFC3B1222D37B36B4D892A4C8030429D1FF3312B1569284925098BCEC0AEFDAF80E31F94BF289AC828365E8y7r0D" TargetMode="External"/><Relationship Id="rId187" Type="http://schemas.openxmlformats.org/officeDocument/2006/relationships/image" Target="media/image37.jpeg"/><Relationship Id="rId1" Type="http://schemas.openxmlformats.org/officeDocument/2006/relationships/customXml" Target="../customXml/item1.xml"/><Relationship Id="rId28" Type="http://schemas.openxmlformats.org/officeDocument/2006/relationships/chart" Target="charts/chart12.xml"/><Relationship Id="rId49" Type="http://schemas.openxmlformats.org/officeDocument/2006/relationships/chart" Target="charts/chart31.xml"/><Relationship Id="rId114" Type="http://schemas.openxmlformats.org/officeDocument/2006/relationships/diagramLayout" Target="diagrams/layout1.xml"/><Relationship Id="rId60" Type="http://schemas.openxmlformats.org/officeDocument/2006/relationships/hyperlink" Target="http://www.tarif.nso.ru" TargetMode="External"/><Relationship Id="rId81" Type="http://schemas.openxmlformats.org/officeDocument/2006/relationships/image" Target="media/image11.png"/><Relationship Id="rId135" Type="http://schemas.openxmlformats.org/officeDocument/2006/relationships/image" Target="media/image23.png"/><Relationship Id="rId156" Type="http://schemas.openxmlformats.org/officeDocument/2006/relationships/diagramData" Target="diagrams/data5.xml"/><Relationship Id="rId177" Type="http://schemas.openxmlformats.org/officeDocument/2006/relationships/hyperlink" Target="https://rosstat.gov.ru" TargetMode="External"/><Relationship Id="rId198" Type="http://schemas.openxmlformats.org/officeDocument/2006/relationships/image" Target="media/image46.jpeg"/><Relationship Id="rId202" Type="http://schemas.openxmlformats.org/officeDocument/2006/relationships/hyperlink" Target="https://tarif.nso.ru/page/414" TargetMode="External"/><Relationship Id="rId18" Type="http://schemas.openxmlformats.org/officeDocument/2006/relationships/chart" Target="charts/chart4.xml"/><Relationship Id="rId39" Type="http://schemas.openxmlformats.org/officeDocument/2006/relationships/chart" Target="charts/chart21.xml"/><Relationship Id="rId50" Type="http://schemas.openxmlformats.org/officeDocument/2006/relationships/chart" Target="charts/chart32.xml"/><Relationship Id="rId104" Type="http://schemas.openxmlformats.org/officeDocument/2006/relationships/image" Target="media/media7.svg"/><Relationship Id="rId125" Type="http://schemas.openxmlformats.org/officeDocument/2006/relationships/hyperlink" Target="https://rpn.gov.ru/activity/regulation/kadastr/groro/18539/" TargetMode="External"/><Relationship Id="rId146" Type="http://schemas.openxmlformats.org/officeDocument/2006/relationships/image" Target="media/image29.png"/><Relationship Id="rId167" Type="http://schemas.openxmlformats.org/officeDocument/2006/relationships/chart" Target="charts/chart56.xml"/><Relationship Id="rId188" Type="http://schemas.openxmlformats.org/officeDocument/2006/relationships/image" Target="media/image38.jpeg"/><Relationship Id="rId71" Type="http://schemas.openxmlformats.org/officeDocument/2006/relationships/chart" Target="charts/chart46.xml"/><Relationship Id="rId92" Type="http://schemas.openxmlformats.org/officeDocument/2006/relationships/image" Target="media/media2.svg"/></Relationships>
</file>

<file path=word/_rels/footnotes.xml.rels><?xml version="1.0" encoding="UTF-8" standalone="yes"?>
<Relationships xmlns="http://schemas.openxmlformats.org/package/2006/relationships"><Relationship Id="rId2" Type="http://schemas.openxmlformats.org/officeDocument/2006/relationships/hyperlink" Target="https://rpn.gov.ru/activity/regulation/kadastr/oro/" TargetMode="External"/><Relationship Id="rId1" Type="http://schemas.openxmlformats.org/officeDocument/2006/relationships/hyperlink" Target="https://rpn.gov.ru/activity/regulation/register/"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3.xlsx"/><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embeddings/oleObject1.bin"/></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oleObject" Target="../embeddings/oleObject2.bin"/><Relationship Id="rId1" Type="http://schemas.openxmlformats.org/officeDocument/2006/relationships/themeOverride" Target="../theme/themeOverride2.xml"/></Relationships>
</file>

<file path=word/charts/_rels/chart9.xml.rels><?xml version="1.0" encoding="UTF-8" standalone="yes"?>
<Relationships xmlns="http://schemas.openxmlformats.org/package/2006/relationships"><Relationship Id="rId3" Type="http://schemas.openxmlformats.org/officeDocument/2006/relationships/chartUserShapes" Target="../drawings/drawing8.xml"/><Relationship Id="rId2" Type="http://schemas.openxmlformats.org/officeDocument/2006/relationships/oleObject" Target="../embeddings/oleObject3.bin"/><Relationship Id="rId1" Type="http://schemas.openxmlformats.org/officeDocument/2006/relationships/themeOverride" Target="../theme/themeOverride3.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9.xml"/><Relationship Id="rId2" Type="http://schemas.openxmlformats.org/officeDocument/2006/relationships/oleObject" Target="../embeddings/oleObject4.bin"/><Relationship Id="rId1" Type="http://schemas.openxmlformats.org/officeDocument/2006/relationships/themeOverride" Target="../theme/themeOverride4.xml"/></Relationships>
</file>

<file path=word/charts/_rels/chart11.xml.rels><?xml version="1.0" encoding="UTF-8" standalone="yes"?>
<Relationships xmlns="http://schemas.openxmlformats.org/package/2006/relationships"><Relationship Id="rId3" Type="http://schemas.openxmlformats.org/officeDocument/2006/relationships/chartUserShapes" Target="../drawings/drawing10.xml"/><Relationship Id="rId2" Type="http://schemas.openxmlformats.org/officeDocument/2006/relationships/oleObject" Target="../embeddings/oleObject5.bin"/><Relationship Id="rId1" Type="http://schemas.openxmlformats.org/officeDocument/2006/relationships/themeOverride" Target="../theme/themeOverride5.xml"/></Relationships>
</file>

<file path=word/charts/_rels/chart12.xml.rels><?xml version="1.0" encoding="UTF-8" standalone="yes"?>
<Relationships xmlns="http://schemas.openxmlformats.org/package/2006/relationships"><Relationship Id="rId3" Type="http://schemas.openxmlformats.org/officeDocument/2006/relationships/chartUserShapes" Target="../drawings/drawing11.xml"/><Relationship Id="rId2" Type="http://schemas.openxmlformats.org/officeDocument/2006/relationships/oleObject" Target="../embeddings/oleObject6.bin"/><Relationship Id="rId1" Type="http://schemas.openxmlformats.org/officeDocument/2006/relationships/themeOverride" Target="../theme/themeOverride6.xml"/></Relationships>
</file>

<file path=word/charts/_rels/chart13.xml.rels><?xml version="1.0" encoding="UTF-8" standalone="yes"?>
<Relationships xmlns="http://schemas.openxmlformats.org/package/2006/relationships"><Relationship Id="rId3" Type="http://schemas.openxmlformats.org/officeDocument/2006/relationships/chartUserShapes" Target="../drawings/drawing12.xml"/><Relationship Id="rId2" Type="http://schemas.openxmlformats.org/officeDocument/2006/relationships/oleObject" Target="../embeddings/oleObject7.bin"/><Relationship Id="rId1" Type="http://schemas.openxmlformats.org/officeDocument/2006/relationships/themeOverride" Target="../theme/themeOverride7.xml"/></Relationships>
</file>

<file path=word/charts/_rels/chart14.xml.rels><?xml version="1.0" encoding="UTF-8" standalone="yes"?>
<Relationships xmlns="http://schemas.openxmlformats.org/package/2006/relationships"><Relationship Id="rId1" Type="http://schemas.openxmlformats.org/officeDocument/2006/relationships/oleObject" Target="../embeddings/oleObject8.bin"/></Relationships>
</file>

<file path=word/charts/_rels/chart15.xml.rels><?xml version="1.0" encoding="UTF-8" standalone="yes"?>
<Relationships xmlns="http://schemas.openxmlformats.org/package/2006/relationships"><Relationship Id="rId1" Type="http://schemas.openxmlformats.org/officeDocument/2006/relationships/oleObject" Target="../embeddings/oleObject9.bin"/></Relationships>
</file>

<file path=word/charts/_rels/chart16.xml.rels><?xml version="1.0" encoding="UTF-8" standalone="yes"?>
<Relationships xmlns="http://schemas.openxmlformats.org/package/2006/relationships"><Relationship Id="rId1" Type="http://schemas.openxmlformats.org/officeDocument/2006/relationships/oleObject" Target="../embeddings/oleObject10.bin"/></Relationships>
</file>

<file path=word/charts/_rels/chart17.xml.rels><?xml version="1.0" encoding="UTF-8" standalone="yes"?>
<Relationships xmlns="http://schemas.openxmlformats.org/package/2006/relationships"><Relationship Id="rId1" Type="http://schemas.openxmlformats.org/officeDocument/2006/relationships/oleObject" Target="../embeddings/oleObject11.bin"/></Relationships>
</file>

<file path=word/charts/_rels/chart18.xml.rels><?xml version="1.0" encoding="UTF-8" standalone="yes"?>
<Relationships xmlns="http://schemas.openxmlformats.org/package/2006/relationships"><Relationship Id="rId1" Type="http://schemas.openxmlformats.org/officeDocument/2006/relationships/oleObject" Target="../embeddings/oleObject12.bin"/></Relationships>
</file>

<file path=word/charts/_rels/chart19.xml.rels><?xml version="1.0" encoding="UTF-8" standalone="yes"?>
<Relationships xmlns="http://schemas.openxmlformats.org/package/2006/relationships"><Relationship Id="rId1" Type="http://schemas.openxmlformats.org/officeDocument/2006/relationships/oleObject" Target="../embeddings/oleObject13.bin"/></Relationships>
</file>

<file path=word/charts/_rels/chart20.xml.rels><?xml version="1.0" encoding="UTF-8" standalone="yes"?>
<Relationships xmlns="http://schemas.openxmlformats.org/package/2006/relationships"><Relationship Id="rId1" Type="http://schemas.openxmlformats.org/officeDocument/2006/relationships/oleObject" Target="../embeddings/oleObject14.bin"/></Relationships>
</file>

<file path=word/charts/_rels/chart21.xml.rels><?xml version="1.0" encoding="UTF-8" standalone="yes"?>
<Relationships xmlns="http://schemas.openxmlformats.org/package/2006/relationships"><Relationship Id="rId1" Type="http://schemas.openxmlformats.org/officeDocument/2006/relationships/oleObject" Target="../embeddings/oleObject15.bin"/></Relationships>
</file>

<file path=word/charts/_rels/chart22.xml.rels><?xml version="1.0" encoding="UTF-8" standalone="yes"?>
<Relationships xmlns="http://schemas.openxmlformats.org/package/2006/relationships"><Relationship Id="rId1" Type="http://schemas.openxmlformats.org/officeDocument/2006/relationships/oleObject" Target="../embeddings/oleObject16.bin"/></Relationships>
</file>

<file path=word/charts/_rels/chart23.xml.rels><?xml version="1.0" encoding="UTF-8" standalone="yes"?>
<Relationships xmlns="http://schemas.openxmlformats.org/package/2006/relationships"><Relationship Id="rId1" Type="http://schemas.openxmlformats.org/officeDocument/2006/relationships/oleObject" Target="../embeddings/oleObject17.bin"/></Relationships>
</file>

<file path=word/charts/_rels/chart24.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8.xml"/></Relationships>
</file>

<file path=word/charts/_rels/chart25.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9.xml"/></Relationships>
</file>

<file path=word/charts/_rels/chart26.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0.xml"/></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28.xml.rels><?xml version="1.0" encoding="UTF-8" standalone="yes"?>
<Relationships xmlns="http://schemas.openxmlformats.org/package/2006/relationships"><Relationship Id="rId1" Type="http://schemas.openxmlformats.org/officeDocument/2006/relationships/oleObject" Target="../embeddings/oleObject18.bin"/></Relationships>
</file>

<file path=word/charts/_rels/chart29.xml.rels><?xml version="1.0" encoding="UTF-8" standalone="yes"?>
<Relationships xmlns="http://schemas.openxmlformats.org/package/2006/relationships"><Relationship Id="rId1" Type="http://schemas.openxmlformats.org/officeDocument/2006/relationships/oleObject" Target="../embeddings/oleObject19.bin"/></Relationships>
</file>

<file path=word/charts/_rels/chart30.xml.rels><?xml version="1.0" encoding="UTF-8" standalone="yes"?>
<Relationships xmlns="http://schemas.openxmlformats.org/package/2006/relationships"><Relationship Id="rId1" Type="http://schemas.openxmlformats.org/officeDocument/2006/relationships/oleObject" Target="../embeddings/oleObject20.bin"/></Relationships>
</file>

<file path=word/charts/_rels/chart31.xml.rels><?xml version="1.0" encoding="UTF-8" standalone="yes"?>
<Relationships xmlns="http://schemas.openxmlformats.org/package/2006/relationships"><Relationship Id="rId3" Type="http://schemas.openxmlformats.org/officeDocument/2006/relationships/chartUserShapes" Target="../drawings/drawing13.xml"/><Relationship Id="rId2" Type="http://schemas.openxmlformats.org/officeDocument/2006/relationships/oleObject" Target="../embeddings/oleObject21.bin"/><Relationship Id="rId1" Type="http://schemas.openxmlformats.org/officeDocument/2006/relationships/themeOverride" Target="../theme/themeOverride11.xml"/></Relationships>
</file>

<file path=word/charts/_rels/chart32.xml.rels><?xml version="1.0" encoding="UTF-8" standalone="yes"?>
<Relationships xmlns="http://schemas.openxmlformats.org/package/2006/relationships"><Relationship Id="rId3" Type="http://schemas.openxmlformats.org/officeDocument/2006/relationships/chartUserShapes" Target="../drawings/drawing14.xml"/><Relationship Id="rId2" Type="http://schemas.openxmlformats.org/officeDocument/2006/relationships/oleObject" Target="file:///\\10.54.1.5\Cenoviki\2024\&#1054;&#1090;&#1095;&#1077;&#1090;%20&#1044;&#1058;%20&#1079;&#1072;%202023%20&#1075;&#1086;&#1076;\&#1057;&#1053;_&#1089;&#1074;&#1086;&#1076;_2012-2024.xlsx" TargetMode="External"/><Relationship Id="rId1" Type="http://schemas.openxmlformats.org/officeDocument/2006/relationships/themeOverride" Target="../theme/themeOverride12.xml"/></Relationships>
</file>

<file path=word/charts/_rels/chart33.xml.rels><?xml version="1.0" encoding="UTF-8" standalone="yes"?>
<Relationships xmlns="http://schemas.openxmlformats.org/package/2006/relationships"><Relationship Id="rId2" Type="http://schemas.openxmlformats.org/officeDocument/2006/relationships/oleObject" Target="file:///\\10.54.1.5\Cenoviki\2025\&#1054;&#1090;&#1095;&#1077;&#1090;%20&#1044;&#1058;%20&#1079;&#1072;%202024\&#1057;&#1053;_&#1089;&#1074;&#1086;&#1076;_2012-2025.xlsx" TargetMode="External"/><Relationship Id="rId1" Type="http://schemas.openxmlformats.org/officeDocument/2006/relationships/themeOverride" Target="../theme/themeOverride13.xml"/></Relationships>
</file>

<file path=word/charts/_rels/chart34.xml.rels><?xml version="1.0" encoding="UTF-8" standalone="yes"?>
<Relationships xmlns="http://schemas.openxmlformats.org/package/2006/relationships"><Relationship Id="rId3" Type="http://schemas.openxmlformats.org/officeDocument/2006/relationships/chartUserShapes" Target="../drawings/drawing15.xml"/><Relationship Id="rId2" Type="http://schemas.openxmlformats.org/officeDocument/2006/relationships/oleObject" Target="file:///\\10.54.1.5\Cenoviki\2025\&#1054;&#1090;&#1095;&#1077;&#1090;%20&#1044;&#1058;%20&#1079;&#1072;%202024\&#1057;&#1053;_&#1089;&#1074;&#1086;&#1076;_2012-2025.xlsx" TargetMode="External"/><Relationship Id="rId1" Type="http://schemas.openxmlformats.org/officeDocument/2006/relationships/themeOverride" Target="../theme/themeOverride14.xml"/></Relationships>
</file>

<file path=word/charts/_rels/chart35.xml.rels><?xml version="1.0" encoding="UTF-8" standalone="yes"?>
<Relationships xmlns="http://schemas.openxmlformats.org/package/2006/relationships"><Relationship Id="rId3" Type="http://schemas.openxmlformats.org/officeDocument/2006/relationships/chartUserShapes" Target="../drawings/drawing16.xml"/><Relationship Id="rId2" Type="http://schemas.openxmlformats.org/officeDocument/2006/relationships/oleObject" Target="../embeddings/oleObject22.bin"/><Relationship Id="rId1" Type="http://schemas.openxmlformats.org/officeDocument/2006/relationships/themeOverride" Target="../theme/themeOverride15.xml"/></Relationships>
</file>

<file path=word/charts/_rels/chart36.xml.rels><?xml version="1.0" encoding="UTF-8" standalone="yes"?>
<Relationships xmlns="http://schemas.openxmlformats.org/package/2006/relationships"><Relationship Id="rId3" Type="http://schemas.openxmlformats.org/officeDocument/2006/relationships/chartUserShapes" Target="../drawings/drawing17.xml"/><Relationship Id="rId2" Type="http://schemas.openxmlformats.org/officeDocument/2006/relationships/oleObject" Target="../embeddings/oleObject23.bin"/><Relationship Id="rId1" Type="http://schemas.openxmlformats.org/officeDocument/2006/relationships/themeOverride" Target="../theme/themeOverride16.xml"/></Relationships>
</file>

<file path=word/charts/_rels/chart37.xml.rels><?xml version="1.0" encoding="UTF-8" standalone="yes"?>
<Relationships xmlns="http://schemas.openxmlformats.org/package/2006/relationships"><Relationship Id="rId3" Type="http://schemas.openxmlformats.org/officeDocument/2006/relationships/chartUserShapes" Target="../drawings/drawing18.xml"/><Relationship Id="rId2" Type="http://schemas.openxmlformats.org/officeDocument/2006/relationships/oleObject" Target="../embeddings/oleObject24.bin"/><Relationship Id="rId1" Type="http://schemas.openxmlformats.org/officeDocument/2006/relationships/themeOverride" Target="../theme/themeOverride17.xml"/></Relationships>
</file>

<file path=word/charts/_rels/chart38.xml.rels><?xml version="1.0" encoding="UTF-8" standalone="yes"?>
<Relationships xmlns="http://schemas.openxmlformats.org/package/2006/relationships"><Relationship Id="rId3" Type="http://schemas.openxmlformats.org/officeDocument/2006/relationships/chartUserShapes" Target="../drawings/drawing19.xml"/><Relationship Id="rId2" Type="http://schemas.openxmlformats.org/officeDocument/2006/relationships/oleObject" Target="../embeddings/oleObject25.bin"/><Relationship Id="rId1" Type="http://schemas.openxmlformats.org/officeDocument/2006/relationships/themeOverride" Target="../theme/themeOverride18.xml"/></Relationships>
</file>

<file path=word/charts/_rels/chart39.xml.rels><?xml version="1.0" encoding="UTF-8" standalone="yes"?>
<Relationships xmlns="http://schemas.openxmlformats.org/package/2006/relationships"><Relationship Id="rId3" Type="http://schemas.openxmlformats.org/officeDocument/2006/relationships/chartUserShapes" Target="../drawings/drawing20.xml"/><Relationship Id="rId2" Type="http://schemas.openxmlformats.org/officeDocument/2006/relationships/oleObject" Target="../embeddings/oleObject26.bin"/><Relationship Id="rId1" Type="http://schemas.openxmlformats.org/officeDocument/2006/relationships/themeOverride" Target="../theme/themeOverride19.xml"/></Relationships>
</file>

<file path=word/charts/_rels/chart40.xml.rels><?xml version="1.0" encoding="UTF-8" standalone="yes"?>
<Relationships xmlns="http://schemas.openxmlformats.org/package/2006/relationships"><Relationship Id="rId3" Type="http://schemas.openxmlformats.org/officeDocument/2006/relationships/chartUserShapes" Target="../drawings/drawing21.xml"/><Relationship Id="rId2" Type="http://schemas.openxmlformats.org/officeDocument/2006/relationships/oleObject" Target="../embeddings/oleObject27.bin"/><Relationship Id="rId1" Type="http://schemas.openxmlformats.org/officeDocument/2006/relationships/themeOverride" Target="../theme/themeOverride20.xml"/></Relationships>
</file>

<file path=word/charts/_rels/chart41.xml.rels><?xml version="1.0" encoding="UTF-8" standalone="yes"?>
<Relationships xmlns="http://schemas.openxmlformats.org/package/2006/relationships"><Relationship Id="rId3" Type="http://schemas.openxmlformats.org/officeDocument/2006/relationships/chartUserShapes" Target="../drawings/drawing22.xml"/><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1.xml"/></Relationships>
</file>

<file path=word/charts/_rels/chart42.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43.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44.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45.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46.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47.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48.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49.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52.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22.xml"/></Relationships>
</file>

<file path=word/charts/_rels/chart53.xml.rels><?xml version="1.0" encoding="UTF-8" standalone="yes"?>
<Relationships xmlns="http://schemas.openxmlformats.org/package/2006/relationships"><Relationship Id="rId2" Type="http://schemas.openxmlformats.org/officeDocument/2006/relationships/package" Target="../embeddings/Microsoft_Excel_Worksheet22.xlsx"/><Relationship Id="rId1" Type="http://schemas.openxmlformats.org/officeDocument/2006/relationships/themeOverride" Target="../theme/themeOverride23.xml"/></Relationships>
</file>

<file path=word/charts/_rels/chart54.xml.rels><?xml version="1.0" encoding="UTF-8" standalone="yes"?>
<Relationships xmlns="http://schemas.openxmlformats.org/package/2006/relationships"><Relationship Id="rId2" Type="http://schemas.openxmlformats.org/officeDocument/2006/relationships/package" Target="../embeddings/Microsoft_Excel_Worksheet23.xlsx"/><Relationship Id="rId1" Type="http://schemas.openxmlformats.org/officeDocument/2006/relationships/themeOverride" Target="../theme/themeOverride24.xml"/></Relationships>
</file>

<file path=word/charts/_rels/chart55.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25.xml"/></Relationships>
</file>

<file path=word/charts/_rels/chart56.xml.rels><?xml version="1.0" encoding="UTF-8" standalone="yes"?>
<Relationships xmlns="http://schemas.openxmlformats.org/package/2006/relationships"><Relationship Id="rId2" Type="http://schemas.openxmlformats.org/officeDocument/2006/relationships/package" Target="../embeddings/Microsoft_Excel_Worksheet28.xlsx"/><Relationship Id="rId1" Type="http://schemas.openxmlformats.org/officeDocument/2006/relationships/themeOverride" Target="../theme/themeOverride26.xml"/></Relationships>
</file>

<file path=word/charts/_rels/chart57.xml.rels><?xml version="1.0" encoding="UTF-8" standalone="yes"?>
<Relationships xmlns="http://schemas.openxmlformats.org/package/2006/relationships"><Relationship Id="rId2" Type="http://schemas.openxmlformats.org/officeDocument/2006/relationships/chartUserShapes" Target="../drawings/drawing23.xml"/><Relationship Id="rId1" Type="http://schemas.openxmlformats.org/officeDocument/2006/relationships/package" Target="../embeddings/Microsoft_Excel_Worksheet29.xlsx"/></Relationships>
</file>

<file path=word/charts/_rels/chart58.xml.rels><?xml version="1.0" encoding="UTF-8" standalone="yes"?>
<Relationships xmlns="http://schemas.openxmlformats.org/package/2006/relationships"><Relationship Id="rId1" Type="http://schemas.openxmlformats.org/officeDocument/2006/relationships/oleObject" Target="file:///\\10.54.1.5\Transport2\&#1044;&#1056;&#1054;&#1053;&#1044;\2024\&#1044;&#1080;&#1072;&#1075;&#1088;&#1072;&#1084;&#1084;&#1072;%20&#1055;&#1046;&#1058;-2024%20&#1085;&#1072;%20202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75" b="1" i="0" u="none" strike="noStrike" baseline="0">
                <a:solidFill>
                  <a:srgbClr val="000000"/>
                </a:solidFill>
                <a:latin typeface="+mn-lt"/>
                <a:ea typeface="Arial Cyr"/>
                <a:cs typeface="Arial Cyr"/>
              </a:defRPr>
            </a:pPr>
            <a:r>
              <a:rPr lang="ru-RU" sz="1000">
                <a:latin typeface="Times New Roman" panose="02020603050405020304" pitchFamily="18" charset="0"/>
                <a:cs typeface="Times New Roman" panose="02020603050405020304" pitchFamily="18" charset="0"/>
              </a:rPr>
              <a:t>Динамика электропотребления Новосибирской области</a:t>
            </a:r>
          </a:p>
        </c:rich>
      </c:tx>
      <c:layout>
        <c:manualLayout>
          <c:xMode val="edge"/>
          <c:yMode val="edge"/>
          <c:x val="0.21748006236271483"/>
          <c:y val="2.8207731733738622E-2"/>
        </c:manualLayout>
      </c:layout>
      <c:overlay val="0"/>
      <c:spPr>
        <a:noFill/>
        <a:ln w="25400">
          <a:noFill/>
        </a:ln>
      </c:spPr>
    </c:title>
    <c:autoTitleDeleted val="0"/>
    <c:plotArea>
      <c:layout>
        <c:manualLayout>
          <c:layoutTarget val="inner"/>
          <c:xMode val="edge"/>
          <c:yMode val="edge"/>
          <c:x val="0.14631197282650113"/>
          <c:y val="0.13512572679096313"/>
          <c:w val="0.77172303001851283"/>
          <c:h val="0.59586703099484228"/>
        </c:manualLayout>
      </c:layout>
      <c:lineChart>
        <c:grouping val="standard"/>
        <c:varyColors val="0"/>
        <c:ser>
          <c:idx val="0"/>
          <c:order val="0"/>
          <c:tx>
            <c:strRef>
              <c:f>Свод!$A$9</c:f>
              <c:strCache>
                <c:ptCount val="1"/>
                <c:pt idx="0">
                  <c:v>факт</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dLbl>
              <c:idx val="0"/>
              <c:layout>
                <c:manualLayout>
                  <c:x val="-1.4103604132984789E-2"/>
                  <c:y val="-2.649996542151177E-2"/>
                </c:manualLayout>
              </c:layout>
              <c:dLblPos val="r"/>
              <c:showLegendKey val="0"/>
              <c:showVal val="1"/>
              <c:showCatName val="0"/>
              <c:showSerName val="0"/>
              <c:showPercent val="0"/>
              <c:showBubbleSize val="0"/>
            </c:dLbl>
            <c:dLbl>
              <c:idx val="1"/>
              <c:layout>
                <c:manualLayout>
                  <c:x val="-2.9551794125774616E-2"/>
                  <c:y val="-3.1367628607277293E-2"/>
                </c:manualLayout>
              </c:layout>
              <c:dLblPos val="r"/>
              <c:showLegendKey val="0"/>
              <c:showVal val="1"/>
              <c:showCatName val="0"/>
              <c:showSerName val="0"/>
              <c:showPercent val="0"/>
              <c:showBubbleSize val="0"/>
            </c:dLbl>
            <c:dLbl>
              <c:idx val="2"/>
              <c:layout>
                <c:manualLayout>
                  <c:x val="-4.288826139572411E-2"/>
                  <c:y val="-4.0843715112775271E-2"/>
                </c:manualLayout>
              </c:layout>
              <c:dLblPos val="r"/>
              <c:showLegendKey val="0"/>
              <c:showVal val="1"/>
              <c:showCatName val="0"/>
              <c:showSerName val="0"/>
              <c:showPercent val="0"/>
              <c:showBubbleSize val="0"/>
            </c:dLbl>
            <c:dLbl>
              <c:idx val="3"/>
              <c:layout>
                <c:manualLayout>
                  <c:x val="-3.7111738604275919E-2"/>
                  <c:y val="-3.0112923462986198E-2"/>
                </c:manualLayout>
              </c:layout>
              <c:showLegendKey val="0"/>
              <c:showVal val="1"/>
              <c:showCatName val="0"/>
              <c:showSerName val="0"/>
              <c:showPercent val="0"/>
              <c:showBubbleSize val="0"/>
            </c:dLbl>
            <c:dLbl>
              <c:idx val="4"/>
              <c:layout>
                <c:manualLayout>
                  <c:x val="-3.3905467343004071E-2"/>
                  <c:y val="-2.5700905956391632E-2"/>
                </c:manualLayout>
              </c:layout>
              <c:dLblPos val="r"/>
              <c:showLegendKey val="0"/>
              <c:showVal val="1"/>
              <c:showCatName val="0"/>
              <c:showSerName val="0"/>
              <c:showPercent val="0"/>
              <c:showBubbleSize val="0"/>
            </c:dLbl>
            <c:dLbl>
              <c:idx val="5"/>
              <c:layout>
                <c:manualLayout>
                  <c:x val="-3.9845505394923715E-2"/>
                  <c:y val="-5.3711852517807919E-2"/>
                </c:manualLayout>
              </c:layout>
              <c:tx>
                <c:rich>
                  <a:bodyPr/>
                  <a:lstStyle/>
                  <a:p>
                    <a:r>
                      <a:rPr lang="en-US" sz="900"/>
                      <a:t>16</a:t>
                    </a:r>
                    <a:r>
                      <a:rPr lang="ru-RU" sz="900"/>
                      <a:t>369</a:t>
                    </a:r>
                    <a:endParaRPr lang="en-US"/>
                  </a:p>
                </c:rich>
              </c:tx>
              <c:dLblPos val="r"/>
              <c:showLegendKey val="0"/>
              <c:showVal val="1"/>
              <c:showCatName val="0"/>
              <c:showSerName val="0"/>
              <c:showPercent val="0"/>
              <c:showBubbleSize val="0"/>
            </c:dLbl>
            <c:dLbl>
              <c:idx val="6"/>
              <c:layout>
                <c:manualLayout>
                  <c:x val="-5.3247277127874137E-2"/>
                  <c:y val="-3.7641154328732745E-2"/>
                </c:manualLayout>
              </c:layout>
              <c:showLegendKey val="0"/>
              <c:showVal val="1"/>
              <c:showCatName val="0"/>
              <c:showSerName val="0"/>
              <c:showPercent val="0"/>
              <c:showBubbleSize val="0"/>
            </c:dLbl>
            <c:dLbl>
              <c:idx val="7"/>
              <c:layout>
                <c:manualLayout>
                  <c:x val="-1.7849757174484168E-2"/>
                  <c:y val="4.9449981660377444E-2"/>
                </c:manualLayout>
              </c:layout>
              <c:tx>
                <c:rich>
                  <a:bodyPr/>
                  <a:lstStyle/>
                  <a:p>
                    <a:r>
                      <a:rPr lang="en-US" sz="900"/>
                      <a:t>17</a:t>
                    </a:r>
                    <a:r>
                      <a:rPr lang="ru-RU" sz="900"/>
                      <a:t>2</a:t>
                    </a:r>
                    <a:r>
                      <a:rPr lang="en-US" sz="900"/>
                      <a:t>8</a:t>
                    </a:r>
                    <a:r>
                      <a:rPr lang="ru-RU" sz="900"/>
                      <a:t>7</a:t>
                    </a:r>
                    <a:endParaRPr lang="en-US"/>
                  </a:p>
                </c:rich>
              </c:tx>
              <c:dLblPos val="r"/>
              <c:showLegendKey val="0"/>
              <c:showVal val="1"/>
              <c:showCatName val="0"/>
              <c:showSerName val="0"/>
              <c:showPercent val="0"/>
              <c:showBubbleSize val="0"/>
            </c:dLbl>
            <c:dLbl>
              <c:idx val="8"/>
              <c:layout>
                <c:manualLayout>
                  <c:x val="-4.8406615570794672E-3"/>
                  <c:y val="2.0075282308657464E-2"/>
                </c:manualLayout>
              </c:layout>
              <c:tx>
                <c:rich>
                  <a:bodyPr/>
                  <a:lstStyle/>
                  <a:p>
                    <a:r>
                      <a:rPr lang="en-US" sz="900"/>
                      <a:t>17262</a:t>
                    </a:r>
                    <a:endParaRPr lang="en-US"/>
                  </a:p>
                </c:rich>
              </c:tx>
              <c:showLegendKey val="0"/>
              <c:showVal val="1"/>
              <c:showCatName val="0"/>
              <c:showSerName val="0"/>
              <c:showPercent val="0"/>
              <c:showBubbleSize val="0"/>
            </c:dLbl>
            <c:spPr>
              <a:noFill/>
              <a:ln w="25400">
                <a:noFill/>
              </a:ln>
            </c:spPr>
            <c:txPr>
              <a:bodyPr/>
              <a:lstStyle/>
              <a:p>
                <a:pPr>
                  <a:defRPr sz="9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Свод!$G$7:$Q$7</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Свод!$G$9:$Q$9</c:f>
              <c:numCache>
                <c:formatCode>0</c:formatCode>
                <c:ptCount val="11"/>
                <c:pt idx="0">
                  <c:v>15588</c:v>
                </c:pt>
                <c:pt idx="1">
                  <c:v>15858</c:v>
                </c:pt>
                <c:pt idx="2">
                  <c:v>15948</c:v>
                </c:pt>
                <c:pt idx="3">
                  <c:v>16588</c:v>
                </c:pt>
                <c:pt idx="4">
                  <c:v>16627</c:v>
                </c:pt>
                <c:pt idx="5">
                  <c:v>16235</c:v>
                </c:pt>
                <c:pt idx="6">
                  <c:v>17262</c:v>
                </c:pt>
                <c:pt idx="7" formatCode="General">
                  <c:v>17385</c:v>
                </c:pt>
                <c:pt idx="8" formatCode="#,##0">
                  <c:v>17262.422860999999</c:v>
                </c:pt>
              </c:numCache>
            </c:numRef>
          </c:val>
          <c:smooth val="0"/>
        </c:ser>
        <c:ser>
          <c:idx val="1"/>
          <c:order val="1"/>
          <c:tx>
            <c:strRef>
              <c:f>Свод!$A$10</c:f>
              <c:strCache>
                <c:ptCount val="1"/>
                <c:pt idx="0">
                  <c:v>план</c:v>
                </c:pt>
              </c:strCache>
            </c:strRef>
          </c:tx>
          <c:spPr>
            <a:ln w="12700">
              <a:solidFill>
                <a:srgbClr val="FF00FF"/>
              </a:solidFill>
              <a:prstDash val="lgDash"/>
            </a:ln>
          </c:spPr>
          <c:marker>
            <c:symbol val="square"/>
            <c:size val="5"/>
            <c:spPr>
              <a:solidFill>
                <a:srgbClr val="FF00FF"/>
              </a:solidFill>
              <a:ln>
                <a:solidFill>
                  <a:srgbClr val="FF00FF"/>
                </a:solidFill>
                <a:prstDash val="solid"/>
              </a:ln>
            </c:spPr>
          </c:marker>
          <c:dLbls>
            <c:dLbl>
              <c:idx val="0"/>
              <c:layout>
                <c:manualLayout>
                  <c:x val="-6.4387151283378805E-3"/>
                  <c:y val="3.495331904089153E-2"/>
                </c:manualLayout>
              </c:layout>
              <c:dLblPos val="r"/>
              <c:showLegendKey val="0"/>
              <c:showVal val="1"/>
              <c:showCatName val="0"/>
              <c:showSerName val="0"/>
              <c:showPercent val="0"/>
              <c:showBubbleSize val="0"/>
            </c:dLbl>
            <c:dLbl>
              <c:idx val="1"/>
              <c:layout>
                <c:manualLayout>
                  <c:x val="-6.4542154094393194E-3"/>
                  <c:y val="3.0112923462986108E-2"/>
                </c:manualLayout>
              </c:layout>
              <c:showLegendKey val="0"/>
              <c:showVal val="1"/>
              <c:showCatName val="0"/>
              <c:showSerName val="0"/>
              <c:showPercent val="0"/>
              <c:showBubbleSize val="0"/>
            </c:dLbl>
            <c:dLbl>
              <c:idx val="2"/>
              <c:layout>
                <c:manualLayout>
                  <c:x val="-1.4680417872332315E-2"/>
                  <c:y val="2.8861577371837303E-2"/>
                </c:manualLayout>
              </c:layout>
              <c:dLblPos val="r"/>
              <c:showLegendKey val="0"/>
              <c:showVal val="1"/>
              <c:showCatName val="0"/>
              <c:showSerName val="0"/>
              <c:showPercent val="0"/>
              <c:showBubbleSize val="0"/>
            </c:dLbl>
            <c:dLbl>
              <c:idx val="3"/>
              <c:layout>
                <c:manualLayout>
                  <c:x val="-2.8079521524109606E-2"/>
                  <c:y val="3.1723688240350129E-2"/>
                </c:manualLayout>
              </c:layout>
              <c:dLblPos val="r"/>
              <c:showLegendKey val="0"/>
              <c:showVal val="1"/>
              <c:showCatName val="0"/>
              <c:showSerName val="0"/>
              <c:showPercent val="0"/>
              <c:showBubbleSize val="0"/>
            </c:dLbl>
            <c:dLbl>
              <c:idx val="4"/>
              <c:layout>
                <c:manualLayout>
                  <c:x val="-2.4203307785397352E-2"/>
                  <c:y val="2.509410288582184E-2"/>
                </c:manualLayout>
              </c:layout>
              <c:showLegendKey val="0"/>
              <c:showVal val="1"/>
              <c:showCatName val="0"/>
              <c:showSerName val="0"/>
              <c:showPercent val="0"/>
              <c:showBubbleSize val="0"/>
            </c:dLbl>
            <c:dLbl>
              <c:idx val="5"/>
              <c:layout>
                <c:manualLayout>
                  <c:x val="-3.067963015312886E-2"/>
                  <c:y val="4.6964897894664043E-2"/>
                </c:manualLayout>
              </c:layout>
              <c:tx>
                <c:rich>
                  <a:bodyPr/>
                  <a:lstStyle/>
                  <a:p>
                    <a:r>
                      <a:rPr lang="en-US" sz="900"/>
                      <a:t>16</a:t>
                    </a:r>
                    <a:r>
                      <a:rPr lang="ru-RU" sz="900"/>
                      <a:t>235</a:t>
                    </a:r>
                    <a:endParaRPr lang="en-US"/>
                  </a:p>
                </c:rich>
              </c:tx>
              <c:dLblPos val="r"/>
              <c:showLegendKey val="0"/>
              <c:showVal val="1"/>
              <c:showCatName val="0"/>
              <c:showSerName val="0"/>
              <c:showPercent val="0"/>
              <c:showBubbleSize val="0"/>
            </c:dLbl>
            <c:dLbl>
              <c:idx val="6"/>
              <c:layout>
                <c:manualLayout>
                  <c:x val="-1.5300683219357569E-2"/>
                  <c:y val="3.0941226449579678E-2"/>
                </c:manualLayout>
              </c:layout>
              <c:dLblPos val="r"/>
              <c:showLegendKey val="0"/>
              <c:showVal val="1"/>
              <c:showCatName val="0"/>
              <c:showSerName val="0"/>
              <c:showPercent val="0"/>
              <c:showBubbleSize val="0"/>
            </c:dLbl>
            <c:dLbl>
              <c:idx val="7"/>
              <c:layout>
                <c:manualLayout>
                  <c:x val="-5.126501874267507E-2"/>
                  <c:y val="-5.1074145447401624E-2"/>
                </c:manualLayout>
              </c:layout>
              <c:tx>
                <c:rich>
                  <a:bodyPr/>
                  <a:lstStyle/>
                  <a:p>
                    <a:r>
                      <a:rPr lang="en-US" sz="900"/>
                      <a:t>17</a:t>
                    </a:r>
                    <a:r>
                      <a:rPr lang="ru-RU" sz="900"/>
                      <a:t>3</a:t>
                    </a:r>
                    <a:r>
                      <a:rPr lang="en-US" sz="900"/>
                      <a:t>8</a:t>
                    </a:r>
                    <a:r>
                      <a:rPr lang="ru-RU" sz="900"/>
                      <a:t>5</a:t>
                    </a:r>
                    <a:endParaRPr lang="en-US"/>
                  </a:p>
                </c:rich>
              </c:tx>
              <c:dLblPos val="r"/>
              <c:showLegendKey val="0"/>
              <c:showVal val="1"/>
              <c:showCatName val="0"/>
              <c:showSerName val="0"/>
              <c:showPercent val="0"/>
              <c:showBubbleSize val="0"/>
            </c:dLbl>
            <c:dLbl>
              <c:idx val="8"/>
              <c:layout>
                <c:manualLayout>
                  <c:x val="-4.1952348804384552E-2"/>
                  <c:y val="-4.5631024963462705E-2"/>
                </c:manualLayout>
              </c:layout>
              <c:tx>
                <c:rich>
                  <a:bodyPr/>
                  <a:lstStyle/>
                  <a:p>
                    <a:r>
                      <a:rPr lang="en-US" sz="900"/>
                      <a:t>17345</a:t>
                    </a:r>
                    <a:endParaRPr lang="en-US"/>
                  </a:p>
                </c:rich>
              </c:tx>
              <c:showLegendKey val="0"/>
              <c:showVal val="1"/>
              <c:showCatName val="0"/>
              <c:showSerName val="0"/>
              <c:showPercent val="0"/>
              <c:showBubbleSize val="0"/>
            </c:dLbl>
            <c:dLbl>
              <c:idx val="9"/>
              <c:layout>
                <c:manualLayout>
                  <c:x val="-5.2776613600843986E-2"/>
                  <c:y val="-3.1987878815407988E-2"/>
                </c:manualLayout>
              </c:layout>
              <c:tx>
                <c:rich>
                  <a:bodyPr/>
                  <a:lstStyle/>
                  <a:p>
                    <a:r>
                      <a:rPr lang="en-US" sz="900"/>
                      <a:t>17640</a:t>
                    </a:r>
                    <a:endParaRPr lang="en-US"/>
                  </a:p>
                </c:rich>
              </c:tx>
              <c:showLegendKey val="0"/>
              <c:showVal val="1"/>
              <c:showCatName val="0"/>
              <c:showSerName val="0"/>
              <c:showPercent val="0"/>
              <c:showBubbleSize val="0"/>
            </c:dLbl>
            <c:dLbl>
              <c:idx val="10"/>
              <c:layout>
                <c:manualLayout>
                  <c:x val="-4.4305081333859818E-2"/>
                  <c:y val="-4.672739325648112E-2"/>
                </c:manualLayout>
              </c:layout>
              <c:tx>
                <c:rich>
                  <a:bodyPr/>
                  <a:lstStyle/>
                  <a:p>
                    <a:r>
                      <a:rPr lang="en-US" sz="900"/>
                      <a:t>17712</a:t>
                    </a:r>
                    <a:endParaRPr lang="en-US"/>
                  </a:p>
                </c:rich>
              </c:tx>
              <c:showLegendKey val="0"/>
              <c:showVal val="1"/>
              <c:showCatName val="0"/>
              <c:showSerName val="0"/>
              <c:showPercent val="0"/>
              <c:showBubbleSize val="0"/>
            </c:dLbl>
            <c:spPr>
              <a:noFill/>
              <a:ln w="25400">
                <a:noFill/>
              </a:ln>
            </c:spPr>
            <c:txPr>
              <a:bodyPr/>
              <a:lstStyle/>
              <a:p>
                <a:pPr>
                  <a:defRPr sz="9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Свод!$G$7:$Q$7</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Свод!$G$10:$Q$10</c:f>
              <c:numCache>
                <c:formatCode>0</c:formatCode>
                <c:ptCount val="11"/>
                <c:pt idx="0">
                  <c:v>15360.84</c:v>
                </c:pt>
                <c:pt idx="1">
                  <c:v>15786.43</c:v>
                </c:pt>
                <c:pt idx="2">
                  <c:v>15734</c:v>
                </c:pt>
                <c:pt idx="3">
                  <c:v>16112</c:v>
                </c:pt>
                <c:pt idx="4">
                  <c:v>16377</c:v>
                </c:pt>
                <c:pt idx="5">
                  <c:v>16369</c:v>
                </c:pt>
                <c:pt idx="6">
                  <c:v>16612</c:v>
                </c:pt>
                <c:pt idx="7" formatCode="General">
                  <c:v>17287</c:v>
                </c:pt>
                <c:pt idx="8" formatCode="#,##0">
                  <c:v>17345</c:v>
                </c:pt>
                <c:pt idx="9" formatCode="General">
                  <c:v>17640</c:v>
                </c:pt>
                <c:pt idx="10" formatCode="General">
                  <c:v>17712</c:v>
                </c:pt>
              </c:numCache>
            </c:numRef>
          </c:val>
          <c:smooth val="0"/>
        </c:ser>
        <c:dLbls>
          <c:showLegendKey val="0"/>
          <c:showVal val="0"/>
          <c:showCatName val="0"/>
          <c:showSerName val="0"/>
          <c:showPercent val="0"/>
          <c:showBubbleSize val="0"/>
        </c:dLbls>
        <c:marker val="1"/>
        <c:smooth val="0"/>
        <c:axId val="151755776"/>
        <c:axId val="151787136"/>
      </c:lineChart>
      <c:catAx>
        <c:axId val="151755776"/>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годы</a:t>
                </a:r>
              </a:p>
            </c:rich>
          </c:tx>
          <c:layout>
            <c:manualLayout>
              <c:xMode val="edge"/>
              <c:yMode val="edge"/>
              <c:x val="0.47091685714275605"/>
              <c:y val="0.81522805542531007"/>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ru-RU"/>
          </a:p>
        </c:txPr>
        <c:crossAx val="151787136"/>
        <c:crosses val="autoZero"/>
        <c:auto val="1"/>
        <c:lblAlgn val="ctr"/>
        <c:lblOffset val="100"/>
        <c:tickLblSkip val="1"/>
        <c:tickMarkSkip val="1"/>
        <c:noMultiLvlLbl val="0"/>
      </c:catAx>
      <c:valAx>
        <c:axId val="151787136"/>
        <c:scaling>
          <c:orientation val="minMax"/>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млн.кВт.ч.</a:t>
                </a:r>
              </a:p>
            </c:rich>
          </c:tx>
          <c:layout>
            <c:manualLayout>
              <c:xMode val="edge"/>
              <c:yMode val="edge"/>
              <c:x val="1.8052512364174735E-2"/>
              <c:y val="0.31092914577956338"/>
            </c:manualLayout>
          </c:layout>
          <c:overlay val="0"/>
          <c:spPr>
            <a:noFill/>
            <a:ln w="25400">
              <a:noFill/>
            </a:ln>
          </c:spPr>
        </c:title>
        <c:numFmt formatCode="0"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crossAx val="151755776"/>
        <c:crosses val="autoZero"/>
        <c:crossBetween val="midCat"/>
      </c:valAx>
      <c:spPr>
        <a:noFill/>
        <a:ln w="3175">
          <a:solidFill>
            <a:srgbClr val="000000"/>
          </a:solidFill>
          <a:prstDash val="solid"/>
        </a:ln>
      </c:spPr>
    </c:plotArea>
    <c:legend>
      <c:legendPos val="r"/>
      <c:layout>
        <c:manualLayout>
          <c:xMode val="edge"/>
          <c:yMode val="edge"/>
          <c:x val="0.11279115225263218"/>
          <c:y val="0.88243544025081966"/>
          <c:w val="0.78869186378558964"/>
          <c:h val="6.1138672255633686E-2"/>
        </c:manualLayout>
      </c:layout>
      <c:overlay val="0"/>
      <c:spPr>
        <a:solidFill>
          <a:srgbClr val="FFFFFF"/>
        </a:solidFill>
        <a:ln w="3175">
          <a:noFill/>
          <a:prstDash val="solid"/>
        </a:ln>
      </c:spPr>
      <c:txPr>
        <a:bodyPr/>
        <a:lstStyle/>
        <a:p>
          <a:pPr>
            <a:defRPr sz="920" b="0" i="0" u="none" strike="noStrike" baseline="0">
              <a:solidFill>
                <a:srgbClr val="000000"/>
              </a:solidFill>
              <a:latin typeface="Arial Cyr"/>
              <a:ea typeface="Arial Cyr"/>
              <a:cs typeface="Arial Cyr"/>
            </a:defRPr>
          </a:pPr>
          <a:endParaRPr lang="ru-RU"/>
        </a:p>
      </c:txPr>
    </c:legend>
    <c:plotVisOnly val="1"/>
    <c:dispBlanksAs val="gap"/>
    <c:showDLblsOverMax val="0"/>
  </c:chart>
  <c:spPr>
    <a:noFill/>
    <a:ln w="3175">
      <a:noFill/>
      <a:prstDash val="solid"/>
    </a:ln>
  </c:spPr>
  <c:txPr>
    <a:bodyPr/>
    <a:lstStyle/>
    <a:p>
      <a:pPr>
        <a:defRPr sz="10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manualLayout>
          <c:layoutTarget val="inner"/>
          <c:xMode val="edge"/>
          <c:yMode val="edge"/>
          <c:x val="0.12130140728995906"/>
          <c:y val="0.16349789141525847"/>
          <c:w val="0.5970692013012936"/>
          <c:h val="0.7114202719042142"/>
        </c:manualLayout>
      </c:layout>
      <c:bar3DChart>
        <c:barDir val="col"/>
        <c:grouping val="stacked"/>
        <c:varyColors val="0"/>
        <c:ser>
          <c:idx val="0"/>
          <c:order val="0"/>
          <c:tx>
            <c:strRef>
              <c:f>'структура к. цены'!$O$1</c:f>
              <c:strCache>
                <c:ptCount val="1"/>
                <c:pt idx="0">
                  <c:v>Индикативная цена покупки электрической энергии с ОРЭМ</c:v>
                </c:pt>
              </c:strCache>
            </c:strRef>
          </c:tx>
          <c:invertIfNegative val="0"/>
          <c:dLbls>
            <c:dLbl>
              <c:idx val="0"/>
              <c:layout>
                <c:manualLayout>
                  <c:x val="6.8259385665529011E-3"/>
                  <c:y val="-4.119850187265911E-2"/>
                </c:manualLayout>
              </c:layout>
              <c:showLegendKey val="0"/>
              <c:showVal val="1"/>
              <c:showCatName val="0"/>
              <c:showSerName val="0"/>
              <c:showPercent val="0"/>
              <c:showBubbleSize val="0"/>
            </c:dLbl>
            <c:dLbl>
              <c:idx val="2"/>
              <c:layout>
                <c:manualLayout>
                  <c:x val="2.2751336970250734E-3"/>
                  <c:y val="-5.3218614527116695E-2"/>
                </c:manualLayout>
              </c:layout>
              <c:showLegendKey val="0"/>
              <c:showVal val="1"/>
              <c:showCatName val="0"/>
              <c:showSerName val="0"/>
              <c:showPercent val="0"/>
              <c:showBubbleSize val="0"/>
            </c:dLbl>
            <c:dLbl>
              <c:idx val="3"/>
              <c:layout>
                <c:manualLayout>
                  <c:x val="5.1282326910501372E-3"/>
                  <c:y val="-8.8232622607567313E-2"/>
                </c:manualLayout>
              </c:layout>
              <c:showLegendKey val="0"/>
              <c:showVal val="1"/>
              <c:showCatName val="0"/>
              <c:showSerName val="0"/>
              <c:showPercent val="0"/>
              <c:showBubbleSize val="0"/>
            </c:dLbl>
            <c:dLbl>
              <c:idx val="4"/>
              <c:layout>
                <c:manualLayout>
                  <c:x val="7.9811525265827254E-3"/>
                  <c:y val="-5.9272169630481514E-2"/>
                </c:manualLayout>
              </c:layout>
              <c:showLegendKey val="0"/>
              <c:showVal val="1"/>
              <c:showCatName val="0"/>
              <c:showSerName val="0"/>
              <c:showPercent val="0"/>
              <c:showBubbleSize val="0"/>
            </c:dLbl>
            <c:dLbl>
              <c:idx val="5"/>
              <c:layout>
                <c:manualLayout>
                  <c:x val="2.0477815699658702E-2"/>
                  <c:y val="-6.3670411985018868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'структура к. цены'!$N$3:$N$9</c:f>
              <c:strCache>
                <c:ptCount val="7"/>
                <c:pt idx="0">
                  <c:v>2015 г.</c:v>
                </c:pt>
                <c:pt idx="1">
                  <c:v>2018 г.</c:v>
                </c:pt>
                <c:pt idx="2">
                  <c:v>2021 г.</c:v>
                </c:pt>
                <c:pt idx="3">
                  <c:v>2022 г.</c:v>
                </c:pt>
                <c:pt idx="4">
                  <c:v>2023 г.</c:v>
                </c:pt>
                <c:pt idx="5">
                  <c:v>2024 г.</c:v>
                </c:pt>
                <c:pt idx="6">
                  <c:v>2025 г.</c:v>
                </c:pt>
              </c:strCache>
            </c:strRef>
          </c:cat>
          <c:val>
            <c:numRef>
              <c:f>'структура к. цены'!$O$3:$O$9</c:f>
              <c:numCache>
                <c:formatCode>0.00%</c:formatCode>
                <c:ptCount val="7"/>
                <c:pt idx="0">
                  <c:v>0.4053852815681635</c:v>
                </c:pt>
                <c:pt idx="1">
                  <c:v>0.47032199150355342</c:v>
                </c:pt>
                <c:pt idx="2">
                  <c:v>0.49087780321485225</c:v>
                </c:pt>
                <c:pt idx="3">
                  <c:v>0.4682802832181695</c:v>
                </c:pt>
                <c:pt idx="4">
                  <c:v>0.43913821443943502</c:v>
                </c:pt>
                <c:pt idx="5">
                  <c:v>0.43752070523745967</c:v>
                </c:pt>
                <c:pt idx="6">
                  <c:v>0.4281813684487315</c:v>
                </c:pt>
              </c:numCache>
            </c:numRef>
          </c:val>
        </c:ser>
        <c:ser>
          <c:idx val="1"/>
          <c:order val="1"/>
          <c:tx>
            <c:strRef>
              <c:f>'структура к. цены'!$P$1</c:f>
              <c:strCache>
                <c:ptCount val="1"/>
                <c:pt idx="0">
                  <c:v>Средневзвешенный тариф на услуги по передаче электрической энергии</c:v>
                </c:pt>
              </c:strCache>
            </c:strRef>
          </c:tx>
          <c:invertIfNegative val="0"/>
          <c:dLbls>
            <c:dLbl>
              <c:idx val="4"/>
              <c:layout>
                <c:manualLayout>
                  <c:x val="7.6923076923076927E-3"/>
                  <c:y val="-4.6511627906976744E-2"/>
                </c:manualLayout>
              </c:layout>
              <c:showLegendKey val="0"/>
              <c:showVal val="1"/>
              <c:showCatName val="0"/>
              <c:showSerName val="0"/>
              <c:showPercent val="0"/>
              <c:showBubbleSize val="0"/>
            </c:dLbl>
            <c:dLbl>
              <c:idx val="5"/>
              <c:layout>
                <c:manualLayout>
                  <c:x val="1.8202502844141068E-2"/>
                  <c:y val="-4.8689138576779097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'структура к. цены'!$N$3:$N$9</c:f>
              <c:strCache>
                <c:ptCount val="7"/>
                <c:pt idx="0">
                  <c:v>2015 г.</c:v>
                </c:pt>
                <c:pt idx="1">
                  <c:v>2018 г.</c:v>
                </c:pt>
                <c:pt idx="2">
                  <c:v>2021 г.</c:v>
                </c:pt>
                <c:pt idx="3">
                  <c:v>2022 г.</c:v>
                </c:pt>
                <c:pt idx="4">
                  <c:v>2023 г.</c:v>
                </c:pt>
                <c:pt idx="5">
                  <c:v>2024 г.</c:v>
                </c:pt>
                <c:pt idx="6">
                  <c:v>2025 г.</c:v>
                </c:pt>
              </c:strCache>
            </c:strRef>
          </c:cat>
          <c:val>
            <c:numRef>
              <c:f>'структура к. цены'!$P$3:$P$9</c:f>
              <c:numCache>
                <c:formatCode>0.00%</c:formatCode>
                <c:ptCount val="7"/>
                <c:pt idx="0">
                  <c:v>0.42452262261839374</c:v>
                </c:pt>
                <c:pt idx="1">
                  <c:v>0.40677730575296783</c:v>
                </c:pt>
                <c:pt idx="2">
                  <c:v>0.30927222846383884</c:v>
                </c:pt>
                <c:pt idx="3">
                  <c:v>0.35300444897781036</c:v>
                </c:pt>
                <c:pt idx="4">
                  <c:v>0.37048652275322358</c:v>
                </c:pt>
                <c:pt idx="5">
                  <c:v>0.36416068025766329</c:v>
                </c:pt>
                <c:pt idx="6">
                  <c:v>0.40880524904649057</c:v>
                </c:pt>
              </c:numCache>
            </c:numRef>
          </c:val>
        </c:ser>
        <c:ser>
          <c:idx val="2"/>
          <c:order val="2"/>
          <c:tx>
            <c:strRef>
              <c:f>'структура к. цены'!$Q$1</c:f>
              <c:strCache>
                <c:ptCount val="1"/>
                <c:pt idx="0">
                  <c:v>Сбытовая надбавка ГП</c:v>
                </c:pt>
              </c:strCache>
            </c:strRef>
          </c:tx>
          <c:invertIfNegative val="0"/>
          <c:dLbls>
            <c:dLbl>
              <c:idx val="0"/>
              <c:layout>
                <c:manualLayout>
                  <c:x val="-1.975308641975311E-2"/>
                  <c:y val="4.1279669762641896E-3"/>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'структура к. цены'!$N$3:$N$9</c:f>
              <c:strCache>
                <c:ptCount val="7"/>
                <c:pt idx="0">
                  <c:v>2015 г.</c:v>
                </c:pt>
                <c:pt idx="1">
                  <c:v>2018 г.</c:v>
                </c:pt>
                <c:pt idx="2">
                  <c:v>2021 г.</c:v>
                </c:pt>
                <c:pt idx="3">
                  <c:v>2022 г.</c:v>
                </c:pt>
                <c:pt idx="4">
                  <c:v>2023 г.</c:v>
                </c:pt>
                <c:pt idx="5">
                  <c:v>2024 г.</c:v>
                </c:pt>
                <c:pt idx="6">
                  <c:v>2025 г.</c:v>
                </c:pt>
              </c:strCache>
            </c:strRef>
          </c:cat>
          <c:val>
            <c:numRef>
              <c:f>'структура к. цены'!$Q$3:$Q$9</c:f>
              <c:numCache>
                <c:formatCode>0.00%</c:formatCode>
                <c:ptCount val="7"/>
                <c:pt idx="0">
                  <c:v>0.16852372100882937</c:v>
                </c:pt>
                <c:pt idx="1">
                  <c:v>0.12136221066423156</c:v>
                </c:pt>
                <c:pt idx="2">
                  <c:v>0.19818503586831268</c:v>
                </c:pt>
                <c:pt idx="3">
                  <c:v>0.17652721713391342</c:v>
                </c:pt>
                <c:pt idx="4">
                  <c:v>0.18736010883569953</c:v>
                </c:pt>
                <c:pt idx="5">
                  <c:v>0.1966343250261452</c:v>
                </c:pt>
                <c:pt idx="6">
                  <c:v>0.16145756813228526</c:v>
                </c:pt>
              </c:numCache>
            </c:numRef>
          </c:val>
        </c:ser>
        <c:ser>
          <c:idx val="3"/>
          <c:order val="3"/>
          <c:tx>
            <c:strRef>
              <c:f>'структура к. цены'!$R$1</c:f>
              <c:strCache>
                <c:ptCount val="1"/>
                <c:pt idx="0">
                  <c:v>Инфраструктура</c:v>
                </c:pt>
              </c:strCache>
            </c:strRef>
          </c:tx>
          <c:invertIfNegative val="0"/>
          <c:dLbls>
            <c:dLbl>
              <c:idx val="0"/>
              <c:layout>
                <c:manualLayout>
                  <c:x val="1.4814814814814793E-2"/>
                  <c:y val="-5.3663570691434466E-2"/>
                </c:manualLayout>
              </c:layout>
              <c:showLegendKey val="0"/>
              <c:showVal val="1"/>
              <c:showCatName val="0"/>
              <c:showSerName val="0"/>
              <c:showPercent val="0"/>
              <c:showBubbleSize val="0"/>
            </c:dLbl>
            <c:dLbl>
              <c:idx val="1"/>
              <c:layout>
                <c:manualLayout>
                  <c:x val="4.9382716049382715E-3"/>
                  <c:y val="-4.5407636738906097E-2"/>
                </c:manualLayout>
              </c:layout>
              <c:showLegendKey val="0"/>
              <c:showVal val="1"/>
              <c:showCatName val="0"/>
              <c:showSerName val="0"/>
              <c:showPercent val="0"/>
              <c:showBubbleSize val="0"/>
            </c:dLbl>
            <c:dLbl>
              <c:idx val="2"/>
              <c:layout>
                <c:manualLayout>
                  <c:x val="7.4074074074073166E-3"/>
                  <c:y val="-5.7791537667698671E-2"/>
                </c:manualLayout>
              </c:layout>
              <c:showLegendKey val="0"/>
              <c:showVal val="1"/>
              <c:showCatName val="0"/>
              <c:showSerName val="0"/>
              <c:showPercent val="0"/>
              <c:showBubbleSize val="0"/>
            </c:dLbl>
            <c:dLbl>
              <c:idx val="3"/>
              <c:layout>
                <c:manualLayout>
                  <c:x val="1.2345679012345678E-2"/>
                  <c:y val="-5.7791537667698671E-2"/>
                </c:manualLayout>
              </c:layout>
              <c:showLegendKey val="0"/>
              <c:showVal val="1"/>
              <c:showCatName val="0"/>
              <c:showSerName val="0"/>
              <c:showPercent val="0"/>
              <c:showBubbleSize val="0"/>
            </c:dLbl>
            <c:dLbl>
              <c:idx val="4"/>
              <c:layout>
                <c:manualLayout>
                  <c:x val="1.282051282051282E-2"/>
                  <c:y val="-4.6511627906976764E-2"/>
                </c:manualLayout>
              </c:layout>
              <c:showLegendKey val="0"/>
              <c:showVal val="1"/>
              <c:showCatName val="0"/>
              <c:showSerName val="0"/>
              <c:showPercent val="0"/>
              <c:showBubbleSize val="0"/>
            </c:dLbl>
            <c:dLbl>
              <c:idx val="5"/>
              <c:layout>
                <c:manualLayout>
                  <c:x val="1.5927189988623351E-2"/>
                  <c:y val="-4.4943820224719121E-2"/>
                </c:manualLayout>
              </c:layout>
              <c:showLegendKey val="0"/>
              <c:showVal val="1"/>
              <c:showCatName val="0"/>
              <c:showSerName val="0"/>
              <c:showPercent val="0"/>
              <c:showBubbleSize val="0"/>
            </c:dLbl>
            <c:dLbl>
              <c:idx val="6"/>
              <c:layout>
                <c:manualLayout>
                  <c:x val="1.7259978425026967E-2"/>
                  <c:y val="-4.4943820224719086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'структура к. цены'!$N$3:$N$9</c:f>
              <c:strCache>
                <c:ptCount val="7"/>
                <c:pt idx="0">
                  <c:v>2015 г.</c:v>
                </c:pt>
                <c:pt idx="1">
                  <c:v>2018 г.</c:v>
                </c:pt>
                <c:pt idx="2">
                  <c:v>2021 г.</c:v>
                </c:pt>
                <c:pt idx="3">
                  <c:v>2022 г.</c:v>
                </c:pt>
                <c:pt idx="4">
                  <c:v>2023 г.</c:v>
                </c:pt>
                <c:pt idx="5">
                  <c:v>2024 г.</c:v>
                </c:pt>
                <c:pt idx="6">
                  <c:v>2025 г.</c:v>
                </c:pt>
              </c:strCache>
            </c:strRef>
          </c:cat>
          <c:val>
            <c:numRef>
              <c:f>'структура к. цены'!$R$3:$R$9</c:f>
              <c:numCache>
                <c:formatCode>0.00%</c:formatCode>
                <c:ptCount val="7"/>
                <c:pt idx="0">
                  <c:v>1.5683748046132395E-3</c:v>
                </c:pt>
                <c:pt idx="1">
                  <c:v>1.5384920792472308E-3</c:v>
                </c:pt>
                <c:pt idx="2">
                  <c:v>1.664932452996114E-3</c:v>
                </c:pt>
                <c:pt idx="3">
                  <c:v>2.1880506701068177E-3</c:v>
                </c:pt>
                <c:pt idx="4">
                  <c:v>3.0151539716418937E-3</c:v>
                </c:pt>
                <c:pt idx="5">
                  <c:v>1.684289478731837E-3</c:v>
                </c:pt>
                <c:pt idx="6">
                  <c:v>1.5558143724926771E-3</c:v>
                </c:pt>
              </c:numCache>
            </c:numRef>
          </c:val>
        </c:ser>
        <c:dLbls>
          <c:showLegendKey val="0"/>
          <c:showVal val="0"/>
          <c:showCatName val="0"/>
          <c:showSerName val="0"/>
          <c:showPercent val="0"/>
          <c:showBubbleSize val="0"/>
        </c:dLbls>
        <c:gapWidth val="150"/>
        <c:shape val="box"/>
        <c:axId val="152453632"/>
        <c:axId val="151782528"/>
        <c:axId val="0"/>
      </c:bar3DChart>
      <c:catAx>
        <c:axId val="152453632"/>
        <c:scaling>
          <c:orientation val="minMax"/>
        </c:scaling>
        <c:delete val="0"/>
        <c:axPos val="b"/>
        <c:majorTickMark val="out"/>
        <c:minorTickMark val="none"/>
        <c:tickLblPos val="nextTo"/>
        <c:crossAx val="151782528"/>
        <c:crosses val="autoZero"/>
        <c:auto val="1"/>
        <c:lblAlgn val="ctr"/>
        <c:lblOffset val="100"/>
        <c:noMultiLvlLbl val="0"/>
      </c:catAx>
      <c:valAx>
        <c:axId val="151782528"/>
        <c:scaling>
          <c:orientation val="minMax"/>
        </c:scaling>
        <c:delete val="0"/>
        <c:axPos val="l"/>
        <c:majorGridlines/>
        <c:numFmt formatCode="0.0%" sourceLinked="0"/>
        <c:majorTickMark val="out"/>
        <c:minorTickMark val="none"/>
        <c:tickLblPos val="nextTo"/>
        <c:crossAx val="152453632"/>
        <c:crosses val="autoZero"/>
        <c:crossBetween val="between"/>
      </c:valAx>
    </c:plotArea>
    <c:legend>
      <c:legendPos val="r"/>
      <c:layout>
        <c:manualLayout>
          <c:xMode val="edge"/>
          <c:yMode val="edge"/>
          <c:x val="0.7306950708831299"/>
          <c:y val="0.14923457242263319"/>
          <c:w val="0.25392027452879068"/>
          <c:h val="0.70745377333451309"/>
        </c:manualLayout>
      </c:layout>
      <c:overlay val="0"/>
      <c:txPr>
        <a:bodyPr/>
        <a:lstStyle/>
        <a:p>
          <a:pPr>
            <a:defRPr sz="1000" kern="1200" baseline="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4.723568806568218E-2"/>
          <c:y val="0.29206152046489398"/>
          <c:w val="0.69916076557025342"/>
          <c:h val="0.53989974725546686"/>
        </c:manualLayout>
      </c:layout>
      <c:lineChart>
        <c:grouping val="standard"/>
        <c:varyColors val="0"/>
        <c:ser>
          <c:idx val="0"/>
          <c:order val="0"/>
          <c:tx>
            <c:strRef>
              <c:f>'Тарифы нас + ЭОТ'!$A$3</c:f>
              <c:strCache>
                <c:ptCount val="1"/>
                <c:pt idx="0">
                  <c:v>Размер экономически обоснованного тарифа</c:v>
                </c:pt>
              </c:strCache>
            </c:strRef>
          </c:tx>
          <c:dLbls>
            <c:dLbl>
              <c:idx val="0"/>
              <c:layout>
                <c:manualLayout>
                  <c:x val="-3.7854883321347066E-2"/>
                  <c:y val="-5.1020394498796265E-2"/>
                </c:manualLayout>
              </c:layout>
              <c:showLegendKey val="0"/>
              <c:showVal val="1"/>
              <c:showCatName val="0"/>
              <c:showSerName val="0"/>
              <c:showPercent val="0"/>
              <c:showBubbleSize val="0"/>
            </c:dLbl>
            <c:dLbl>
              <c:idx val="1"/>
              <c:layout>
                <c:manualLayout>
                  <c:x val="-3.995793239475523E-2"/>
                  <c:y val="-5.4421754132049353E-2"/>
                </c:manualLayout>
              </c:layout>
              <c:showLegendKey val="0"/>
              <c:showVal val="1"/>
              <c:showCatName val="0"/>
              <c:showSerName val="0"/>
              <c:showPercent val="0"/>
              <c:showBubbleSize val="0"/>
            </c:dLbl>
            <c:dLbl>
              <c:idx val="2"/>
              <c:layout>
                <c:manualLayout>
                  <c:x val="-2.7339637954306207E-2"/>
                  <c:y val="-5.4421754132049416E-2"/>
                </c:manualLayout>
              </c:layout>
              <c:showLegendKey val="0"/>
              <c:showVal val="1"/>
              <c:showCatName val="0"/>
              <c:showSerName val="0"/>
              <c:showPercent val="0"/>
              <c:showBubbleSize val="0"/>
            </c:dLbl>
            <c:dLbl>
              <c:idx val="3"/>
              <c:layout>
                <c:manualLayout>
                  <c:x val="-2.3133539807489868E-2"/>
                  <c:y val="-6.1224473398555551E-2"/>
                </c:manualLayout>
              </c:layout>
              <c:showLegendKey val="0"/>
              <c:showVal val="1"/>
              <c:showCatName val="0"/>
              <c:showSerName val="0"/>
              <c:showPercent val="0"/>
              <c:showBubbleSize val="0"/>
            </c:dLbl>
            <c:dLbl>
              <c:idx val="4"/>
              <c:layout>
                <c:manualLayout>
                  <c:x val="-2.9442687027714454E-2"/>
                  <c:y val="-4.0816315599037048E-2"/>
                </c:manualLayout>
              </c:layout>
              <c:showLegendKey val="0"/>
              <c:showVal val="1"/>
              <c:showCatName val="0"/>
              <c:showSerName val="0"/>
              <c:showPercent val="0"/>
              <c:showBubbleSize val="0"/>
            </c:dLbl>
            <c:dLbl>
              <c:idx val="5"/>
              <c:layout>
                <c:manualLayout>
                  <c:x val="-2.7339637954306207E-2"/>
                  <c:y val="-4.421767523229013E-2"/>
                </c:manualLayout>
              </c:layout>
              <c:showLegendKey val="0"/>
              <c:showVal val="1"/>
              <c:showCatName val="0"/>
              <c:showSerName val="0"/>
              <c:showPercent val="0"/>
              <c:showBubbleSize val="0"/>
            </c:dLbl>
            <c:dLbl>
              <c:idx val="6"/>
              <c:layout>
                <c:manualLayout>
                  <c:x val="-2.3133539807489868E-2"/>
                  <c:y val="-5.4421754132049381E-2"/>
                </c:manualLayout>
              </c:layout>
              <c:showLegendKey val="0"/>
              <c:showVal val="1"/>
              <c:showCatName val="0"/>
              <c:showSerName val="0"/>
              <c:showPercent val="0"/>
              <c:showBubbleSize val="0"/>
            </c:dLbl>
            <c:dLbl>
              <c:idx val="7"/>
              <c:layout>
                <c:manualLayout>
                  <c:x val="-2.1030490734081777E-2"/>
                  <c:y val="-5.1020394498796265E-2"/>
                </c:manualLayout>
              </c:layout>
              <c:showLegendKey val="0"/>
              <c:showVal val="1"/>
              <c:showCatName val="0"/>
              <c:showSerName val="0"/>
              <c:showPercent val="0"/>
              <c:showBubbleSize val="0"/>
            </c:dLbl>
            <c:dLbl>
              <c:idx val="8"/>
              <c:layout>
                <c:manualLayout>
                  <c:x val="-2.7339637954306207E-2"/>
                  <c:y val="-4.4217675232290095E-2"/>
                </c:manualLayout>
              </c:layout>
              <c:showLegendKey val="0"/>
              <c:showVal val="1"/>
              <c:showCatName val="0"/>
              <c:showSerName val="0"/>
              <c:showPercent val="0"/>
              <c:showBubbleSize val="0"/>
            </c:dLbl>
            <c:dLbl>
              <c:idx val="9"/>
              <c:layout>
                <c:manualLayout>
                  <c:x val="-2.7339637954306363E-2"/>
                  <c:y val="-5.10203944987963E-2"/>
                </c:manualLayout>
              </c:layout>
              <c:showLegendKey val="0"/>
              <c:showVal val="1"/>
              <c:showCatName val="0"/>
              <c:showSerName val="0"/>
              <c:showPercent val="0"/>
              <c:showBubbleSize val="0"/>
            </c:dLbl>
            <c:dLbl>
              <c:idx val="10"/>
              <c:layout>
                <c:manualLayout>
                  <c:x val="-2.7339637954306207E-2"/>
                  <c:y val="-4.4217675232290095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'Тарифы нас + ЭОТ'!$E$2:$O$2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 + ЭОТ'!$E$3:$O$3</c:f>
              <c:numCache>
                <c:formatCode>0.00</c:formatCode>
                <c:ptCount val="11"/>
                <c:pt idx="0">
                  <c:v>3.17</c:v>
                </c:pt>
                <c:pt idx="1">
                  <c:v>3.56</c:v>
                </c:pt>
                <c:pt idx="2">
                  <c:v>3.86</c:v>
                </c:pt>
                <c:pt idx="3">
                  <c:v>3.91</c:v>
                </c:pt>
                <c:pt idx="4">
                  <c:v>3.99</c:v>
                </c:pt>
                <c:pt idx="5">
                  <c:v>4.13</c:v>
                </c:pt>
                <c:pt idx="6">
                  <c:v>4.28</c:v>
                </c:pt>
                <c:pt idx="7" formatCode="General">
                  <c:v>4.45</c:v>
                </c:pt>
                <c:pt idx="8" formatCode="General">
                  <c:v>4.93</c:v>
                </c:pt>
                <c:pt idx="9" formatCode="General">
                  <c:v>5.39</c:v>
                </c:pt>
                <c:pt idx="10" formatCode="General">
                  <c:v>6.18</c:v>
                </c:pt>
              </c:numCache>
            </c:numRef>
          </c:val>
          <c:smooth val="0"/>
        </c:ser>
        <c:ser>
          <c:idx val="1"/>
          <c:order val="1"/>
          <c:tx>
            <c:strRef>
              <c:f>'Тарифы нас + ЭОТ'!$A$4</c:f>
              <c:strCache>
                <c:ptCount val="1"/>
                <c:pt idx="0">
                  <c:v>Тариф для городского населения</c:v>
                </c:pt>
              </c:strCache>
            </c:strRef>
          </c:tx>
          <c:dLbls>
            <c:dLbl>
              <c:idx val="0"/>
              <c:layout>
                <c:manualLayout>
                  <c:x val="-3.3648785174530717E-2"/>
                  <c:y val="-3.7414955965783994E-2"/>
                </c:manualLayout>
              </c:layout>
              <c:showLegendKey val="0"/>
              <c:showVal val="1"/>
              <c:showCatName val="0"/>
              <c:showSerName val="0"/>
              <c:showPercent val="0"/>
              <c:showBubbleSize val="0"/>
            </c:dLbl>
            <c:dLbl>
              <c:idx val="1"/>
              <c:layout>
                <c:manualLayout>
                  <c:x val="-3.7854883321347059E-2"/>
                  <c:y val="-4.0816315599037076E-2"/>
                </c:manualLayout>
              </c:layout>
              <c:showLegendKey val="0"/>
              <c:showVal val="1"/>
              <c:showCatName val="0"/>
              <c:showSerName val="0"/>
              <c:showPercent val="0"/>
              <c:showBubbleSize val="0"/>
            </c:dLbl>
            <c:dLbl>
              <c:idx val="2"/>
              <c:layout>
                <c:manualLayout>
                  <c:x val="-3.7854883321347059E-2"/>
                  <c:y val="-5.1020394498796327E-2"/>
                </c:manualLayout>
              </c:layout>
              <c:showLegendKey val="0"/>
              <c:showVal val="1"/>
              <c:showCatName val="0"/>
              <c:showSerName val="0"/>
              <c:showPercent val="0"/>
              <c:showBubbleSize val="0"/>
            </c:dLbl>
            <c:dLbl>
              <c:idx val="3"/>
              <c:layout>
                <c:manualLayout>
                  <c:x val="-3.575183424793893E-2"/>
                  <c:y val="-5.1020394498796327E-2"/>
                </c:manualLayout>
              </c:layout>
              <c:showLegendKey val="0"/>
              <c:showVal val="1"/>
              <c:showCatName val="0"/>
              <c:showSerName val="0"/>
              <c:showPercent val="0"/>
              <c:showBubbleSize val="0"/>
            </c:dLbl>
            <c:dLbl>
              <c:idx val="4"/>
              <c:layout>
                <c:manualLayout>
                  <c:x val="-3.7854883321347135E-2"/>
                  <c:y val="-4.4217675232290095E-2"/>
                </c:manualLayout>
              </c:layout>
              <c:showLegendKey val="0"/>
              <c:showVal val="1"/>
              <c:showCatName val="0"/>
              <c:showSerName val="0"/>
              <c:showPercent val="0"/>
              <c:showBubbleSize val="0"/>
            </c:dLbl>
            <c:dLbl>
              <c:idx val="5"/>
              <c:layout>
                <c:manualLayout>
                  <c:x val="-3.7854883321347059E-2"/>
                  <c:y val="-4.4217675232290095E-2"/>
                </c:manualLayout>
              </c:layout>
              <c:showLegendKey val="0"/>
              <c:showVal val="1"/>
              <c:showCatName val="0"/>
              <c:showSerName val="0"/>
              <c:showPercent val="0"/>
              <c:showBubbleSize val="0"/>
            </c:dLbl>
            <c:dLbl>
              <c:idx val="6"/>
              <c:layout>
                <c:manualLayout>
                  <c:x val="-3.7854883321347059E-2"/>
                  <c:y val="-4.4217675232290095E-2"/>
                </c:manualLayout>
              </c:layout>
              <c:showLegendKey val="0"/>
              <c:showVal val="1"/>
              <c:showCatName val="0"/>
              <c:showSerName val="0"/>
              <c:showPercent val="0"/>
              <c:showBubbleSize val="0"/>
            </c:dLbl>
            <c:dLbl>
              <c:idx val="7"/>
              <c:layout>
                <c:manualLayout>
                  <c:x val="-3.9957932394755306E-2"/>
                  <c:y val="-5.1020394498796327E-2"/>
                </c:manualLayout>
              </c:layout>
              <c:showLegendKey val="0"/>
              <c:showVal val="1"/>
              <c:showCatName val="0"/>
              <c:showSerName val="0"/>
              <c:showPercent val="0"/>
              <c:showBubbleSize val="0"/>
            </c:dLbl>
            <c:dLbl>
              <c:idx val="8"/>
              <c:layout>
                <c:manualLayout>
                  <c:x val="-3.7854883321347135E-2"/>
                  <c:y val="-4.7619034865543246E-2"/>
                </c:manualLayout>
              </c:layout>
              <c:showLegendKey val="0"/>
              <c:showVal val="1"/>
              <c:showCatName val="0"/>
              <c:showSerName val="0"/>
              <c:showPercent val="0"/>
              <c:showBubbleSize val="0"/>
            </c:dLbl>
            <c:dLbl>
              <c:idx val="9"/>
              <c:layout>
                <c:manualLayout>
                  <c:x val="-4.2060981468163554E-2"/>
                  <c:y val="-4.7619034865543246E-2"/>
                </c:manualLayout>
              </c:layout>
              <c:showLegendKey val="0"/>
              <c:showVal val="1"/>
              <c:showCatName val="0"/>
              <c:showSerName val="0"/>
              <c:showPercent val="0"/>
              <c:showBubbleSize val="0"/>
            </c:dLbl>
            <c:dLbl>
              <c:idx val="10"/>
              <c:layout>
                <c:manualLayout>
                  <c:x val="-4.4164030541571565E-2"/>
                  <c:y val="-4.4217675232290095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'Тарифы нас + ЭОТ'!$E$2:$O$2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 + ЭОТ'!$E$4:$O$4</c:f>
              <c:numCache>
                <c:formatCode>General</c:formatCode>
                <c:ptCount val="11"/>
                <c:pt idx="0">
                  <c:v>2.34</c:v>
                </c:pt>
                <c:pt idx="1">
                  <c:v>2.42</c:v>
                </c:pt>
                <c:pt idx="2">
                  <c:v>2.4900000000000002</c:v>
                </c:pt>
                <c:pt idx="3">
                  <c:v>2.56</c:v>
                </c:pt>
                <c:pt idx="4">
                  <c:v>2.68</c:v>
                </c:pt>
                <c:pt idx="5" formatCode="0.00">
                  <c:v>2.8</c:v>
                </c:pt>
                <c:pt idx="6">
                  <c:v>2.93</c:v>
                </c:pt>
                <c:pt idx="7">
                  <c:v>3.08</c:v>
                </c:pt>
                <c:pt idx="8">
                  <c:v>3.36</c:v>
                </c:pt>
                <c:pt idx="9">
                  <c:v>3.66</c:v>
                </c:pt>
                <c:pt idx="10">
                  <c:v>4.12</c:v>
                </c:pt>
              </c:numCache>
            </c:numRef>
          </c:val>
          <c:smooth val="0"/>
        </c:ser>
        <c:ser>
          <c:idx val="2"/>
          <c:order val="2"/>
          <c:tx>
            <c:strRef>
              <c:f>'Тарифы нас + ЭОТ'!$A$5</c:f>
              <c:strCache>
                <c:ptCount val="1"/>
                <c:pt idx="0">
                  <c:v>Тариф для сельского населения</c:v>
                </c:pt>
              </c:strCache>
            </c:strRef>
          </c:tx>
          <c:dLbls>
            <c:dLbl>
              <c:idx val="0"/>
              <c:layout>
                <c:manualLayout>
                  <c:x val="-2.7339637954306207E-2"/>
                  <c:y val="5.1020394498796265E-2"/>
                </c:manualLayout>
              </c:layout>
              <c:showLegendKey val="0"/>
              <c:showVal val="1"/>
              <c:showCatName val="0"/>
              <c:showSerName val="0"/>
              <c:showPercent val="0"/>
              <c:showBubbleSize val="0"/>
            </c:dLbl>
            <c:dLbl>
              <c:idx val="1"/>
              <c:layout>
                <c:manualLayout>
                  <c:x val="-3.1545736101122546E-2"/>
                  <c:y val="5.4421754132049353E-2"/>
                </c:manualLayout>
              </c:layout>
              <c:showLegendKey val="0"/>
              <c:showVal val="1"/>
              <c:showCatName val="0"/>
              <c:showSerName val="0"/>
              <c:showPercent val="0"/>
              <c:showBubbleSize val="0"/>
            </c:dLbl>
            <c:dLbl>
              <c:idx val="2"/>
              <c:layout>
                <c:manualLayout>
                  <c:x val="-3.7854883321347059E-2"/>
                  <c:y val="4.4217675232290095E-2"/>
                </c:manualLayout>
              </c:layout>
              <c:showLegendKey val="0"/>
              <c:showVal val="1"/>
              <c:showCatName val="0"/>
              <c:showSerName val="0"/>
              <c:showPercent val="0"/>
              <c:showBubbleSize val="0"/>
            </c:dLbl>
            <c:dLbl>
              <c:idx val="3"/>
              <c:layout>
                <c:manualLayout>
                  <c:x val="-3.575183424793893E-2"/>
                  <c:y val="4.0816315599037013E-2"/>
                </c:manualLayout>
              </c:layout>
              <c:showLegendKey val="0"/>
              <c:showVal val="1"/>
              <c:showCatName val="0"/>
              <c:showSerName val="0"/>
              <c:showPercent val="0"/>
              <c:showBubbleSize val="0"/>
            </c:dLbl>
            <c:dLbl>
              <c:idx val="4"/>
              <c:layout>
                <c:manualLayout>
                  <c:x val="-3.7854883321347135E-2"/>
                  <c:y val="4.0816315599037013E-2"/>
                </c:manualLayout>
              </c:layout>
              <c:showLegendKey val="0"/>
              <c:showVal val="1"/>
              <c:showCatName val="0"/>
              <c:showSerName val="0"/>
              <c:showPercent val="0"/>
              <c:showBubbleSize val="0"/>
            </c:dLbl>
            <c:dLbl>
              <c:idx val="5"/>
              <c:layout>
                <c:manualLayout>
                  <c:x val="-3.7854883321347059E-2"/>
                  <c:y val="4.7619034865543183E-2"/>
                </c:manualLayout>
              </c:layout>
              <c:showLegendKey val="0"/>
              <c:showVal val="1"/>
              <c:showCatName val="0"/>
              <c:showSerName val="0"/>
              <c:showPercent val="0"/>
              <c:showBubbleSize val="0"/>
            </c:dLbl>
            <c:dLbl>
              <c:idx val="6"/>
              <c:layout>
                <c:manualLayout>
                  <c:x val="-3.1545736101122546E-2"/>
                  <c:y val="4.7619034865543183E-2"/>
                </c:manualLayout>
              </c:layout>
              <c:showLegendKey val="0"/>
              <c:showVal val="1"/>
              <c:showCatName val="0"/>
              <c:showSerName val="0"/>
              <c:showPercent val="0"/>
              <c:showBubbleSize val="0"/>
            </c:dLbl>
            <c:dLbl>
              <c:idx val="7"/>
              <c:layout>
                <c:manualLayout>
                  <c:x val="-3.1545736101122622E-2"/>
                  <c:y val="5.1020394498796265E-2"/>
                </c:manualLayout>
              </c:layout>
              <c:showLegendKey val="0"/>
              <c:showVal val="1"/>
              <c:showCatName val="0"/>
              <c:showSerName val="0"/>
              <c:showPercent val="0"/>
              <c:showBubbleSize val="0"/>
            </c:dLbl>
            <c:dLbl>
              <c:idx val="8"/>
              <c:layout>
                <c:manualLayout>
                  <c:x val="-3.7854883321347135E-2"/>
                  <c:y val="4.7619034865543183E-2"/>
                </c:manualLayout>
              </c:layout>
              <c:showLegendKey val="0"/>
              <c:showVal val="1"/>
              <c:showCatName val="0"/>
              <c:showSerName val="0"/>
              <c:showPercent val="0"/>
              <c:showBubbleSize val="0"/>
            </c:dLbl>
            <c:dLbl>
              <c:idx val="9"/>
              <c:layout>
                <c:manualLayout>
                  <c:x val="-3.1545736101122546E-2"/>
                  <c:y val="4.7619034865543246E-2"/>
                </c:manualLayout>
              </c:layout>
              <c:showLegendKey val="0"/>
              <c:showVal val="1"/>
              <c:showCatName val="0"/>
              <c:showSerName val="0"/>
              <c:showPercent val="0"/>
              <c:showBubbleSize val="0"/>
            </c:dLbl>
            <c:dLbl>
              <c:idx val="10"/>
              <c:layout>
                <c:manualLayout>
                  <c:x val="-3.5751834247939041E-2"/>
                  <c:y val="4.421767523229003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'Тарифы нас + ЭОТ'!$E$2:$O$2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 + ЭОТ'!$E$5:$O$5</c:f>
              <c:numCache>
                <c:formatCode>General</c:formatCode>
                <c:ptCount val="11"/>
                <c:pt idx="0">
                  <c:v>1.87</c:v>
                </c:pt>
                <c:pt idx="1">
                  <c:v>1.94</c:v>
                </c:pt>
                <c:pt idx="2" formatCode="0.00">
                  <c:v>2</c:v>
                </c:pt>
                <c:pt idx="3">
                  <c:v>2.0499999999999998</c:v>
                </c:pt>
                <c:pt idx="4">
                  <c:v>2.14</c:v>
                </c:pt>
                <c:pt idx="5">
                  <c:v>2.2400000000000002</c:v>
                </c:pt>
                <c:pt idx="6">
                  <c:v>2.34</c:v>
                </c:pt>
                <c:pt idx="7">
                  <c:v>2.46</c:v>
                </c:pt>
                <c:pt idx="8">
                  <c:v>2.68</c:v>
                </c:pt>
                <c:pt idx="9">
                  <c:v>2.93</c:v>
                </c:pt>
                <c:pt idx="10">
                  <c:v>3.29</c:v>
                </c:pt>
              </c:numCache>
            </c:numRef>
          </c:val>
          <c:smooth val="0"/>
        </c:ser>
        <c:dLbls>
          <c:showLegendKey val="0"/>
          <c:showVal val="0"/>
          <c:showCatName val="0"/>
          <c:showSerName val="0"/>
          <c:showPercent val="0"/>
          <c:showBubbleSize val="0"/>
        </c:dLbls>
        <c:marker val="1"/>
        <c:smooth val="0"/>
        <c:axId val="186468864"/>
        <c:axId val="151788288"/>
      </c:lineChart>
      <c:catAx>
        <c:axId val="186468864"/>
        <c:scaling>
          <c:orientation val="minMax"/>
        </c:scaling>
        <c:delete val="0"/>
        <c:axPos val="b"/>
        <c:numFmt formatCode="General" sourceLinked="1"/>
        <c:majorTickMark val="out"/>
        <c:minorTickMark val="none"/>
        <c:tickLblPos val="nextTo"/>
        <c:spPr>
          <a:ln>
            <a:noFill/>
          </a:ln>
        </c:spPr>
        <c:crossAx val="151788288"/>
        <c:crosses val="autoZero"/>
        <c:auto val="1"/>
        <c:lblAlgn val="ctr"/>
        <c:lblOffset val="100"/>
        <c:noMultiLvlLbl val="0"/>
      </c:catAx>
      <c:valAx>
        <c:axId val="151788288"/>
        <c:scaling>
          <c:orientation val="minMax"/>
        </c:scaling>
        <c:delete val="1"/>
        <c:axPos val="l"/>
        <c:majorGridlines>
          <c:spPr>
            <a:ln>
              <a:noFill/>
            </a:ln>
          </c:spPr>
        </c:majorGridlines>
        <c:numFmt formatCode="0.00" sourceLinked="1"/>
        <c:majorTickMark val="out"/>
        <c:minorTickMark val="none"/>
        <c:tickLblPos val="nextTo"/>
        <c:crossAx val="186468864"/>
        <c:crosses val="autoZero"/>
        <c:crossBetween val="between"/>
      </c:valAx>
      <c:spPr>
        <a:noFill/>
        <a:ln>
          <a:noFill/>
        </a:ln>
      </c:spPr>
    </c:plotArea>
    <c:legend>
      <c:legendPos val="r"/>
      <c:layout>
        <c:manualLayout>
          <c:xMode val="edge"/>
          <c:yMode val="edge"/>
          <c:x val="0.76203742011838216"/>
          <c:y val="0.3188702799929562"/>
          <c:w val="0.22297848160326086"/>
          <c:h val="0.5711302860305400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5428911624893782"/>
          <c:y val="0.23625781977473462"/>
          <c:w val="0.61955020118599313"/>
          <c:h val="0.63227570095555485"/>
        </c:manualLayout>
      </c:layout>
      <c:lineChart>
        <c:grouping val="standard"/>
        <c:varyColors val="0"/>
        <c:ser>
          <c:idx val="0"/>
          <c:order val="0"/>
          <c:tx>
            <c:strRef>
              <c:f>'Тарифы насел по городам'!$A$16</c:f>
              <c:strCache>
                <c:ptCount val="1"/>
                <c:pt idx="0">
                  <c:v>максимальный тариф (г. Москва)</c:v>
                </c:pt>
              </c:strCache>
            </c:strRef>
          </c:tx>
          <c:dLbls>
            <c:dLbl>
              <c:idx val="0"/>
              <c:layout>
                <c:manualLayout>
                  <c:x val="-4.7781561405397792E-2"/>
                  <c:y val="-3.2015945582265642E-2"/>
                </c:manualLayout>
              </c:layout>
              <c:showLegendKey val="0"/>
              <c:showVal val="1"/>
              <c:showCatName val="0"/>
              <c:showSerName val="0"/>
              <c:showPercent val="0"/>
              <c:showBubbleSize val="0"/>
            </c:dLbl>
            <c:dLbl>
              <c:idx val="1"/>
              <c:layout>
                <c:manualLayout>
                  <c:x val="-4.5506248957521707E-2"/>
                  <c:y val="-3.8004990491333532E-2"/>
                </c:manualLayout>
              </c:layout>
              <c:showLegendKey val="0"/>
              <c:showVal val="1"/>
              <c:showCatName val="0"/>
              <c:showSerName val="0"/>
              <c:showPercent val="0"/>
              <c:showBubbleSize val="0"/>
            </c:dLbl>
            <c:dLbl>
              <c:idx val="2"/>
              <c:layout>
                <c:manualLayout>
                  <c:x val="-3.8680311613893452E-2"/>
                  <c:y val="-4.1171802876091138E-2"/>
                </c:manualLayout>
              </c:layout>
              <c:showLegendKey val="0"/>
              <c:showVal val="1"/>
              <c:showCatName val="0"/>
              <c:showSerName val="0"/>
              <c:showPercent val="0"/>
              <c:showBubbleSize val="0"/>
            </c:dLbl>
            <c:dLbl>
              <c:idx val="3"/>
              <c:layout>
                <c:manualLayout>
                  <c:x val="-2.7303749374513023E-2"/>
                  <c:y val="-4.7505926395489645E-2"/>
                </c:manualLayout>
              </c:layout>
              <c:showLegendKey val="0"/>
              <c:showVal val="1"/>
              <c:showCatName val="0"/>
              <c:showSerName val="0"/>
              <c:showPercent val="0"/>
              <c:showBubbleSize val="0"/>
            </c:dLbl>
            <c:dLbl>
              <c:idx val="4"/>
              <c:layout>
                <c:manualLayout>
                  <c:x val="-2.5028436926637022E-2"/>
                  <c:y val="-4.7505926395489707E-2"/>
                </c:manualLayout>
              </c:layout>
              <c:showLegendKey val="0"/>
              <c:showVal val="1"/>
              <c:showCatName val="0"/>
              <c:showSerName val="0"/>
              <c:showPercent val="0"/>
              <c:showBubbleSize val="0"/>
            </c:dLbl>
            <c:dLbl>
              <c:idx val="5"/>
              <c:layout>
                <c:manualLayout>
                  <c:x val="-2.9579061822389195E-2"/>
                  <c:y val="-3.8004741116391766E-2"/>
                </c:manualLayout>
              </c:layout>
              <c:showLegendKey val="0"/>
              <c:showVal val="1"/>
              <c:showCatName val="0"/>
              <c:showSerName val="0"/>
              <c:showPercent val="0"/>
              <c:showBubbleSize val="0"/>
            </c:dLbl>
            <c:dLbl>
              <c:idx val="6"/>
              <c:layout>
                <c:manualLayout>
                  <c:x val="-3.4129686718141282E-2"/>
                  <c:y val="-4.4338864635790391E-2"/>
                </c:manualLayout>
              </c:layout>
              <c:showLegendKey val="0"/>
              <c:showVal val="1"/>
              <c:showCatName val="0"/>
              <c:showSerName val="0"/>
              <c:showPercent val="0"/>
              <c:showBubbleSize val="0"/>
            </c:dLbl>
            <c:dLbl>
              <c:idx val="7"/>
              <c:layout>
                <c:manualLayout>
                  <c:x val="-3.1854313762587988E-2"/>
                  <c:y val="-3.4606771537296827E-2"/>
                </c:manualLayout>
              </c:layout>
              <c:showLegendKey val="0"/>
              <c:showVal val="1"/>
              <c:showCatName val="0"/>
              <c:showSerName val="0"/>
              <c:showPercent val="0"/>
              <c:showBubbleSize val="0"/>
            </c:dLbl>
            <c:dLbl>
              <c:idx val="8"/>
              <c:layout>
                <c:manualLayout>
                  <c:x val="-3.1070877073232774E-2"/>
                  <c:y val="-4.507288827463489E-2"/>
                </c:manualLayout>
              </c:layout>
              <c:showLegendKey val="0"/>
              <c:showVal val="1"/>
              <c:showCatName val="0"/>
              <c:showSerName val="0"/>
              <c:showPercent val="0"/>
              <c:showBubbleSize val="0"/>
            </c:dLbl>
            <c:dLbl>
              <c:idx val="9"/>
              <c:layout>
                <c:manualLayout>
                  <c:x val="-3.9388310395078875E-2"/>
                  <c:y val="-3.9703806788932927E-2"/>
                </c:manualLayout>
              </c:layout>
              <c:showLegendKey val="0"/>
              <c:showVal val="1"/>
              <c:showCatName val="0"/>
              <c:showSerName val="0"/>
              <c:showPercent val="0"/>
              <c:showBubbleSize val="0"/>
            </c:dLbl>
            <c:dLbl>
              <c:idx val="10"/>
              <c:layout>
                <c:manualLayout>
                  <c:x val="-2.9579061822389112E-2"/>
                  <c:y val="-3.1670617596993168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городам'!$D$15:$O$15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городам'!$D$16:$O$16</c:f>
              <c:numCache>
                <c:formatCode>0.00</c:formatCode>
                <c:ptCount val="11"/>
                <c:pt idx="0">
                  <c:v>3.52</c:v>
                </c:pt>
                <c:pt idx="1">
                  <c:v>3.77</c:v>
                </c:pt>
                <c:pt idx="2">
                  <c:v>4.04</c:v>
                </c:pt>
                <c:pt idx="3">
                  <c:v>4.3</c:v>
                </c:pt>
                <c:pt idx="4">
                  <c:v>4.6500000000000004</c:v>
                </c:pt>
                <c:pt idx="5">
                  <c:v>4.87</c:v>
                </c:pt>
                <c:pt idx="6">
                  <c:v>5.15</c:v>
                </c:pt>
                <c:pt idx="7">
                  <c:v>5.43</c:v>
                </c:pt>
                <c:pt idx="8">
                  <c:v>5.66</c:v>
                </c:pt>
                <c:pt idx="9">
                  <c:v>6.15</c:v>
                </c:pt>
                <c:pt idx="10">
                  <c:v>7.16</c:v>
                </c:pt>
              </c:numCache>
            </c:numRef>
          </c:val>
          <c:smooth val="0"/>
        </c:ser>
        <c:ser>
          <c:idx val="1"/>
          <c:order val="1"/>
          <c:tx>
            <c:strRef>
              <c:f>'Тарифы насел по городам'!$A$17</c:f>
              <c:strCache>
                <c:ptCount val="1"/>
                <c:pt idx="0">
                  <c:v>минимальный тариф (г. Красноярск)</c:v>
                </c:pt>
              </c:strCache>
            </c:strRef>
          </c:tx>
          <c:dLbls>
            <c:dLbl>
              <c:idx val="0"/>
              <c:layout>
                <c:manualLayout>
                  <c:x val="-4.3230936509645643E-2"/>
                  <c:y val="4.4338864635790273E-2"/>
                </c:manualLayout>
              </c:layout>
              <c:showLegendKey val="0"/>
              <c:showVal val="1"/>
              <c:showCatName val="0"/>
              <c:showSerName val="0"/>
              <c:showPercent val="0"/>
              <c:showBubbleSize val="0"/>
            </c:dLbl>
            <c:dLbl>
              <c:idx val="1"/>
              <c:layout>
                <c:manualLayout>
                  <c:x val="-3.4129686718141324E-2"/>
                  <c:y val="4.7505926395489707E-2"/>
                </c:manualLayout>
              </c:layout>
              <c:showLegendKey val="0"/>
              <c:showVal val="1"/>
              <c:showCatName val="0"/>
              <c:showSerName val="0"/>
              <c:showPercent val="0"/>
              <c:showBubbleSize val="0"/>
            </c:dLbl>
            <c:dLbl>
              <c:idx val="2"/>
              <c:layout>
                <c:manualLayout>
                  <c:x val="-3.1854374270265197E-2"/>
                  <c:y val="4.1171802876091075E-2"/>
                </c:manualLayout>
              </c:layout>
              <c:showLegendKey val="0"/>
              <c:showVal val="1"/>
              <c:showCatName val="0"/>
              <c:showSerName val="0"/>
              <c:showPercent val="0"/>
              <c:showBubbleSize val="0"/>
            </c:dLbl>
            <c:dLbl>
              <c:idx val="3"/>
              <c:layout>
                <c:manualLayout>
                  <c:x val="-3.4129686718141282E-2"/>
                  <c:y val="3.8004741116391766E-2"/>
                </c:manualLayout>
              </c:layout>
              <c:showLegendKey val="0"/>
              <c:showVal val="1"/>
              <c:showCatName val="0"/>
              <c:showSerName val="0"/>
              <c:showPercent val="0"/>
              <c:showBubbleSize val="0"/>
            </c:dLbl>
            <c:dLbl>
              <c:idx val="4"/>
              <c:layout>
                <c:manualLayout>
                  <c:x val="-3.8680311613893452E-2"/>
                  <c:y val="3.8004741116391766E-2"/>
                </c:manualLayout>
              </c:layout>
              <c:showLegendKey val="0"/>
              <c:showVal val="1"/>
              <c:showCatName val="0"/>
              <c:showSerName val="0"/>
              <c:showPercent val="0"/>
              <c:showBubbleSize val="0"/>
            </c:dLbl>
            <c:dLbl>
              <c:idx val="5"/>
              <c:layout>
                <c:manualLayout>
                  <c:x val="-2.9579061822389195E-2"/>
                  <c:y val="4.4338864635790273E-2"/>
                </c:manualLayout>
              </c:layout>
              <c:showLegendKey val="0"/>
              <c:showVal val="1"/>
              <c:showCatName val="0"/>
              <c:showSerName val="0"/>
              <c:showPercent val="0"/>
              <c:showBubbleSize val="0"/>
            </c:dLbl>
            <c:dLbl>
              <c:idx val="6"/>
              <c:layout>
                <c:manualLayout>
                  <c:x val="-3.4129686718141282E-2"/>
                  <c:y val="4.7505926395489707E-2"/>
                </c:manualLayout>
              </c:layout>
              <c:showLegendKey val="0"/>
              <c:showVal val="1"/>
              <c:showCatName val="0"/>
              <c:showSerName val="0"/>
              <c:showPercent val="0"/>
              <c:showBubbleSize val="0"/>
            </c:dLbl>
            <c:dLbl>
              <c:idx val="7"/>
              <c:layout>
                <c:manualLayout>
                  <c:x val="-3.6404999166017367E-2"/>
                  <c:y val="4.4338864635790391E-2"/>
                </c:manualLayout>
              </c:layout>
              <c:showLegendKey val="0"/>
              <c:showVal val="1"/>
              <c:showCatName val="0"/>
              <c:showSerName val="0"/>
              <c:showPercent val="0"/>
              <c:showBubbleSize val="0"/>
            </c:dLbl>
            <c:dLbl>
              <c:idx val="8"/>
              <c:layout>
                <c:manualLayout>
                  <c:x val="-2.7303749374513023E-2"/>
                  <c:y val="4.4338864635790391E-2"/>
                </c:manualLayout>
              </c:layout>
              <c:showLegendKey val="0"/>
              <c:showVal val="1"/>
              <c:showCatName val="0"/>
              <c:showSerName val="0"/>
              <c:showPercent val="0"/>
              <c:showBubbleSize val="0"/>
            </c:dLbl>
            <c:dLbl>
              <c:idx val="9"/>
              <c:layout>
                <c:manualLayout>
                  <c:x val="-2.5028436926636938E-2"/>
                  <c:y val="4.1171802876091075E-2"/>
                </c:manualLayout>
              </c:layout>
              <c:showLegendKey val="0"/>
              <c:showVal val="1"/>
              <c:showCatName val="0"/>
              <c:showSerName val="0"/>
              <c:showPercent val="0"/>
              <c:showBubbleSize val="0"/>
            </c:dLbl>
            <c:dLbl>
              <c:idx val="10"/>
              <c:layout>
                <c:manualLayout>
                  <c:x val="-2.7303749374513023E-2"/>
                  <c:y val="3.8004741116391766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городам'!$D$15:$O$15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городам'!$D$17:$O$17</c:f>
              <c:numCache>
                <c:formatCode>0.00</c:formatCode>
                <c:ptCount val="11"/>
                <c:pt idx="0">
                  <c:v>1.45</c:v>
                </c:pt>
                <c:pt idx="1">
                  <c:v>1.58</c:v>
                </c:pt>
                <c:pt idx="2">
                  <c:v>1.66</c:v>
                </c:pt>
                <c:pt idx="3">
                  <c:v>1.74</c:v>
                </c:pt>
                <c:pt idx="4">
                  <c:v>1.81</c:v>
                </c:pt>
                <c:pt idx="5">
                  <c:v>1.9</c:v>
                </c:pt>
                <c:pt idx="6">
                  <c:v>1.98</c:v>
                </c:pt>
                <c:pt idx="7">
                  <c:v>2.09</c:v>
                </c:pt>
                <c:pt idx="8">
                  <c:v>2.2799999999999998</c:v>
                </c:pt>
                <c:pt idx="9">
                  <c:v>2.4700000000000002</c:v>
                </c:pt>
                <c:pt idx="10">
                  <c:v>2.84</c:v>
                </c:pt>
              </c:numCache>
            </c:numRef>
          </c:val>
          <c:smooth val="0"/>
        </c:ser>
        <c:ser>
          <c:idx val="2"/>
          <c:order val="2"/>
          <c:tx>
            <c:strRef>
              <c:f>'Тарифы насел по городам'!$A$18</c:f>
              <c:strCache>
                <c:ptCount val="1"/>
                <c:pt idx="0">
                  <c:v>г. Новосибирск</c:v>
                </c:pt>
              </c:strCache>
            </c:strRef>
          </c:tx>
          <c:dLbls>
            <c:dLbl>
              <c:idx val="0"/>
              <c:layout>
                <c:manualLayout>
                  <c:x val="-3.8680311613893473E-2"/>
                  <c:y val="-4.1171802876091075E-2"/>
                </c:manualLayout>
              </c:layout>
              <c:showLegendKey val="0"/>
              <c:showVal val="1"/>
              <c:showCatName val="0"/>
              <c:showSerName val="0"/>
              <c:showPercent val="0"/>
              <c:showBubbleSize val="0"/>
            </c:dLbl>
            <c:dLbl>
              <c:idx val="1"/>
              <c:layout>
                <c:manualLayout>
                  <c:x val="-3.1854374270265239E-2"/>
                  <c:y val="-4.1171802876091075E-2"/>
                </c:manualLayout>
              </c:layout>
              <c:showLegendKey val="0"/>
              <c:showVal val="1"/>
              <c:showCatName val="0"/>
              <c:showSerName val="0"/>
              <c:showPercent val="0"/>
              <c:showBubbleSize val="0"/>
            </c:dLbl>
            <c:dLbl>
              <c:idx val="2"/>
              <c:layout>
                <c:manualLayout>
                  <c:x val="-3.4129686718141282E-2"/>
                  <c:y val="-4.1171802876091193E-2"/>
                </c:manualLayout>
              </c:layout>
              <c:showLegendKey val="0"/>
              <c:showVal val="1"/>
              <c:showCatName val="0"/>
              <c:showSerName val="0"/>
              <c:showPercent val="0"/>
              <c:showBubbleSize val="0"/>
            </c:dLbl>
            <c:dLbl>
              <c:idx val="3"/>
              <c:layout>
                <c:manualLayout>
                  <c:x val="-3.4129686718141282E-2"/>
                  <c:y val="-4.4338864635790509E-2"/>
                </c:manualLayout>
              </c:layout>
              <c:showLegendKey val="0"/>
              <c:showVal val="1"/>
              <c:showCatName val="0"/>
              <c:showSerName val="0"/>
              <c:showPercent val="0"/>
              <c:showBubbleSize val="0"/>
            </c:dLbl>
            <c:dLbl>
              <c:idx val="4"/>
              <c:layout>
                <c:manualLayout>
                  <c:x val="-2.7303749374513107E-2"/>
                  <c:y val="-3.8004741116391766E-2"/>
                </c:manualLayout>
              </c:layout>
              <c:showLegendKey val="0"/>
              <c:showVal val="1"/>
              <c:showCatName val="0"/>
              <c:showSerName val="0"/>
              <c:showPercent val="0"/>
              <c:showBubbleSize val="0"/>
            </c:dLbl>
            <c:dLbl>
              <c:idx val="5"/>
              <c:layout>
                <c:manualLayout>
                  <c:x val="-2.7303749374513023E-2"/>
                  <c:y val="-4.1171802876091075E-2"/>
                </c:manualLayout>
              </c:layout>
              <c:showLegendKey val="0"/>
              <c:showVal val="1"/>
              <c:showCatName val="0"/>
              <c:showSerName val="0"/>
              <c:showPercent val="0"/>
              <c:showBubbleSize val="0"/>
            </c:dLbl>
            <c:dLbl>
              <c:idx val="6"/>
              <c:layout>
                <c:manualLayout>
                  <c:x val="-2.5028436926637022E-2"/>
                  <c:y val="-4.1171802876091075E-2"/>
                </c:manualLayout>
              </c:layout>
              <c:showLegendKey val="0"/>
              <c:showVal val="1"/>
              <c:showCatName val="0"/>
              <c:showSerName val="0"/>
              <c:showPercent val="0"/>
              <c:showBubbleSize val="0"/>
            </c:dLbl>
            <c:dLbl>
              <c:idx val="7"/>
              <c:layout>
                <c:manualLayout>
                  <c:x val="-2.9579061822389112E-2"/>
                  <c:y val="-4.7505926395489707E-2"/>
                </c:manualLayout>
              </c:layout>
              <c:showLegendKey val="0"/>
              <c:showVal val="1"/>
              <c:showCatName val="0"/>
              <c:showSerName val="0"/>
              <c:showPercent val="0"/>
              <c:showBubbleSize val="0"/>
            </c:dLbl>
            <c:dLbl>
              <c:idx val="8"/>
              <c:layout>
                <c:manualLayout>
                  <c:x val="-3.133191690940245E-2"/>
                  <c:y val="-4.020670915824489E-2"/>
                </c:manualLayout>
              </c:layout>
              <c:showLegendKey val="0"/>
              <c:showVal val="1"/>
              <c:showCatName val="0"/>
              <c:showSerName val="0"/>
              <c:showPercent val="0"/>
              <c:showBubbleSize val="0"/>
            </c:dLbl>
            <c:dLbl>
              <c:idx val="9"/>
              <c:layout>
                <c:manualLayout>
                  <c:x val="-3.1593115335995368E-2"/>
                  <c:y val="-4.2136896347127931E-2"/>
                </c:manualLayout>
              </c:layout>
              <c:showLegendKey val="0"/>
              <c:showVal val="1"/>
              <c:showCatName val="0"/>
              <c:showSerName val="0"/>
              <c:showPercent val="0"/>
              <c:showBubbleSize val="0"/>
            </c:dLbl>
            <c:dLbl>
              <c:idx val="10"/>
              <c:layout>
                <c:manualLayout>
                  <c:x val="-2.5028436926636855E-2"/>
                  <c:y val="-3.1670617596993196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городам'!$D$15:$O$15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городам'!$D$18:$O$18</c:f>
              <c:numCache>
                <c:formatCode>0.00</c:formatCode>
                <c:ptCount val="11"/>
                <c:pt idx="0">
                  <c:v>2.34</c:v>
                </c:pt>
                <c:pt idx="1">
                  <c:v>2.42</c:v>
                </c:pt>
                <c:pt idx="2">
                  <c:v>2.4900000000000002</c:v>
                </c:pt>
                <c:pt idx="3">
                  <c:v>2.56</c:v>
                </c:pt>
                <c:pt idx="4">
                  <c:v>2.68</c:v>
                </c:pt>
                <c:pt idx="5">
                  <c:v>2.8</c:v>
                </c:pt>
                <c:pt idx="6">
                  <c:v>2.93</c:v>
                </c:pt>
                <c:pt idx="7">
                  <c:v>3.08</c:v>
                </c:pt>
                <c:pt idx="8">
                  <c:v>3.36</c:v>
                </c:pt>
                <c:pt idx="9">
                  <c:v>3.66</c:v>
                </c:pt>
                <c:pt idx="10">
                  <c:v>4.12</c:v>
                </c:pt>
              </c:numCache>
            </c:numRef>
          </c:val>
          <c:smooth val="0"/>
        </c:ser>
        <c:dLbls>
          <c:showLegendKey val="0"/>
          <c:showVal val="0"/>
          <c:showCatName val="0"/>
          <c:showSerName val="0"/>
          <c:showPercent val="0"/>
          <c:showBubbleSize val="0"/>
        </c:dLbls>
        <c:marker val="1"/>
        <c:smooth val="0"/>
        <c:axId val="209150976"/>
        <c:axId val="186343424"/>
      </c:lineChart>
      <c:catAx>
        <c:axId val="209150976"/>
        <c:scaling>
          <c:orientation val="minMax"/>
        </c:scaling>
        <c:delete val="0"/>
        <c:axPos val="b"/>
        <c:numFmt formatCode="General" sourceLinked="1"/>
        <c:majorTickMark val="out"/>
        <c:minorTickMark val="none"/>
        <c:tickLblPos val="nextTo"/>
        <c:crossAx val="186343424"/>
        <c:crosses val="autoZero"/>
        <c:auto val="1"/>
        <c:lblAlgn val="ctr"/>
        <c:lblOffset val="100"/>
        <c:noMultiLvlLbl val="0"/>
      </c:catAx>
      <c:valAx>
        <c:axId val="186343424"/>
        <c:scaling>
          <c:orientation val="minMax"/>
        </c:scaling>
        <c:delete val="0"/>
        <c:axPos val="l"/>
        <c:majorGridlines/>
        <c:numFmt formatCode="0.00" sourceLinked="1"/>
        <c:majorTickMark val="out"/>
        <c:minorTickMark val="none"/>
        <c:tickLblPos val="nextTo"/>
        <c:crossAx val="209150976"/>
        <c:crosses val="autoZero"/>
        <c:crossBetween val="between"/>
      </c:valAx>
    </c:plotArea>
    <c:legend>
      <c:legendPos val="r"/>
      <c:layout>
        <c:manualLayout>
          <c:xMode val="edge"/>
          <c:yMode val="edge"/>
          <c:x val="0.78226857254511639"/>
          <c:y val="0.31709047856982869"/>
          <c:w val="0.20729215602271103"/>
          <c:h val="0.54424311105032475"/>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6399979297443004"/>
          <c:y val="0.20915245214541012"/>
          <c:w val="0.60487073513404077"/>
          <c:h val="0.64207658369214493"/>
        </c:manualLayout>
      </c:layout>
      <c:lineChart>
        <c:grouping val="standard"/>
        <c:varyColors val="0"/>
        <c:ser>
          <c:idx val="0"/>
          <c:order val="0"/>
          <c:tx>
            <c:strRef>
              <c:f>'Тарифы насел по городам'!$A$36</c:f>
              <c:strCache>
                <c:ptCount val="1"/>
                <c:pt idx="0">
                  <c:v>максимальный тариф (г. Москва)</c:v>
                </c:pt>
              </c:strCache>
            </c:strRef>
          </c:tx>
          <c:dLbls>
            <c:dLbl>
              <c:idx val="0"/>
              <c:layout>
                <c:manualLayout>
                  <c:x val="-3.8277511961722528E-2"/>
                  <c:y val="-4.2173549648817713E-2"/>
                </c:manualLayout>
              </c:layout>
              <c:showLegendKey val="0"/>
              <c:showVal val="1"/>
              <c:showCatName val="0"/>
              <c:showSerName val="0"/>
              <c:showPercent val="0"/>
              <c:showBubbleSize val="0"/>
            </c:dLbl>
            <c:dLbl>
              <c:idx val="1"/>
              <c:layout>
                <c:manualLayout>
                  <c:x val="-4.6783625730994149E-2"/>
                  <c:y val="-3.5685311241307291E-2"/>
                </c:manualLayout>
              </c:layout>
              <c:showLegendKey val="0"/>
              <c:showVal val="1"/>
              <c:showCatName val="0"/>
              <c:showSerName val="0"/>
              <c:showPercent val="0"/>
              <c:showBubbleSize val="0"/>
            </c:dLbl>
            <c:dLbl>
              <c:idx val="2"/>
              <c:layout>
                <c:manualLayout>
                  <c:x val="-5.1036682615629984E-2"/>
                  <c:y val="-3.5685311241307353E-2"/>
                </c:manualLayout>
              </c:layout>
              <c:showLegendKey val="0"/>
              <c:showVal val="1"/>
              <c:showCatName val="0"/>
              <c:showSerName val="0"/>
              <c:showPercent val="0"/>
              <c:showBubbleSize val="0"/>
            </c:dLbl>
            <c:dLbl>
              <c:idx val="3"/>
              <c:layout>
                <c:manualLayout>
                  <c:x val="-5.7416267942583692E-2"/>
                  <c:y val="-3.8929430445062502E-2"/>
                </c:manualLayout>
              </c:layout>
              <c:showLegendKey val="0"/>
              <c:showVal val="1"/>
              <c:showCatName val="0"/>
              <c:showSerName val="0"/>
              <c:showPercent val="0"/>
              <c:showBubbleSize val="0"/>
            </c:dLbl>
            <c:dLbl>
              <c:idx val="4"/>
              <c:layout>
                <c:manualLayout>
                  <c:x val="-5.3163211057947898E-2"/>
                  <c:y val="-4.8661788056328127E-2"/>
                </c:manualLayout>
              </c:layout>
              <c:showLegendKey val="0"/>
              <c:showVal val="1"/>
              <c:showCatName val="0"/>
              <c:showSerName val="0"/>
              <c:showPercent val="0"/>
              <c:showBubbleSize val="0"/>
            </c:dLbl>
            <c:dLbl>
              <c:idx val="5"/>
              <c:layout>
                <c:manualLayout>
                  <c:x val="-3.8277511961722563E-2"/>
                  <c:y val="-4.2173549648817713E-2"/>
                </c:manualLayout>
              </c:layout>
              <c:showLegendKey val="0"/>
              <c:showVal val="1"/>
              <c:showCatName val="0"/>
              <c:showSerName val="0"/>
              <c:showPercent val="0"/>
              <c:showBubbleSize val="0"/>
            </c:dLbl>
            <c:dLbl>
              <c:idx val="6"/>
              <c:layout>
                <c:manualLayout>
                  <c:x val="-3.8277511961722487E-2"/>
                  <c:y val="-4.5417668852572979E-2"/>
                </c:manualLayout>
              </c:layout>
              <c:showLegendKey val="0"/>
              <c:showVal val="1"/>
              <c:showCatName val="0"/>
              <c:showSerName val="0"/>
              <c:showPercent val="0"/>
              <c:showBubbleSize val="0"/>
            </c:dLbl>
            <c:dLbl>
              <c:idx val="7"/>
              <c:layout>
                <c:manualLayout>
                  <c:x val="-4.2530568846358321E-2"/>
                  <c:y val="-3.8929430445062502E-2"/>
                </c:manualLayout>
              </c:layout>
              <c:showLegendKey val="0"/>
              <c:showVal val="1"/>
              <c:showCatName val="0"/>
              <c:showSerName val="0"/>
              <c:showPercent val="0"/>
              <c:showBubbleSize val="0"/>
            </c:dLbl>
            <c:dLbl>
              <c:idx val="8"/>
              <c:layout>
                <c:manualLayout>
                  <c:x val="-4.0404040404040407E-2"/>
                  <c:y val="-4.2173549648817713E-2"/>
                </c:manualLayout>
              </c:layout>
              <c:showLegendKey val="0"/>
              <c:showVal val="1"/>
              <c:showCatName val="0"/>
              <c:showSerName val="0"/>
              <c:showPercent val="0"/>
              <c:showBubbleSize val="0"/>
            </c:dLbl>
            <c:dLbl>
              <c:idx val="9"/>
              <c:layout>
                <c:manualLayout>
                  <c:x val="-3.6150983519404573E-2"/>
                  <c:y val="-4.2173549648817713E-2"/>
                </c:manualLayout>
              </c:layout>
              <c:showLegendKey val="0"/>
              <c:showVal val="1"/>
              <c:showCatName val="0"/>
              <c:showSerName val="0"/>
              <c:showPercent val="0"/>
              <c:showBubbleSize val="0"/>
            </c:dLbl>
            <c:dLbl>
              <c:idx val="10"/>
              <c:layout>
                <c:manualLayout>
                  <c:x val="-2.977139819245098E-2"/>
                  <c:y val="-3.8929430445062502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городам'!$D$35:$O$35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городам'!$D$36:$O$36</c:f>
              <c:numCache>
                <c:formatCode>General</c:formatCode>
                <c:ptCount val="11"/>
                <c:pt idx="0">
                  <c:v>5.03</c:v>
                </c:pt>
                <c:pt idx="1">
                  <c:v>5.38</c:v>
                </c:pt>
                <c:pt idx="2">
                  <c:v>5.38</c:v>
                </c:pt>
                <c:pt idx="3">
                  <c:v>5.38</c:v>
                </c:pt>
                <c:pt idx="4">
                  <c:v>5.47</c:v>
                </c:pt>
                <c:pt idx="5">
                  <c:v>5.66</c:v>
                </c:pt>
                <c:pt idx="6">
                  <c:v>5.92</c:v>
                </c:pt>
                <c:pt idx="7">
                  <c:v>6.17</c:v>
                </c:pt>
                <c:pt idx="8">
                  <c:v>6.43</c:v>
                </c:pt>
                <c:pt idx="9">
                  <c:v>6.99</c:v>
                </c:pt>
                <c:pt idx="10">
                  <c:v>7.87</c:v>
                </c:pt>
              </c:numCache>
            </c:numRef>
          </c:val>
          <c:smooth val="0"/>
        </c:ser>
        <c:ser>
          <c:idx val="1"/>
          <c:order val="1"/>
          <c:tx>
            <c:strRef>
              <c:f>'Тарифы насел по городам'!$A$37</c:f>
              <c:strCache>
                <c:ptCount val="1"/>
                <c:pt idx="0">
                  <c:v>минимальный тариф (г. Красноярск)</c:v>
                </c:pt>
              </c:strCache>
            </c:strRef>
          </c:tx>
          <c:dLbls>
            <c:dLbl>
              <c:idx val="0"/>
              <c:layout>
                <c:manualLayout>
                  <c:x val="-3.7426900584795329E-2"/>
                  <c:y val="4.6376811594202899E-2"/>
                </c:manualLayout>
              </c:layout>
              <c:showLegendKey val="0"/>
              <c:showVal val="1"/>
              <c:showCatName val="0"/>
              <c:showSerName val="0"/>
              <c:showPercent val="0"/>
              <c:showBubbleSize val="0"/>
            </c:dLbl>
            <c:dLbl>
              <c:idx val="1"/>
              <c:layout>
                <c:manualLayout>
                  <c:x val="-3.5087719298245633E-2"/>
                  <c:y val="5.4106280193236572E-2"/>
                </c:manualLayout>
              </c:layout>
              <c:showLegendKey val="0"/>
              <c:showVal val="1"/>
              <c:showCatName val="0"/>
              <c:showSerName val="0"/>
              <c:showPercent val="0"/>
              <c:showBubbleSize val="0"/>
            </c:dLbl>
            <c:dLbl>
              <c:idx val="2"/>
              <c:layout>
                <c:manualLayout>
                  <c:x val="-3.040935672514624E-2"/>
                  <c:y val="5.4106280193236572E-2"/>
                </c:manualLayout>
              </c:layout>
              <c:showLegendKey val="0"/>
              <c:showVal val="1"/>
              <c:showCatName val="0"/>
              <c:showSerName val="0"/>
              <c:showPercent val="0"/>
              <c:showBubbleSize val="0"/>
            </c:dLbl>
            <c:dLbl>
              <c:idx val="3"/>
              <c:layout>
                <c:manualLayout>
                  <c:x val="-3.9766081871345033E-2"/>
                  <c:y val="5.7970710182966262E-2"/>
                </c:manualLayout>
              </c:layout>
              <c:showLegendKey val="0"/>
              <c:showVal val="1"/>
              <c:showCatName val="0"/>
              <c:showSerName val="0"/>
              <c:showPercent val="0"/>
              <c:showBubbleSize val="0"/>
            </c:dLbl>
            <c:dLbl>
              <c:idx val="4"/>
              <c:layout>
                <c:manualLayout>
                  <c:x val="-3.5087719298245612E-2"/>
                  <c:y val="5.4106280193236572E-2"/>
                </c:manualLayout>
              </c:layout>
              <c:showLegendKey val="0"/>
              <c:showVal val="1"/>
              <c:showCatName val="0"/>
              <c:showSerName val="0"/>
              <c:showPercent val="0"/>
              <c:showBubbleSize val="0"/>
            </c:dLbl>
            <c:dLbl>
              <c:idx val="5"/>
              <c:layout>
                <c:manualLayout>
                  <c:x val="-2.8070175438596492E-2"/>
                  <c:y val="4.6376811594202899E-2"/>
                </c:manualLayout>
              </c:layout>
              <c:showLegendKey val="0"/>
              <c:showVal val="1"/>
              <c:showCatName val="0"/>
              <c:showSerName val="0"/>
              <c:showPercent val="0"/>
              <c:showBubbleSize val="0"/>
            </c:dLbl>
            <c:dLbl>
              <c:idx val="6"/>
              <c:layout>
                <c:manualLayout>
                  <c:x val="-2.1052631578947368E-2"/>
                  <c:y val="5.7971014492753624E-2"/>
                </c:manualLayout>
              </c:layout>
              <c:showLegendKey val="0"/>
              <c:showVal val="1"/>
              <c:showCatName val="0"/>
              <c:showSerName val="0"/>
              <c:showPercent val="0"/>
              <c:showBubbleSize val="0"/>
            </c:dLbl>
            <c:dLbl>
              <c:idx val="7"/>
              <c:layout>
                <c:manualLayout>
                  <c:x val="-2.5730994152046785E-2"/>
                  <c:y val="4.6376811594202899E-2"/>
                </c:manualLayout>
              </c:layout>
              <c:showLegendKey val="0"/>
              <c:showVal val="1"/>
              <c:showCatName val="0"/>
              <c:showSerName val="0"/>
              <c:showPercent val="0"/>
              <c:showBubbleSize val="0"/>
            </c:dLbl>
            <c:dLbl>
              <c:idx val="8"/>
              <c:layout>
                <c:manualLayout>
                  <c:x val="-2.0839978734715499E-2"/>
                  <c:y val="3.8839125876234525E-2"/>
                </c:manualLayout>
              </c:layout>
              <c:showLegendKey val="0"/>
              <c:showVal val="1"/>
              <c:showCatName val="0"/>
              <c:showSerName val="0"/>
              <c:showPercent val="0"/>
              <c:showBubbleSize val="0"/>
            </c:dLbl>
            <c:dLbl>
              <c:idx val="9"/>
              <c:layout>
                <c:manualLayout>
                  <c:x val="-2.3179160021265285E-2"/>
                  <c:y val="2.7340660908284471E-2"/>
                </c:manualLayout>
              </c:layout>
              <c:showLegendKey val="0"/>
              <c:showVal val="1"/>
              <c:showCatName val="0"/>
              <c:showSerName val="0"/>
              <c:showPercent val="0"/>
              <c:showBubbleSize val="0"/>
            </c:dLbl>
            <c:dLbl>
              <c:idx val="10"/>
              <c:layout>
                <c:manualLayout>
                  <c:x val="-2.3391980308681511E-2"/>
                  <c:y val="3.4539874067865989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городам'!$D$35:$O$35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городам'!$D$37:$O$37</c:f>
              <c:numCache>
                <c:formatCode>General</c:formatCode>
                <c:ptCount val="11"/>
                <c:pt idx="0">
                  <c:v>2.08</c:v>
                </c:pt>
                <c:pt idx="1">
                  <c:v>2.2599999999999998</c:v>
                </c:pt>
                <c:pt idx="2">
                  <c:v>2.37</c:v>
                </c:pt>
                <c:pt idx="3">
                  <c:v>2.48</c:v>
                </c:pt>
                <c:pt idx="4">
                  <c:v>2.58</c:v>
                </c:pt>
                <c:pt idx="5">
                  <c:v>2.71</c:v>
                </c:pt>
                <c:pt idx="6">
                  <c:v>2.83</c:v>
                </c:pt>
                <c:pt idx="7">
                  <c:v>2.98</c:v>
                </c:pt>
                <c:pt idx="8">
                  <c:v>3.25</c:v>
                </c:pt>
                <c:pt idx="9">
                  <c:v>3.53</c:v>
                </c:pt>
                <c:pt idx="10">
                  <c:v>4.0599999999999996</c:v>
                </c:pt>
              </c:numCache>
            </c:numRef>
          </c:val>
          <c:smooth val="0"/>
        </c:ser>
        <c:ser>
          <c:idx val="2"/>
          <c:order val="2"/>
          <c:tx>
            <c:strRef>
              <c:f>'Тарифы насел по городам'!$A$38</c:f>
              <c:strCache>
                <c:ptCount val="1"/>
                <c:pt idx="0">
                  <c:v>г. Новосибирск</c:v>
                </c:pt>
              </c:strCache>
            </c:strRef>
          </c:tx>
          <c:dLbls>
            <c:dLbl>
              <c:idx val="0"/>
              <c:layout>
                <c:manualLayout>
                  <c:x val="-4.4869750132908025E-2"/>
                  <c:y val="-3.8506417736289385E-2"/>
                </c:manualLayout>
              </c:layout>
              <c:showLegendKey val="0"/>
              <c:showVal val="1"/>
              <c:showCatName val="0"/>
              <c:showSerName val="0"/>
              <c:showPercent val="0"/>
              <c:showBubbleSize val="0"/>
            </c:dLbl>
            <c:dLbl>
              <c:idx val="1"/>
              <c:layout>
                <c:manualLayout>
                  <c:x val="-4.529505582137161E-2"/>
                  <c:y val="-3.726496739532479E-2"/>
                </c:manualLayout>
              </c:layout>
              <c:showLegendKey val="0"/>
              <c:showVal val="1"/>
              <c:showCatName val="0"/>
              <c:showSerName val="0"/>
              <c:showPercent val="0"/>
              <c:showBubbleSize val="0"/>
            </c:dLbl>
            <c:dLbl>
              <c:idx val="2"/>
              <c:layout>
                <c:manualLayout>
                  <c:x val="-4.6783625730994149E-2"/>
                  <c:y val="-5.0241545893719805E-2"/>
                </c:manualLayout>
              </c:layout>
              <c:showLegendKey val="0"/>
              <c:showVal val="1"/>
              <c:showCatName val="0"/>
              <c:showSerName val="0"/>
              <c:showPercent val="0"/>
              <c:showBubbleSize val="0"/>
            </c:dLbl>
            <c:dLbl>
              <c:idx val="3"/>
              <c:layout>
                <c:manualLayout>
                  <c:x val="-4.6783793174178585E-2"/>
                  <c:y val="-3.7265478280238767E-2"/>
                </c:manualLayout>
              </c:layout>
              <c:showLegendKey val="0"/>
              <c:showVal val="1"/>
              <c:showCatName val="0"/>
              <c:showSerName val="0"/>
              <c:showPercent val="0"/>
              <c:showBubbleSize val="0"/>
            </c:dLbl>
            <c:dLbl>
              <c:idx val="4"/>
              <c:layout>
                <c:manualLayout>
                  <c:x val="-4.2105263157894778E-2"/>
                  <c:y val="-5.0241545893719874E-2"/>
                </c:manualLayout>
              </c:layout>
              <c:showLegendKey val="0"/>
              <c:showVal val="1"/>
              <c:showCatName val="0"/>
              <c:showSerName val="0"/>
              <c:showPercent val="0"/>
              <c:showBubbleSize val="0"/>
            </c:dLbl>
            <c:dLbl>
              <c:idx val="5"/>
              <c:layout>
                <c:manualLayout>
                  <c:x val="-4.3806485911749071E-2"/>
                  <c:y val="-3.4641573362051876E-2"/>
                </c:manualLayout>
              </c:layout>
              <c:showLegendKey val="0"/>
              <c:showVal val="1"/>
              <c:showCatName val="0"/>
              <c:showSerName val="0"/>
              <c:showPercent val="0"/>
              <c:showBubbleSize val="0"/>
            </c:dLbl>
            <c:dLbl>
              <c:idx val="6"/>
              <c:layout>
                <c:manualLayout>
                  <c:x val="-4.1467304625199361E-2"/>
                  <c:y val="-4.2371006668069894E-2"/>
                </c:manualLayout>
              </c:layout>
              <c:showLegendKey val="0"/>
              <c:showVal val="1"/>
              <c:showCatName val="0"/>
              <c:showSerName val="0"/>
              <c:showPercent val="0"/>
              <c:showBubbleSize val="0"/>
            </c:dLbl>
            <c:dLbl>
              <c:idx val="7"/>
              <c:layout>
                <c:manualLayout>
                  <c:x val="-3.7639553429027112E-2"/>
                  <c:y val="-4.3612201566577503E-2"/>
                </c:manualLayout>
              </c:layout>
              <c:showLegendKey val="0"/>
              <c:showVal val="1"/>
              <c:showCatName val="0"/>
              <c:showSerName val="0"/>
              <c:showPercent val="0"/>
              <c:showBubbleSize val="0"/>
            </c:dLbl>
            <c:dLbl>
              <c:idx val="8"/>
              <c:layout>
                <c:manualLayout>
                  <c:x val="-2.5943646996278574E-2"/>
                  <c:y val="-3.8602304381337903E-2"/>
                </c:manualLayout>
              </c:layout>
              <c:showLegendKey val="0"/>
              <c:showVal val="1"/>
              <c:showCatName val="0"/>
              <c:showSerName val="0"/>
              <c:showPercent val="0"/>
              <c:showBubbleSize val="0"/>
            </c:dLbl>
            <c:dLbl>
              <c:idx val="9"/>
              <c:layout>
                <c:manualLayout>
                  <c:x val="-3.0834662413609781E-2"/>
                  <c:y val="-3.973071272250351E-2"/>
                </c:manualLayout>
              </c:layout>
              <c:showLegendKey val="0"/>
              <c:showVal val="1"/>
              <c:showCatName val="0"/>
              <c:showSerName val="0"/>
              <c:showPercent val="0"/>
              <c:showBubbleSize val="0"/>
            </c:dLbl>
            <c:dLbl>
              <c:idx val="10"/>
              <c:layout>
                <c:manualLayout>
                  <c:x val="-3.6151150962589008E-2"/>
                  <c:y val="-3.3140783967305007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'Тарифы насел по городам'!$D$35:$O$35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'Тарифы насел по городам'!$D$38:$O$38</c:f>
              <c:numCache>
                <c:formatCode>General</c:formatCode>
                <c:ptCount val="11"/>
                <c:pt idx="0">
                  <c:v>2.34</c:v>
                </c:pt>
                <c:pt idx="1">
                  <c:v>2.42</c:v>
                </c:pt>
                <c:pt idx="2">
                  <c:v>2.4900000000000002</c:v>
                </c:pt>
                <c:pt idx="3">
                  <c:v>2.56</c:v>
                </c:pt>
                <c:pt idx="4">
                  <c:v>2.68</c:v>
                </c:pt>
                <c:pt idx="5">
                  <c:v>2.8</c:v>
                </c:pt>
                <c:pt idx="6">
                  <c:v>2.93</c:v>
                </c:pt>
                <c:pt idx="7">
                  <c:v>3.08</c:v>
                </c:pt>
                <c:pt idx="8">
                  <c:v>3.36</c:v>
                </c:pt>
                <c:pt idx="9">
                  <c:v>3.66</c:v>
                </c:pt>
                <c:pt idx="10">
                  <c:v>4.12</c:v>
                </c:pt>
              </c:numCache>
            </c:numRef>
          </c:val>
          <c:smooth val="0"/>
        </c:ser>
        <c:dLbls>
          <c:showLegendKey val="0"/>
          <c:showVal val="0"/>
          <c:showCatName val="0"/>
          <c:showSerName val="0"/>
          <c:showPercent val="0"/>
          <c:showBubbleSize val="0"/>
        </c:dLbls>
        <c:marker val="1"/>
        <c:smooth val="0"/>
        <c:axId val="152456192"/>
        <c:axId val="186345152"/>
      </c:lineChart>
      <c:catAx>
        <c:axId val="152456192"/>
        <c:scaling>
          <c:orientation val="minMax"/>
        </c:scaling>
        <c:delete val="0"/>
        <c:axPos val="b"/>
        <c:numFmt formatCode="General" sourceLinked="1"/>
        <c:majorTickMark val="out"/>
        <c:minorTickMark val="none"/>
        <c:tickLblPos val="nextTo"/>
        <c:crossAx val="186345152"/>
        <c:crosses val="autoZero"/>
        <c:auto val="1"/>
        <c:lblAlgn val="ctr"/>
        <c:lblOffset val="100"/>
        <c:noMultiLvlLbl val="0"/>
      </c:catAx>
      <c:valAx>
        <c:axId val="186345152"/>
        <c:scaling>
          <c:orientation val="minMax"/>
          <c:min val="1"/>
        </c:scaling>
        <c:delete val="0"/>
        <c:axPos val="l"/>
        <c:majorGridlines/>
        <c:numFmt formatCode="#,##0.00" sourceLinked="0"/>
        <c:majorTickMark val="out"/>
        <c:minorTickMark val="none"/>
        <c:tickLblPos val="nextTo"/>
        <c:crossAx val="152456192"/>
        <c:crosses val="autoZero"/>
        <c:crossBetween val="between"/>
      </c:valAx>
    </c:plotArea>
    <c:legend>
      <c:legendPos val="r"/>
      <c:layout>
        <c:manualLayout>
          <c:xMode val="edge"/>
          <c:yMode val="edge"/>
          <c:x val="0.77906195141909151"/>
          <c:y val="0.27101920955532727"/>
          <c:w val="0.20477648427917802"/>
          <c:h val="0.50820282247327775"/>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7200962639314002"/>
          <c:y val="0.20571318560730031"/>
          <c:w val="0.58715307230901337"/>
          <c:h val="0.58547946787825111"/>
        </c:manualLayout>
      </c:layout>
      <c:lineChart>
        <c:grouping val="standard"/>
        <c:varyColors val="0"/>
        <c:ser>
          <c:idx val="0"/>
          <c:order val="0"/>
          <c:tx>
            <c:strRef>
              <c:f>Перекрестка!$B$19</c:f>
              <c:strCache>
                <c:ptCount val="1"/>
                <c:pt idx="0">
                  <c:v>Максимальная величина </c:v>
                </c:pt>
              </c:strCache>
            </c:strRef>
          </c:tx>
          <c:marker>
            <c:symbol val="square"/>
            <c:size val="7"/>
          </c:marker>
          <c:dLbls>
            <c:dLbl>
              <c:idx val="0"/>
              <c:layout>
                <c:manualLayout>
                  <c:x val="-4.519774011299435E-2"/>
                  <c:y val="-3.116882266930561E-2"/>
                </c:manualLayout>
              </c:layout>
              <c:showLegendKey val="0"/>
              <c:showVal val="1"/>
              <c:showCatName val="0"/>
              <c:showSerName val="0"/>
              <c:showPercent val="0"/>
              <c:showBubbleSize val="0"/>
            </c:dLbl>
            <c:dLbl>
              <c:idx val="1"/>
              <c:delete val="1"/>
            </c:dLbl>
            <c:dLbl>
              <c:idx val="2"/>
              <c:layout>
                <c:manualLayout>
                  <c:x val="-5.6497175141242979E-2"/>
                  <c:y val="4.8484835263364279E-2"/>
                </c:manualLayout>
              </c:layout>
              <c:showLegendKey val="0"/>
              <c:showVal val="1"/>
              <c:showCatName val="0"/>
              <c:showSerName val="0"/>
              <c:showPercent val="0"/>
              <c:showBubbleSize val="0"/>
            </c:dLbl>
            <c:dLbl>
              <c:idx val="3"/>
              <c:delete val="1"/>
            </c:dLbl>
            <c:dLbl>
              <c:idx val="4"/>
              <c:layout>
                <c:manualLayout>
                  <c:x val="-5.4237288135593219E-2"/>
                  <c:y val="-4.1558430225740843E-2"/>
                </c:manualLayout>
              </c:layout>
              <c:showLegendKey val="0"/>
              <c:showVal val="1"/>
              <c:showCatName val="0"/>
              <c:showSerName val="0"/>
              <c:showPercent val="0"/>
              <c:showBubbleSize val="0"/>
            </c:dLbl>
            <c:dLbl>
              <c:idx val="5"/>
              <c:delete val="1"/>
            </c:dLbl>
            <c:dLbl>
              <c:idx val="6"/>
              <c:layout>
                <c:manualLayout>
                  <c:x val="-3.8163394168137549E-2"/>
                  <c:y val="5.1020408163265307E-2"/>
                </c:manualLayout>
              </c:layout>
              <c:showLegendKey val="0"/>
              <c:showVal val="1"/>
              <c:showCatName val="0"/>
              <c:showSerName val="0"/>
              <c:showPercent val="0"/>
              <c:showBubbleSize val="0"/>
            </c:dLbl>
            <c:dLbl>
              <c:idx val="7"/>
              <c:layout>
                <c:manualLayout>
                  <c:x val="-5.4237282405736227E-2"/>
                  <c:y val="-5.1576945738925489E-2"/>
                </c:manualLayout>
              </c:layout>
              <c:showLegendKey val="0"/>
              <c:showVal val="1"/>
              <c:showCatName val="0"/>
              <c:showSerName val="0"/>
              <c:showPercent val="0"/>
              <c:showBubbleSize val="0"/>
            </c:dLbl>
            <c:dLbl>
              <c:idx val="8"/>
              <c:layout>
                <c:manualLayout>
                  <c:x val="8.008009270374197E-3"/>
                  <c:y val="-3.7415233810059456E-2"/>
                </c:manualLayout>
              </c:layout>
              <c:showLegendKey val="0"/>
              <c:showVal val="1"/>
              <c:showCatName val="0"/>
              <c:showSerName val="0"/>
              <c:showPercent val="0"/>
              <c:showBubbleSize val="0"/>
            </c:dLbl>
            <c:dLbl>
              <c:idx val="9"/>
              <c:layout>
                <c:manualLayout>
                  <c:x val="-8.008009270374197E-3"/>
                  <c:y val="-1.0204349456317961E-2"/>
                </c:manualLayout>
              </c:layout>
              <c:showLegendKey val="0"/>
              <c:showVal val="1"/>
              <c:showCatName val="0"/>
              <c:showSerName val="0"/>
              <c:showPercent val="0"/>
              <c:showBubbleSize val="0"/>
            </c:dLbl>
            <c:txPr>
              <a:bodyPr/>
              <a:lstStyle/>
              <a:p>
                <a:pPr>
                  <a:defRPr sz="1000" b="1"/>
                </a:pPr>
                <a:endParaRPr lang="ru-RU"/>
              </a:p>
            </c:txPr>
            <c:showLegendKey val="0"/>
            <c:showVal val="1"/>
            <c:showCatName val="0"/>
            <c:showSerName val="0"/>
            <c:showPercent val="0"/>
            <c:showBubbleSize val="0"/>
            <c:showLeaderLines val="0"/>
          </c:dLbls>
          <c:cat>
            <c:numRef>
              <c:f>Перекрестка!$D$18:$M$18</c:f>
              <c:numCache>
                <c:formatCode>General</c:formatCode>
                <c:ptCount val="10"/>
                <c:pt idx="0">
                  <c:v>2016</c:v>
                </c:pt>
                <c:pt idx="1">
                  <c:v>2017</c:v>
                </c:pt>
                <c:pt idx="2">
                  <c:v>2018</c:v>
                </c:pt>
                <c:pt idx="3">
                  <c:v>2019</c:v>
                </c:pt>
                <c:pt idx="4">
                  <c:v>2020</c:v>
                </c:pt>
                <c:pt idx="5">
                  <c:v>2021</c:v>
                </c:pt>
                <c:pt idx="6">
                  <c:v>2022</c:v>
                </c:pt>
                <c:pt idx="7">
                  <c:v>2023</c:v>
                </c:pt>
                <c:pt idx="8">
                  <c:v>2024</c:v>
                </c:pt>
                <c:pt idx="9" formatCode="0">
                  <c:v>2025</c:v>
                </c:pt>
              </c:numCache>
            </c:numRef>
          </c:cat>
          <c:val>
            <c:numRef>
              <c:f>Перекрестка!$D$19:$M$19</c:f>
              <c:numCache>
                <c:formatCode>#,##0.0</c:formatCode>
                <c:ptCount val="10"/>
                <c:pt idx="0">
                  <c:v>12583.789000000001</c:v>
                </c:pt>
                <c:pt idx="1">
                  <c:v>11240.755999999999</c:v>
                </c:pt>
                <c:pt idx="2">
                  <c:v>11878.596</c:v>
                </c:pt>
                <c:pt idx="3">
                  <c:v>12582.732029999999</c:v>
                </c:pt>
                <c:pt idx="4">
                  <c:v>12564.89776</c:v>
                </c:pt>
                <c:pt idx="5">
                  <c:v>12633.99876</c:v>
                </c:pt>
                <c:pt idx="6">
                  <c:v>12752.758</c:v>
                </c:pt>
                <c:pt idx="7">
                  <c:v>15078.68944</c:v>
                </c:pt>
                <c:pt idx="8">
                  <c:v>15405.588019999999</c:v>
                </c:pt>
                <c:pt idx="9">
                  <c:v>18584.24338</c:v>
                </c:pt>
              </c:numCache>
            </c:numRef>
          </c:val>
          <c:smooth val="0"/>
        </c:ser>
        <c:ser>
          <c:idx val="1"/>
          <c:order val="1"/>
          <c:tx>
            <c:strRef>
              <c:f>Перекрестка!$B$20</c:f>
              <c:strCache>
                <c:ptCount val="1"/>
                <c:pt idx="0">
                  <c:v>г. Новосибирск, Новосибирская обл.</c:v>
                </c:pt>
              </c:strCache>
            </c:strRef>
          </c:tx>
          <c:spPr>
            <a:ln>
              <a:solidFill>
                <a:srgbClr val="92D050"/>
              </a:solidFill>
            </a:ln>
          </c:spPr>
          <c:marker>
            <c:symbol val="triangle"/>
            <c:size val="7"/>
            <c:spPr>
              <a:solidFill>
                <a:srgbClr val="92D050"/>
              </a:solidFill>
              <a:ln>
                <a:solidFill>
                  <a:srgbClr val="92D050"/>
                </a:solidFill>
              </a:ln>
            </c:spPr>
          </c:marker>
          <c:dLbls>
            <c:dLbl>
              <c:idx val="0"/>
              <c:layout>
                <c:manualLayout>
                  <c:x val="-8.1355932203389825E-2"/>
                  <c:y val="-4.155843022574094E-2"/>
                </c:manualLayout>
              </c:layout>
              <c:showLegendKey val="0"/>
              <c:showVal val="1"/>
              <c:showCatName val="0"/>
              <c:showSerName val="0"/>
              <c:showPercent val="0"/>
              <c:showBubbleSize val="0"/>
            </c:dLbl>
            <c:dLbl>
              <c:idx val="1"/>
              <c:delete val="1"/>
            </c:dLbl>
            <c:dLbl>
              <c:idx val="2"/>
              <c:layout>
                <c:manualLayout>
                  <c:x val="-5.8757062146892698E-2"/>
                  <c:y val="-5.1948037782176076E-2"/>
                </c:manualLayout>
              </c:layout>
              <c:showLegendKey val="0"/>
              <c:showVal val="1"/>
              <c:showCatName val="0"/>
              <c:showSerName val="0"/>
              <c:showPercent val="0"/>
              <c:showBubbleSize val="0"/>
            </c:dLbl>
            <c:dLbl>
              <c:idx val="3"/>
              <c:delete val="1"/>
            </c:dLbl>
            <c:dLbl>
              <c:idx val="4"/>
              <c:layout>
                <c:manualLayout>
                  <c:x val="-4.519774011299435E-2"/>
                  <c:y val="-4.5021632744552481E-2"/>
                </c:manualLayout>
              </c:layout>
              <c:showLegendKey val="0"/>
              <c:showVal val="1"/>
              <c:showCatName val="0"/>
              <c:showSerName val="0"/>
              <c:showPercent val="0"/>
              <c:showBubbleSize val="0"/>
            </c:dLbl>
            <c:dLbl>
              <c:idx val="5"/>
              <c:delete val="1"/>
            </c:dLbl>
            <c:dLbl>
              <c:idx val="6"/>
              <c:layout>
                <c:manualLayout>
                  <c:x val="-5.7245091252206406E-2"/>
                  <c:y val="-2.721088435374162E-2"/>
                </c:manualLayout>
              </c:layout>
              <c:showLegendKey val="0"/>
              <c:showVal val="1"/>
              <c:showCatName val="0"/>
              <c:showSerName val="0"/>
              <c:showPercent val="0"/>
              <c:showBubbleSize val="0"/>
            </c:dLbl>
            <c:dLbl>
              <c:idx val="7"/>
              <c:layout>
                <c:manualLayout>
                  <c:x val="-4.0677966101694996E-2"/>
                  <c:y val="-4.1558430225740878E-2"/>
                </c:manualLayout>
              </c:layout>
              <c:showLegendKey val="0"/>
              <c:showVal val="1"/>
              <c:showCatName val="0"/>
              <c:showSerName val="0"/>
              <c:showPercent val="0"/>
              <c:showBubbleSize val="0"/>
            </c:dLbl>
            <c:dLbl>
              <c:idx val="8"/>
              <c:layout>
                <c:manualLayout>
                  <c:x val="1.8018020858341796E-2"/>
                  <c:y val="-3.4018961915474851E-3"/>
                </c:manualLayout>
              </c:layout>
              <c:showLegendKey val="0"/>
              <c:showVal val="1"/>
              <c:showCatName val="0"/>
              <c:showSerName val="0"/>
              <c:showPercent val="0"/>
              <c:showBubbleSize val="0"/>
            </c:dLbl>
            <c:dLbl>
              <c:idx val="9"/>
              <c:layout>
                <c:manualLayout>
                  <c:x val="-3.2032037081496788E-2"/>
                  <c:y val="-3.4013605442176874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Перекрестка!$D$18:$M$18</c:f>
              <c:numCache>
                <c:formatCode>General</c:formatCode>
                <c:ptCount val="10"/>
                <c:pt idx="0">
                  <c:v>2016</c:v>
                </c:pt>
                <c:pt idx="1">
                  <c:v>2017</c:v>
                </c:pt>
                <c:pt idx="2">
                  <c:v>2018</c:v>
                </c:pt>
                <c:pt idx="3">
                  <c:v>2019</c:v>
                </c:pt>
                <c:pt idx="4">
                  <c:v>2020</c:v>
                </c:pt>
                <c:pt idx="5">
                  <c:v>2021</c:v>
                </c:pt>
                <c:pt idx="6">
                  <c:v>2022</c:v>
                </c:pt>
                <c:pt idx="7">
                  <c:v>2023</c:v>
                </c:pt>
                <c:pt idx="8">
                  <c:v>2024</c:v>
                </c:pt>
                <c:pt idx="9" formatCode="0">
                  <c:v>2025</c:v>
                </c:pt>
              </c:numCache>
            </c:numRef>
          </c:cat>
          <c:val>
            <c:numRef>
              <c:f>Перекрестка!$D$20:$M$20</c:f>
              <c:numCache>
                <c:formatCode>#,##0.0</c:formatCode>
                <c:ptCount val="10"/>
                <c:pt idx="0">
                  <c:v>3660.2726400000001</c:v>
                </c:pt>
                <c:pt idx="1">
                  <c:v>4090.5694600000002</c:v>
                </c:pt>
                <c:pt idx="2">
                  <c:v>4662.2405699999999</c:v>
                </c:pt>
                <c:pt idx="3">
                  <c:v>4381.5375599999998</c:v>
                </c:pt>
                <c:pt idx="4">
                  <c:v>4510.15416</c:v>
                </c:pt>
                <c:pt idx="5">
                  <c:v>4652.4743699999999</c:v>
                </c:pt>
                <c:pt idx="6">
                  <c:v>4652.4743699999999</c:v>
                </c:pt>
                <c:pt idx="7">
                  <c:v>5831.9889899999998</c:v>
                </c:pt>
                <c:pt idx="8">
                  <c:v>6367.8729999999996</c:v>
                </c:pt>
                <c:pt idx="9">
                  <c:v>7546.7780000000002</c:v>
                </c:pt>
              </c:numCache>
            </c:numRef>
          </c:val>
          <c:smooth val="0"/>
        </c:ser>
        <c:ser>
          <c:idx val="2"/>
          <c:order val="2"/>
          <c:tx>
            <c:strRef>
              <c:f>Перекрестка!$B$21</c:f>
              <c:strCache>
                <c:ptCount val="1"/>
                <c:pt idx="0">
                  <c:v>Минимальная величина </c:v>
                </c:pt>
              </c:strCache>
            </c:strRef>
          </c:tx>
          <c:spPr>
            <a:ln>
              <a:solidFill>
                <a:srgbClr val="C00000"/>
              </a:solidFill>
            </a:ln>
          </c:spPr>
          <c:marker>
            <c:symbol val="diamond"/>
            <c:size val="7"/>
            <c:spPr>
              <a:solidFill>
                <a:srgbClr val="C00000"/>
              </a:solidFill>
              <a:ln>
                <a:solidFill>
                  <a:srgbClr val="C00000"/>
                </a:solidFill>
              </a:ln>
            </c:spPr>
          </c:marker>
          <c:dLbls>
            <c:dLbl>
              <c:idx val="0"/>
              <c:layout>
                <c:manualLayout>
                  <c:x val="-4.2999068832465355E-2"/>
                  <c:y val="3.4755744817612087E-2"/>
                </c:manualLayout>
              </c:layout>
              <c:showLegendKey val="0"/>
              <c:showVal val="1"/>
              <c:showCatName val="0"/>
              <c:showSerName val="0"/>
              <c:showPercent val="0"/>
              <c:showBubbleSize val="0"/>
            </c:dLbl>
            <c:dLbl>
              <c:idx val="1"/>
              <c:delete val="1"/>
            </c:dLbl>
            <c:dLbl>
              <c:idx val="2"/>
              <c:layout>
                <c:manualLayout>
                  <c:x val="-5.19774011299435E-2"/>
                  <c:y val="2.7705620150493875E-2"/>
                </c:manualLayout>
              </c:layout>
              <c:showLegendKey val="0"/>
              <c:showVal val="1"/>
              <c:showCatName val="0"/>
              <c:showSerName val="0"/>
              <c:showPercent val="0"/>
              <c:showBubbleSize val="0"/>
            </c:dLbl>
            <c:dLbl>
              <c:idx val="3"/>
              <c:delete val="1"/>
            </c:dLbl>
            <c:dLbl>
              <c:idx val="4"/>
              <c:layout>
                <c:manualLayout>
                  <c:x val="-5.1977339855972485E-2"/>
                  <c:y val="2.4427660828110771E-2"/>
                </c:manualLayout>
              </c:layout>
              <c:showLegendKey val="0"/>
              <c:showVal val="1"/>
              <c:showCatName val="0"/>
              <c:showSerName val="0"/>
              <c:showPercent val="0"/>
              <c:showBubbleSize val="0"/>
            </c:dLbl>
            <c:dLbl>
              <c:idx val="5"/>
              <c:delete val="1"/>
            </c:dLbl>
            <c:dLbl>
              <c:idx val="6"/>
              <c:layout>
                <c:manualLayout>
                  <c:x val="-5.0089454845680531E-2"/>
                  <c:y val="3.0612244897959183E-2"/>
                </c:manualLayout>
              </c:layout>
              <c:showLegendKey val="0"/>
              <c:showVal val="1"/>
              <c:showCatName val="0"/>
              <c:showSerName val="0"/>
              <c:showPercent val="0"/>
              <c:showBubbleSize val="0"/>
            </c:dLbl>
            <c:dLbl>
              <c:idx val="7"/>
              <c:layout>
                <c:manualLayout>
                  <c:x val="-5.4839099704286916E-2"/>
                  <c:y val="-4.0197921688360262E-2"/>
                </c:manualLayout>
              </c:layout>
              <c:showLegendKey val="0"/>
              <c:showVal val="1"/>
              <c:showCatName val="0"/>
              <c:showSerName val="0"/>
              <c:showPercent val="0"/>
              <c:showBubbleSize val="0"/>
            </c:dLbl>
            <c:dLbl>
              <c:idx val="8"/>
              <c:layout>
                <c:manualLayout>
                  <c:x val="-3.603604171668396E-2"/>
                  <c:y val="-3.4013605442176874E-2"/>
                </c:manualLayout>
              </c:layout>
              <c:showLegendKey val="0"/>
              <c:showVal val="1"/>
              <c:showCatName val="0"/>
              <c:showSerName val="0"/>
              <c:showPercent val="0"/>
              <c:showBubbleSize val="0"/>
            </c:dLbl>
            <c:dLbl>
              <c:idx val="9"/>
              <c:layout>
                <c:manualLayout>
                  <c:x val="-6.8509539804377457E-3"/>
                  <c:y val="9.4568456285097392E-3"/>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Перекрестка!$D$18:$M$18</c:f>
              <c:numCache>
                <c:formatCode>General</c:formatCode>
                <c:ptCount val="10"/>
                <c:pt idx="0">
                  <c:v>2016</c:v>
                </c:pt>
                <c:pt idx="1">
                  <c:v>2017</c:v>
                </c:pt>
                <c:pt idx="2">
                  <c:v>2018</c:v>
                </c:pt>
                <c:pt idx="3">
                  <c:v>2019</c:v>
                </c:pt>
                <c:pt idx="4">
                  <c:v>2020</c:v>
                </c:pt>
                <c:pt idx="5">
                  <c:v>2021</c:v>
                </c:pt>
                <c:pt idx="6">
                  <c:v>2022</c:v>
                </c:pt>
                <c:pt idx="7">
                  <c:v>2023</c:v>
                </c:pt>
                <c:pt idx="8">
                  <c:v>2024</c:v>
                </c:pt>
                <c:pt idx="9" formatCode="0">
                  <c:v>2025</c:v>
                </c:pt>
              </c:numCache>
            </c:numRef>
          </c:cat>
          <c:val>
            <c:numRef>
              <c:f>Перекрестка!$D$21:$M$21</c:f>
              <c:numCache>
                <c:formatCode>#,##0.0</c:formatCode>
                <c:ptCount val="10"/>
                <c:pt idx="0">
                  <c:v>1273.1513799999998</c:v>
                </c:pt>
                <c:pt idx="1">
                  <c:v>1169.4191000000001</c:v>
                </c:pt>
                <c:pt idx="2">
                  <c:v>1195.1190800000002</c:v>
                </c:pt>
                <c:pt idx="3">
                  <c:v>1332.1454699999999</c:v>
                </c:pt>
                <c:pt idx="4">
                  <c:v>1511.6403700000001</c:v>
                </c:pt>
                <c:pt idx="5">
                  <c:v>1392.7413600000002</c:v>
                </c:pt>
                <c:pt idx="6">
                  <c:v>1293.93797</c:v>
                </c:pt>
                <c:pt idx="7">
                  <c:v>1695.6418600000002</c:v>
                </c:pt>
                <c:pt idx="8">
                  <c:v>1411.90579</c:v>
                </c:pt>
                <c:pt idx="9" formatCode="0.0">
                  <c:v>868.16759000000002</c:v>
                </c:pt>
              </c:numCache>
            </c:numRef>
          </c:val>
          <c:smooth val="0"/>
        </c:ser>
        <c:dLbls>
          <c:showLegendKey val="0"/>
          <c:showVal val="0"/>
          <c:showCatName val="0"/>
          <c:showSerName val="0"/>
          <c:showPercent val="0"/>
          <c:showBubbleSize val="0"/>
        </c:dLbls>
        <c:marker val="1"/>
        <c:smooth val="0"/>
        <c:axId val="186467328"/>
        <c:axId val="186346880"/>
      </c:lineChart>
      <c:catAx>
        <c:axId val="186467328"/>
        <c:scaling>
          <c:orientation val="minMax"/>
        </c:scaling>
        <c:delete val="0"/>
        <c:axPos val="b"/>
        <c:numFmt formatCode="General" sourceLinked="1"/>
        <c:majorTickMark val="out"/>
        <c:minorTickMark val="none"/>
        <c:tickLblPos val="nextTo"/>
        <c:crossAx val="186346880"/>
        <c:crosses val="autoZero"/>
        <c:auto val="1"/>
        <c:lblAlgn val="ctr"/>
        <c:lblOffset val="100"/>
        <c:noMultiLvlLbl val="0"/>
      </c:catAx>
      <c:valAx>
        <c:axId val="186346880"/>
        <c:scaling>
          <c:orientation val="minMax"/>
        </c:scaling>
        <c:delete val="0"/>
        <c:axPos val="l"/>
        <c:majorGridlines/>
        <c:numFmt formatCode="#,##0.0" sourceLinked="1"/>
        <c:majorTickMark val="out"/>
        <c:minorTickMark val="none"/>
        <c:tickLblPos val="nextTo"/>
        <c:crossAx val="186467328"/>
        <c:crosses val="autoZero"/>
        <c:crossBetween val="between"/>
      </c:valAx>
    </c:plotArea>
    <c:legend>
      <c:legendPos val="r"/>
      <c:layout>
        <c:manualLayout>
          <c:xMode val="edge"/>
          <c:yMode val="edge"/>
          <c:x val="0.77242792893343615"/>
          <c:y val="0.29157680219450705"/>
          <c:w val="0.21326085349299745"/>
          <c:h val="0.4404676201189136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latin typeface="Times New Roman" panose="02020603050405020304" pitchFamily="18" charset="0"/>
                <a:cs typeface="Times New Roman" panose="02020603050405020304" pitchFamily="18" charset="0"/>
              </a:rPr>
              <a:t>Удельный размер перекрестного субсидирования на 1 кВтч котлового объема полезного отпуска э/э, руб./кВтч </a:t>
            </a:r>
          </a:p>
        </c:rich>
      </c:tx>
      <c:overlay val="0"/>
    </c:title>
    <c:autoTitleDeleted val="0"/>
    <c:plotArea>
      <c:layout>
        <c:manualLayout>
          <c:layoutTarget val="inner"/>
          <c:xMode val="edge"/>
          <c:yMode val="edge"/>
          <c:x val="0.15177370045380867"/>
          <c:y val="0.15716974628066163"/>
          <c:w val="0.63495843969877808"/>
          <c:h val="0.63997918025346179"/>
        </c:manualLayout>
      </c:layout>
      <c:lineChart>
        <c:grouping val="standard"/>
        <c:varyColors val="0"/>
        <c:ser>
          <c:idx val="0"/>
          <c:order val="0"/>
          <c:tx>
            <c:strRef>
              <c:f>'[Котловые 2015-2025.xlsx]Графики перекр'!$B$38</c:f>
              <c:strCache>
                <c:ptCount val="1"/>
                <c:pt idx="0">
                  <c:v>Минимальные значения</c:v>
                </c:pt>
              </c:strCache>
            </c:strRef>
          </c:tx>
          <c:dLbls>
            <c:dLbl>
              <c:idx val="0"/>
              <c:layout>
                <c:manualLayout>
                  <c:x val="-5.0519056638737306E-2"/>
                  <c:y val="-2.8715198532707039E-2"/>
                </c:manualLayout>
              </c:layout>
              <c:showLegendKey val="0"/>
              <c:showVal val="1"/>
              <c:showCatName val="0"/>
              <c:showSerName val="0"/>
              <c:showPercent val="0"/>
              <c:showBubbleSize val="0"/>
            </c:dLbl>
            <c:dLbl>
              <c:idx val="1"/>
              <c:layout>
                <c:manualLayout>
                  <c:x val="-2.7757122988252555E-2"/>
                  <c:y val="-3.4550438694117079E-2"/>
                </c:manualLayout>
              </c:layout>
              <c:showLegendKey val="0"/>
              <c:showVal val="1"/>
              <c:showCatName val="0"/>
              <c:showSerName val="0"/>
              <c:showPercent val="0"/>
              <c:showBubbleSize val="0"/>
            </c:dLbl>
            <c:dLbl>
              <c:idx val="2"/>
              <c:layout>
                <c:manualLayout>
                  <c:x val="-3.1722426272288599E-2"/>
                  <c:y val="-4.6444000589608056E-2"/>
                </c:manualLayout>
              </c:layout>
              <c:showLegendKey val="0"/>
              <c:showVal val="1"/>
              <c:showCatName val="0"/>
              <c:showSerName val="0"/>
              <c:showPercent val="0"/>
              <c:showBubbleSize val="0"/>
            </c:dLbl>
            <c:dLbl>
              <c:idx val="3"/>
              <c:layout>
                <c:manualLayout>
                  <c:x val="-4.8016293984243341E-2"/>
                  <c:y val="2.6472891294181997E-2"/>
                </c:manualLayout>
              </c:layout>
              <c:showLegendKey val="0"/>
              <c:showVal val="1"/>
              <c:showCatName val="0"/>
              <c:showSerName val="0"/>
              <c:showPercent val="0"/>
              <c:showBubbleSize val="0"/>
            </c:dLbl>
            <c:dLbl>
              <c:idx val="4"/>
              <c:layout>
                <c:manualLayout>
                  <c:x val="-3.6666254004526999E-2"/>
                  <c:y val="-4.2573708426943503E-2"/>
                </c:manualLayout>
              </c:layout>
              <c:showLegendKey val="0"/>
              <c:showVal val="1"/>
              <c:showCatName val="0"/>
              <c:showSerName val="0"/>
              <c:showPercent val="0"/>
              <c:showBubbleSize val="0"/>
            </c:dLbl>
            <c:dLbl>
              <c:idx val="5"/>
              <c:layout>
                <c:manualLayout>
                  <c:x val="-4.4300167986796257E-2"/>
                  <c:y val="2.3275852173622283E-2"/>
                </c:manualLayout>
              </c:layout>
              <c:showLegendKey val="0"/>
              <c:showVal val="1"/>
              <c:showCatName val="0"/>
              <c:showSerName val="0"/>
              <c:showPercent val="0"/>
              <c:showBubbleSize val="0"/>
            </c:dLbl>
            <c:dLbl>
              <c:idx val="6"/>
              <c:layout>
                <c:manualLayout>
                  <c:x val="-3.2364203867534615E-2"/>
                  <c:y val="-4.0832368049771202E-2"/>
                </c:manualLayout>
              </c:layout>
              <c:showLegendKey val="0"/>
              <c:showVal val="1"/>
              <c:showCatName val="0"/>
              <c:showSerName val="0"/>
              <c:showPercent val="0"/>
              <c:showBubbleSize val="0"/>
            </c:dLbl>
            <c:dLbl>
              <c:idx val="7"/>
              <c:layout>
                <c:manualLayout>
                  <c:x val="-2.632451913065003E-2"/>
                  <c:y val="-3.7691723781010308E-2"/>
                </c:manualLayout>
              </c:layout>
              <c:showLegendKey val="0"/>
              <c:showVal val="1"/>
              <c:showCatName val="0"/>
              <c:showSerName val="0"/>
              <c:showPercent val="0"/>
              <c:showBubbleSize val="0"/>
            </c:dLbl>
            <c:dLbl>
              <c:idx val="8"/>
              <c:layout>
                <c:manualLayout>
                  <c:x val="-2.8307040990574937E-2"/>
                  <c:y val="-2.8268543301015258E-2"/>
                </c:manualLayout>
              </c:layout>
              <c:showLegendKey val="0"/>
              <c:showVal val="1"/>
              <c:showCatName val="0"/>
              <c:showSerName val="0"/>
              <c:showPercent val="0"/>
              <c:showBubbleSize val="0"/>
            </c:dLbl>
            <c:dLbl>
              <c:idx val="9"/>
              <c:layout>
                <c:manualLayout>
                  <c:x val="-2.0062703092933367E-2"/>
                  <c:y val="-2.8954264773330126E-2"/>
                </c:manualLayout>
              </c:layout>
              <c:showLegendKey val="0"/>
              <c:showVal val="1"/>
              <c:showCatName val="0"/>
              <c:showSerName val="0"/>
              <c:showPercent val="0"/>
              <c:showBubbleSize val="0"/>
            </c:dLbl>
            <c:dLbl>
              <c:idx val="10"/>
              <c:layout>
                <c:manualLayout>
                  <c:x val="-1.8906640337574245E-2"/>
                  <c:y val="-2.8954015238587538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'[Котловые 2015-2025.xlsx]Графики перекр'!$C$34:$M$34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'[Котловые 2015-2025.xlsx]Графики перекр'!$C$38:$M$38</c:f>
              <c:numCache>
                <c:formatCode>0.000</c:formatCode>
                <c:ptCount val="11"/>
                <c:pt idx="0">
                  <c:v>0.12503407217146911</c:v>
                </c:pt>
                <c:pt idx="1">
                  <c:v>0.1592582500162304</c:v>
                </c:pt>
                <c:pt idx="2">
                  <c:v>9.1197141922983768E-2</c:v>
                </c:pt>
                <c:pt idx="3">
                  <c:v>7.2170644107468249E-2</c:v>
                </c:pt>
                <c:pt idx="4">
                  <c:v>8.7118240770808916E-2</c:v>
                </c:pt>
                <c:pt idx="5">
                  <c:v>7.6457883155960929E-2</c:v>
                </c:pt>
                <c:pt idx="6">
                  <c:v>7.9165724242427113E-2</c:v>
                </c:pt>
                <c:pt idx="7">
                  <c:v>7.5178599632886547E-2</c:v>
                </c:pt>
                <c:pt idx="8">
                  <c:v>3.786862395303299E-2</c:v>
                </c:pt>
                <c:pt idx="9">
                  <c:v>3.0999263608585792E-2</c:v>
                </c:pt>
                <c:pt idx="10">
                  <c:v>1.8308900309356467E-2</c:v>
                </c:pt>
              </c:numCache>
            </c:numRef>
          </c:val>
          <c:smooth val="0"/>
        </c:ser>
        <c:ser>
          <c:idx val="1"/>
          <c:order val="1"/>
          <c:tx>
            <c:strRef>
              <c:f>'[Котловые 2015-2025.xlsx]Графики перекр'!$B$35</c:f>
              <c:strCache>
                <c:ptCount val="1"/>
                <c:pt idx="0">
                  <c:v>Максимальные значения</c:v>
                </c:pt>
              </c:strCache>
            </c:strRef>
          </c:tx>
          <c:dLbls>
            <c:dLbl>
              <c:idx val="0"/>
              <c:layout>
                <c:manualLayout>
                  <c:x val="-3.6054360102605043E-2"/>
                  <c:y val="-4.3917116536218222E-2"/>
                </c:manualLayout>
              </c:layout>
              <c:showLegendKey val="0"/>
              <c:showVal val="1"/>
              <c:showCatName val="0"/>
              <c:showSerName val="0"/>
              <c:showPercent val="0"/>
              <c:showBubbleSize val="0"/>
            </c:dLbl>
            <c:dLbl>
              <c:idx val="1"/>
              <c:layout>
                <c:manualLayout>
                  <c:x val="-3.4163467404273215E-2"/>
                  <c:y val="-3.1268699509764047E-2"/>
                </c:manualLayout>
              </c:layout>
              <c:showLegendKey val="0"/>
              <c:showVal val="1"/>
              <c:showCatName val="0"/>
              <c:showSerName val="0"/>
              <c:showPercent val="0"/>
              <c:showBubbleSize val="0"/>
            </c:dLbl>
            <c:dLbl>
              <c:idx val="2"/>
              <c:layout>
                <c:manualLayout>
                  <c:x val="-4.4810089987676612E-2"/>
                  <c:y val="2.5718547767687148E-2"/>
                </c:manualLayout>
              </c:layout>
              <c:showLegendKey val="0"/>
              <c:showVal val="1"/>
              <c:showCatName val="0"/>
              <c:showSerName val="0"/>
              <c:showPercent val="0"/>
              <c:showBubbleSize val="0"/>
            </c:dLbl>
            <c:dLbl>
              <c:idx val="3"/>
              <c:layout>
                <c:manualLayout>
                  <c:x val="-4.0386410464344248E-2"/>
                  <c:y val="-4.3945064427375218E-2"/>
                </c:manualLayout>
              </c:layout>
              <c:showLegendKey val="0"/>
              <c:showVal val="1"/>
              <c:showCatName val="0"/>
              <c:showSerName val="0"/>
              <c:showPercent val="0"/>
              <c:showBubbleSize val="0"/>
            </c:dLbl>
            <c:dLbl>
              <c:idx val="4"/>
              <c:layout>
                <c:manualLayout>
                  <c:x val="-4.3618336124396875E-2"/>
                  <c:y val="-3.7691387666309535E-2"/>
                </c:manualLayout>
              </c:layout>
              <c:showLegendKey val="0"/>
              <c:showVal val="1"/>
              <c:showCatName val="0"/>
              <c:showSerName val="0"/>
              <c:showPercent val="0"/>
              <c:showBubbleSize val="0"/>
            </c:dLbl>
            <c:dLbl>
              <c:idx val="5"/>
              <c:layout>
                <c:manualLayout>
                  <c:x val="-4.3618336124396875E-2"/>
                  <c:y val="-3.7691387666309507E-2"/>
                </c:manualLayout>
              </c:layout>
              <c:showLegendKey val="0"/>
              <c:showVal val="1"/>
              <c:showCatName val="0"/>
              <c:showSerName val="0"/>
              <c:showPercent val="0"/>
              <c:showBubbleSize val="0"/>
            </c:dLbl>
            <c:dLbl>
              <c:idx val="6"/>
              <c:layout>
                <c:manualLayout>
                  <c:x val="-4.218567400108289E-2"/>
                  <c:y val="-5.031169384682263E-2"/>
                </c:manualLayout>
              </c:layout>
              <c:showLegendKey val="0"/>
              <c:showVal val="1"/>
              <c:showCatName val="0"/>
              <c:showSerName val="0"/>
              <c:showPercent val="0"/>
              <c:showBubbleSize val="0"/>
            </c:dLbl>
            <c:dLbl>
              <c:idx val="7"/>
              <c:layout>
                <c:manualLayout>
                  <c:x val="-4.5967622729585357E-2"/>
                  <c:y val="-5.0255298995023776E-2"/>
                </c:manualLayout>
              </c:layout>
              <c:showLegendKey val="0"/>
              <c:showVal val="1"/>
              <c:showCatName val="0"/>
              <c:showSerName val="0"/>
              <c:showPercent val="0"/>
              <c:showBubbleSize val="0"/>
            </c:dLbl>
            <c:dLbl>
              <c:idx val="8"/>
              <c:layout>
                <c:manualLayout>
                  <c:x val="-2.9739774630270596E-2"/>
                  <c:y val="-3.7691387666309507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'[Котловые 2015-2025.xlsx]Графики перекр'!$C$34:$M$34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'[Котловые 2015-2025.xlsx]Графики перекр'!$C$35:$M$35</c:f>
              <c:numCache>
                <c:formatCode>0.000</c:formatCode>
                <c:ptCount val="11"/>
                <c:pt idx="0">
                  <c:v>0.52536879431521755</c:v>
                </c:pt>
                <c:pt idx="1">
                  <c:v>0.52434155997140786</c:v>
                </c:pt>
                <c:pt idx="2">
                  <c:v>0.51967823765073207</c:v>
                </c:pt>
                <c:pt idx="3">
                  <c:v>0.5009012588240328</c:v>
                </c:pt>
                <c:pt idx="4">
                  <c:v>0.5572933497971424</c:v>
                </c:pt>
                <c:pt idx="5">
                  <c:v>0.64922626644172643</c:v>
                </c:pt>
                <c:pt idx="6">
                  <c:v>0.66730262586550193</c:v>
                </c:pt>
                <c:pt idx="7">
                  <c:v>0.63490148600913898</c:v>
                </c:pt>
                <c:pt idx="8">
                  <c:v>0.73527297487002108</c:v>
                </c:pt>
                <c:pt idx="9">
                  <c:v>0.67125447810353733</c:v>
                </c:pt>
                <c:pt idx="10">
                  <c:v>0.76327110028530043</c:v>
                </c:pt>
              </c:numCache>
            </c:numRef>
          </c:val>
          <c:smooth val="0"/>
        </c:ser>
        <c:ser>
          <c:idx val="2"/>
          <c:order val="2"/>
          <c:tx>
            <c:strRef>
              <c:f>'[Котловые 2015-2025.xlsx]Графики перекр'!$B$37</c:f>
              <c:strCache>
                <c:ptCount val="1"/>
                <c:pt idx="0">
                  <c:v>г. Новосибирск</c:v>
                </c:pt>
              </c:strCache>
            </c:strRef>
          </c:tx>
          <c:dLbls>
            <c:dLbl>
              <c:idx val="0"/>
              <c:layout>
                <c:manualLayout>
                  <c:x val="-4.5600987766414927E-2"/>
                  <c:y val="-5.0255183555079387E-2"/>
                </c:manualLayout>
              </c:layout>
              <c:showLegendKey val="0"/>
              <c:showVal val="1"/>
              <c:showCatName val="0"/>
              <c:showSerName val="0"/>
              <c:showPercent val="0"/>
              <c:showBubbleSize val="0"/>
            </c:dLbl>
            <c:dLbl>
              <c:idx val="1"/>
              <c:layout>
                <c:manualLayout>
                  <c:x val="-4.7583639408432972E-2"/>
                  <c:y val="-4.0832336638501998E-2"/>
                </c:manualLayout>
              </c:layout>
              <c:showLegendKey val="0"/>
              <c:showVal val="1"/>
              <c:showCatName val="0"/>
              <c:showSerName val="0"/>
              <c:showPercent val="0"/>
              <c:showBubbleSize val="0"/>
            </c:dLbl>
            <c:dLbl>
              <c:idx val="2"/>
              <c:layout>
                <c:manualLayout>
                  <c:x val="-4.1635684482378831E-2"/>
                  <c:y val="-3.7691387666309535E-2"/>
                </c:manualLayout>
              </c:layout>
              <c:showLegendKey val="0"/>
              <c:showVal val="1"/>
              <c:showCatName val="0"/>
              <c:showSerName val="0"/>
              <c:showPercent val="0"/>
              <c:showBubbleSize val="0"/>
            </c:dLbl>
            <c:dLbl>
              <c:idx val="3"/>
              <c:layout>
                <c:manualLayout>
                  <c:x val="-3.1722426272288599E-2"/>
                  <c:y val="-4.3973285610694406E-2"/>
                </c:manualLayout>
              </c:layout>
              <c:showLegendKey val="0"/>
              <c:showVal val="1"/>
              <c:showCatName val="0"/>
              <c:showSerName val="0"/>
              <c:showPercent val="0"/>
              <c:showBubbleSize val="0"/>
            </c:dLbl>
            <c:dLbl>
              <c:idx val="4"/>
              <c:layout>
                <c:manualLayout>
                  <c:x val="-2.5774471346234517E-2"/>
                  <c:y val="-4.711423458288698E-2"/>
                </c:manualLayout>
              </c:layout>
              <c:showLegendKey val="0"/>
              <c:showVal val="1"/>
              <c:showCatName val="0"/>
              <c:showSerName val="0"/>
              <c:showPercent val="0"/>
              <c:showBubbleSize val="0"/>
            </c:dLbl>
            <c:dLbl>
              <c:idx val="5"/>
              <c:layout>
                <c:manualLayout>
                  <c:x val="-3.181410223429789E-2"/>
                  <c:y val="2.8859192036448041E-2"/>
                </c:manualLayout>
              </c:layout>
              <c:showLegendKey val="0"/>
              <c:showVal val="1"/>
              <c:showCatName val="0"/>
              <c:showSerName val="0"/>
              <c:showPercent val="0"/>
              <c:showBubbleSize val="0"/>
            </c:dLbl>
            <c:dLbl>
              <c:idx val="6"/>
              <c:layout>
                <c:manualLayout>
                  <c:x val="-2.7757122988252628E-2"/>
                  <c:y val="-3.7691387666309535E-2"/>
                </c:manualLayout>
              </c:layout>
              <c:showLegendKey val="0"/>
              <c:showVal val="1"/>
              <c:showCatName val="0"/>
              <c:showSerName val="0"/>
              <c:showPercent val="0"/>
              <c:showBubbleSize val="0"/>
            </c:dLbl>
            <c:dLbl>
              <c:idx val="7"/>
              <c:layout>
                <c:manualLayout>
                  <c:x val="-1.2870385569305373E-2"/>
                  <c:y val="9.8730916206733136E-3"/>
                </c:manualLayout>
              </c:layout>
              <c:showLegendKey val="0"/>
              <c:showVal val="1"/>
              <c:showCatName val="0"/>
              <c:showSerName val="0"/>
              <c:showPercent val="0"/>
              <c:showBubbleSize val="0"/>
            </c:dLbl>
            <c:dLbl>
              <c:idx val="8"/>
              <c:layout>
                <c:manualLayout>
                  <c:x val="-3.5687729556324786E-2"/>
                  <c:y val="-4.711423458288698E-2"/>
                </c:manualLayout>
              </c:layout>
              <c:showLegendKey val="0"/>
              <c:showVal val="1"/>
              <c:showCatName val="0"/>
              <c:showSerName val="0"/>
              <c:showPercent val="0"/>
              <c:showBubbleSize val="0"/>
            </c:dLbl>
            <c:dLbl>
              <c:idx val="9"/>
              <c:layout>
                <c:manualLayout>
                  <c:x val="-3.0212960218080672E-2"/>
                  <c:y val="3.2396846080482995E-2"/>
                </c:manualLayout>
              </c:layout>
              <c:showLegendKey val="0"/>
              <c:showVal val="1"/>
              <c:showCatName val="0"/>
              <c:showSerName val="0"/>
              <c:showPercent val="0"/>
              <c:showBubbleSize val="0"/>
            </c:dLbl>
            <c:dLbl>
              <c:idx val="10"/>
              <c:layout>
                <c:manualLayout>
                  <c:x val="-2.7203897751002244E-2"/>
                  <c:y val="3.212310646799043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'[Котловые 2015-2025.xlsx]Графики перекр'!$C$34:$M$34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'[Котловые 2015-2025.xlsx]Графики перекр'!$C$37:$M$37</c:f>
              <c:numCache>
                <c:formatCode>0.000</c:formatCode>
                <c:ptCount val="11"/>
                <c:pt idx="0">
                  <c:v>0.2093387001295533</c:v>
                </c:pt>
                <c:pt idx="1">
                  <c:v>0.30183683223575164</c:v>
                </c:pt>
                <c:pt idx="2">
                  <c:v>0.33790770737003811</c:v>
                </c:pt>
                <c:pt idx="3">
                  <c:v>0.37575205528670041</c:v>
                </c:pt>
                <c:pt idx="4">
                  <c:v>0.37180992618344272</c:v>
                </c:pt>
                <c:pt idx="5">
                  <c:v>0.39517806018364898</c:v>
                </c:pt>
                <c:pt idx="6">
                  <c:v>0.40772923667408195</c:v>
                </c:pt>
                <c:pt idx="7">
                  <c:v>0.3879911114728582</c:v>
                </c:pt>
                <c:pt idx="8">
                  <c:v>0.47950494720625764</c:v>
                </c:pt>
                <c:pt idx="9">
                  <c:v>0.50161337803781147</c:v>
                </c:pt>
                <c:pt idx="10">
                  <c:v>0.57018987270043597</c:v>
                </c:pt>
              </c:numCache>
            </c:numRef>
          </c:val>
          <c:smooth val="0"/>
        </c:ser>
        <c:dLbls>
          <c:showLegendKey val="0"/>
          <c:showVal val="1"/>
          <c:showCatName val="0"/>
          <c:showSerName val="0"/>
          <c:showPercent val="0"/>
          <c:showBubbleSize val="0"/>
        </c:dLbls>
        <c:marker val="1"/>
        <c:smooth val="0"/>
        <c:axId val="186469376"/>
        <c:axId val="186348608"/>
      </c:lineChart>
      <c:catAx>
        <c:axId val="186469376"/>
        <c:scaling>
          <c:orientation val="minMax"/>
        </c:scaling>
        <c:delete val="0"/>
        <c:axPos val="b"/>
        <c:numFmt formatCode="General" sourceLinked="1"/>
        <c:majorTickMark val="none"/>
        <c:minorTickMark val="none"/>
        <c:tickLblPos val="nextTo"/>
        <c:crossAx val="186348608"/>
        <c:crosses val="autoZero"/>
        <c:auto val="1"/>
        <c:lblAlgn val="ctr"/>
        <c:lblOffset val="100"/>
        <c:noMultiLvlLbl val="0"/>
      </c:catAx>
      <c:valAx>
        <c:axId val="186348608"/>
        <c:scaling>
          <c:orientation val="minMax"/>
        </c:scaling>
        <c:delete val="0"/>
        <c:axPos val="l"/>
        <c:majorGridlines/>
        <c:numFmt formatCode="0.000" sourceLinked="1"/>
        <c:majorTickMark val="none"/>
        <c:minorTickMark val="none"/>
        <c:tickLblPos val="nextTo"/>
        <c:crossAx val="186469376"/>
        <c:crosses val="autoZero"/>
        <c:crossBetween val="between"/>
      </c:valAx>
    </c:plotArea>
    <c:legend>
      <c:legendPos val="r"/>
      <c:layout>
        <c:manualLayout>
          <c:xMode val="edge"/>
          <c:yMode val="edge"/>
          <c:x val="0.79484091416040048"/>
          <c:y val="0.33631012633986462"/>
          <c:w val="0.19327317821708601"/>
          <c:h val="0.33948230202286045"/>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txPr>
    <a:bodyPr/>
    <a:lstStyle/>
    <a:p>
      <a:pPr>
        <a:defRPr sz="1100"/>
      </a:pPr>
      <a:endParaRPr lang="ru-RU"/>
    </a:p>
  </c:txPr>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latin typeface="Times New Roman" panose="02020603050405020304" pitchFamily="18" charset="0"/>
                <a:cs typeface="Times New Roman" panose="02020603050405020304" pitchFamily="18" charset="0"/>
              </a:rPr>
              <a:t>Динамика изменения</a:t>
            </a:r>
            <a:r>
              <a:rPr lang="ru-RU" sz="1200" baseline="0">
                <a:latin typeface="Times New Roman" panose="02020603050405020304" pitchFamily="18" charset="0"/>
                <a:cs typeface="Times New Roman" panose="02020603050405020304" pitchFamily="18" charset="0"/>
              </a:rPr>
              <a:t> к</a:t>
            </a:r>
            <a:r>
              <a:rPr lang="ru-RU" sz="1200">
                <a:latin typeface="Times New Roman" panose="02020603050405020304" pitchFamily="18" charset="0"/>
                <a:cs typeface="Times New Roman" panose="02020603050405020304" pitchFamily="18" charset="0"/>
              </a:rPr>
              <a:t>оличества территориальных сетевых организаций, регулируемых департаментом по тарифам</a:t>
            </a:r>
            <a:r>
              <a:rPr lang="ru-RU" sz="1200" baseline="0">
                <a:latin typeface="Times New Roman" panose="02020603050405020304" pitchFamily="18" charset="0"/>
                <a:cs typeface="Times New Roman" panose="02020603050405020304" pitchFamily="18" charset="0"/>
              </a:rPr>
              <a:t> НСО</a:t>
            </a:r>
            <a:r>
              <a:rPr lang="ru-RU" sz="1200">
                <a:latin typeface="Times New Roman" panose="02020603050405020304" pitchFamily="18" charset="0"/>
                <a:cs typeface="Times New Roman" panose="02020603050405020304" pitchFamily="18" charset="0"/>
              </a:rPr>
              <a:t> в 2016</a:t>
            </a:r>
            <a:r>
              <a:rPr lang="ru-RU" sz="1200" baseline="0">
                <a:latin typeface="Times New Roman" panose="02020603050405020304" pitchFamily="18" charset="0"/>
                <a:cs typeface="Times New Roman" panose="02020603050405020304" pitchFamily="18" charset="0"/>
              </a:rPr>
              <a:t> - 2025  гг. (с учетом котлодержателя)</a:t>
            </a:r>
          </a:p>
        </c:rich>
      </c:tx>
      <c:overlay val="0"/>
    </c:title>
    <c:autoTitleDeleted val="0"/>
    <c:plotArea>
      <c:layout>
        <c:manualLayout>
          <c:layoutTarget val="inner"/>
          <c:xMode val="edge"/>
          <c:yMode val="edge"/>
          <c:x val="0.15774212870694068"/>
          <c:y val="0.2287153689122193"/>
          <c:w val="0.8001762124132823"/>
          <c:h val="0.55361923511064015"/>
        </c:manualLayout>
      </c:layout>
      <c:lineChart>
        <c:grouping val="standard"/>
        <c:varyColors val="0"/>
        <c:ser>
          <c:idx val="0"/>
          <c:order val="0"/>
          <c:dLbls>
            <c:dLbl>
              <c:idx val="0"/>
              <c:layout>
                <c:manualLayout>
                  <c:x val="-5.2777777777777778E-2"/>
                  <c:y val="6.0185185185185182E-2"/>
                </c:manualLayout>
              </c:layout>
              <c:showLegendKey val="0"/>
              <c:showVal val="1"/>
              <c:showCatName val="0"/>
              <c:showSerName val="0"/>
              <c:showPercent val="0"/>
              <c:showBubbleSize val="0"/>
            </c:dLbl>
            <c:dLbl>
              <c:idx val="1"/>
              <c:layout>
                <c:manualLayout>
                  <c:x val="-4.1666666666666664E-2"/>
                  <c:y val="7.407407407407407E-2"/>
                </c:manualLayout>
              </c:layout>
              <c:showLegendKey val="0"/>
              <c:showVal val="1"/>
              <c:showCatName val="0"/>
              <c:showSerName val="0"/>
              <c:showPercent val="0"/>
              <c:showBubbleSize val="0"/>
            </c:dLbl>
            <c:dLbl>
              <c:idx val="2"/>
              <c:layout>
                <c:manualLayout>
                  <c:x val="-4.1666666666666664E-2"/>
                  <c:y val="7.407407407407407E-2"/>
                </c:manualLayout>
              </c:layout>
              <c:showLegendKey val="0"/>
              <c:showVal val="1"/>
              <c:showCatName val="0"/>
              <c:showSerName val="0"/>
              <c:showPercent val="0"/>
              <c:showBubbleSize val="0"/>
            </c:dLbl>
            <c:dLbl>
              <c:idx val="3"/>
              <c:layout>
                <c:manualLayout>
                  <c:x val="-2.777777777777788E-2"/>
                  <c:y val="6.9444444444444448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'[Сетевые_сбор инфо_2025.xlsx]1. кол-во ТСО'!$D$44:$J$44</c:f>
              <c:numCache>
                <c:formatCode>General</c:formatCode>
                <c:ptCount val="7"/>
                <c:pt idx="0">
                  <c:v>2016</c:v>
                </c:pt>
                <c:pt idx="1">
                  <c:v>2018</c:v>
                </c:pt>
                <c:pt idx="2">
                  <c:v>2021</c:v>
                </c:pt>
                <c:pt idx="3">
                  <c:v>2022</c:v>
                </c:pt>
                <c:pt idx="4">
                  <c:v>2023</c:v>
                </c:pt>
                <c:pt idx="5">
                  <c:v>2024</c:v>
                </c:pt>
                <c:pt idx="6">
                  <c:v>2025</c:v>
                </c:pt>
              </c:numCache>
            </c:numRef>
          </c:cat>
          <c:val>
            <c:numRef>
              <c:f>'[Сетевые_сбор инфо_2025.xlsx]1. кол-во ТСО'!$D$45:$J$45</c:f>
              <c:numCache>
                <c:formatCode>General</c:formatCode>
                <c:ptCount val="7"/>
                <c:pt idx="0" formatCode="#,##0">
                  <c:v>33</c:v>
                </c:pt>
                <c:pt idx="1">
                  <c:v>34</c:v>
                </c:pt>
                <c:pt idx="2">
                  <c:v>36</c:v>
                </c:pt>
                <c:pt idx="3">
                  <c:v>35</c:v>
                </c:pt>
                <c:pt idx="4">
                  <c:v>27</c:v>
                </c:pt>
                <c:pt idx="5">
                  <c:v>20</c:v>
                </c:pt>
                <c:pt idx="6">
                  <c:v>8</c:v>
                </c:pt>
              </c:numCache>
            </c:numRef>
          </c:val>
          <c:smooth val="0"/>
        </c:ser>
        <c:dLbls>
          <c:showLegendKey val="0"/>
          <c:showVal val="0"/>
          <c:showCatName val="0"/>
          <c:showSerName val="0"/>
          <c:showPercent val="0"/>
          <c:showBubbleSize val="0"/>
        </c:dLbls>
        <c:marker val="1"/>
        <c:smooth val="0"/>
        <c:axId val="215396352"/>
        <c:axId val="216604672"/>
      </c:lineChart>
      <c:catAx>
        <c:axId val="215396352"/>
        <c:scaling>
          <c:orientation val="minMax"/>
        </c:scaling>
        <c:delete val="0"/>
        <c:axPos val="b"/>
        <c:numFmt formatCode="General" sourceLinked="1"/>
        <c:majorTickMark val="out"/>
        <c:minorTickMark val="none"/>
        <c:tickLblPos val="nextTo"/>
        <c:crossAx val="216604672"/>
        <c:crosses val="autoZero"/>
        <c:auto val="1"/>
        <c:lblAlgn val="ctr"/>
        <c:lblOffset val="100"/>
        <c:noMultiLvlLbl val="0"/>
      </c:catAx>
      <c:valAx>
        <c:axId val="216604672"/>
        <c:scaling>
          <c:orientation val="minMax"/>
        </c:scaling>
        <c:delete val="0"/>
        <c:axPos val="l"/>
        <c:majorGridlines/>
        <c:numFmt formatCode="#,##0" sourceLinked="1"/>
        <c:majorTickMark val="out"/>
        <c:minorTickMark val="none"/>
        <c:tickLblPos val="nextTo"/>
        <c:crossAx val="215396352"/>
        <c:crosses val="autoZero"/>
        <c:crossBetween val="between"/>
        <c:majorUnit val="10"/>
        <c:minorUnit val="1"/>
      </c:valAx>
    </c:plotArea>
    <c:plotVisOnly val="1"/>
    <c:dispBlanksAs val="gap"/>
    <c:showDLblsOverMax val="0"/>
  </c:chart>
  <c:spPr>
    <a:ln>
      <a:noFill/>
    </a:ln>
  </c:spPr>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Динамика НВВ смежных сетевых организаций без учета оплаты потерь, учтенная при утверждении (расчете) единых (котловых) тарифов на услуги по передаче электрической энергии в Новосибирской области  в 2016 - 2025 гг.</a:t>
            </a:r>
          </a:p>
        </c:rich>
      </c:tx>
      <c:layout>
        <c:manualLayout>
          <c:xMode val="edge"/>
          <c:yMode val="edge"/>
          <c:x val="0.17481223256912509"/>
          <c:y val="2.2604906539630369E-2"/>
        </c:manualLayout>
      </c:layout>
      <c:overlay val="0"/>
    </c:title>
    <c:autoTitleDeleted val="0"/>
    <c:plotArea>
      <c:layout>
        <c:manualLayout>
          <c:layoutTarget val="inner"/>
          <c:xMode val="edge"/>
          <c:yMode val="edge"/>
          <c:x val="0.25403997447540982"/>
          <c:y val="0.31324457848581178"/>
          <c:w val="0.54004806512985259"/>
          <c:h val="0.48780319677057721"/>
        </c:manualLayout>
      </c:layout>
      <c:lineChart>
        <c:grouping val="standard"/>
        <c:varyColors val="0"/>
        <c:ser>
          <c:idx val="0"/>
          <c:order val="0"/>
          <c:tx>
            <c:strRef>
              <c:f>'[Сетевые_сбор инфо_2025.xlsx]2. Динамика НВВ ТСО и ГП'!$B$73</c:f>
              <c:strCache>
                <c:ptCount val="1"/>
                <c:pt idx="0">
                  <c:v>НВВ смежных сетевых организаций без учета оплаты потерь, учтенная при утверждении (расчете) единых (котловых) тарифов на услуги по передаче электрической энергии в Новосибирской области </c:v>
                </c:pt>
              </c:strCache>
            </c:strRef>
          </c:tx>
          <c:dLbls>
            <c:dLbl>
              <c:idx val="0"/>
              <c:layout>
                <c:manualLayout>
                  <c:x val="-4.9357310492946421E-2"/>
                  <c:y val="4.1368337311058073E-2"/>
                </c:manualLayout>
              </c:layout>
              <c:showLegendKey val="0"/>
              <c:showVal val="1"/>
              <c:showCatName val="0"/>
              <c:showSerName val="0"/>
              <c:showPercent val="0"/>
              <c:showBubbleSize val="0"/>
            </c:dLbl>
            <c:dLbl>
              <c:idx val="1"/>
              <c:layout>
                <c:manualLayout>
                  <c:x val="-7.4035965739419715E-2"/>
                  <c:y val="-4.1368337311058073E-2"/>
                </c:manualLayout>
              </c:layout>
              <c:showLegendKey val="0"/>
              <c:showVal val="1"/>
              <c:showCatName val="0"/>
              <c:showSerName val="0"/>
              <c:showPercent val="0"/>
              <c:showBubbleSize val="0"/>
            </c:dLbl>
            <c:dLbl>
              <c:idx val="2"/>
              <c:layout>
                <c:manualLayout>
                  <c:x val="-2.2622100642600444E-2"/>
                  <c:y val="5.0914876690532955E-2"/>
                </c:manualLayout>
              </c:layout>
              <c:showLegendKey val="0"/>
              <c:showVal val="1"/>
              <c:showCatName val="0"/>
              <c:showSerName val="0"/>
              <c:showPercent val="0"/>
              <c:showBubbleSize val="0"/>
            </c:dLbl>
            <c:dLbl>
              <c:idx val="3"/>
              <c:layout>
                <c:manualLayout>
                  <c:x val="-4.9357310492946345E-2"/>
                  <c:y val="-3.8186157517899763E-2"/>
                </c:manualLayout>
              </c:layout>
              <c:showLegendKey val="0"/>
              <c:showVal val="1"/>
              <c:showCatName val="0"/>
              <c:showSerName val="0"/>
              <c:showPercent val="0"/>
              <c:showBubbleSize val="0"/>
            </c:dLbl>
            <c:dLbl>
              <c:idx val="4"/>
              <c:layout>
                <c:manualLayout>
                  <c:x val="-8.2262184154910708E-3"/>
                  <c:y val="1.5910648400453524E-2"/>
                </c:manualLayout>
              </c:layout>
              <c:showLegendKey val="0"/>
              <c:showVal val="1"/>
              <c:showCatName val="0"/>
              <c:showSerName val="0"/>
              <c:showPercent val="0"/>
              <c:showBubbleSize val="0"/>
            </c:dLbl>
            <c:dLbl>
              <c:idx val="5"/>
              <c:layout>
                <c:manualLayout>
                  <c:x val="-8.8431847966529087E-2"/>
                  <c:y val="-2.8639618138424822E-2"/>
                </c:manualLayout>
              </c:layout>
              <c:showLegendKey val="0"/>
              <c:showVal val="1"/>
              <c:showCatName val="0"/>
              <c:showSerName val="0"/>
              <c:showPercent val="0"/>
              <c:showBubbleSize val="0"/>
            </c:dLbl>
            <c:dLbl>
              <c:idx val="7"/>
              <c:tx>
                <c:rich>
                  <a:bodyPr/>
                  <a:lstStyle/>
                  <a:p>
                    <a:r>
                      <a:rPr lang="en-US"/>
                      <a:t>1 380 64</a:t>
                    </a:r>
                    <a:r>
                      <a:rPr lang="ru-RU"/>
                      <a:t>7</a:t>
                    </a:r>
                    <a:endParaRPr lang="en-US"/>
                  </a:p>
                </c:rich>
              </c:tx>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'[Сетевые_сбор инфо_2025.xlsx]2. Динамика НВВ ТСО и ГП'!$C$72:$J$72</c:f>
              <c:numCache>
                <c:formatCode>General</c:formatCode>
                <c:ptCount val="8"/>
                <c:pt idx="0">
                  <c:v>2016</c:v>
                </c:pt>
                <c:pt idx="1">
                  <c:v>2018</c:v>
                </c:pt>
                <c:pt idx="2">
                  <c:v>2019</c:v>
                </c:pt>
                <c:pt idx="3">
                  <c:v>2021</c:v>
                </c:pt>
                <c:pt idx="4">
                  <c:v>2022</c:v>
                </c:pt>
                <c:pt idx="5">
                  <c:v>2023</c:v>
                </c:pt>
                <c:pt idx="6">
                  <c:v>2024</c:v>
                </c:pt>
                <c:pt idx="7">
                  <c:v>2025</c:v>
                </c:pt>
              </c:numCache>
            </c:numRef>
          </c:cat>
          <c:val>
            <c:numRef>
              <c:f>'[Сетевые_сбор инфо_2025.xlsx]2. Динамика НВВ ТСО и ГП'!$C$73:$J$73</c:f>
              <c:numCache>
                <c:formatCode>#,##0</c:formatCode>
                <c:ptCount val="8"/>
                <c:pt idx="0">
                  <c:v>650785.4</c:v>
                </c:pt>
                <c:pt idx="1">
                  <c:v>778790.7999999997</c:v>
                </c:pt>
                <c:pt idx="2">
                  <c:v>1160992</c:v>
                </c:pt>
                <c:pt idx="3">
                  <c:v>1340950.8999999999</c:v>
                </c:pt>
                <c:pt idx="4">
                  <c:v>1336593.7</c:v>
                </c:pt>
                <c:pt idx="5">
                  <c:v>1572606.7737016589</c:v>
                </c:pt>
                <c:pt idx="6">
                  <c:v>1755740.93</c:v>
                </c:pt>
                <c:pt idx="7" formatCode="#,##0.0">
                  <c:v>1380646.75</c:v>
                </c:pt>
              </c:numCache>
            </c:numRef>
          </c:val>
          <c:smooth val="0"/>
        </c:ser>
        <c:dLbls>
          <c:showLegendKey val="0"/>
          <c:showVal val="0"/>
          <c:showCatName val="0"/>
          <c:showSerName val="0"/>
          <c:showPercent val="0"/>
          <c:showBubbleSize val="0"/>
        </c:dLbls>
        <c:marker val="1"/>
        <c:smooth val="0"/>
        <c:axId val="215832064"/>
        <c:axId val="151784256"/>
      </c:lineChart>
      <c:catAx>
        <c:axId val="215832064"/>
        <c:scaling>
          <c:orientation val="minMax"/>
        </c:scaling>
        <c:delete val="0"/>
        <c:axPos val="b"/>
        <c:numFmt formatCode="General" sourceLinked="1"/>
        <c:majorTickMark val="out"/>
        <c:minorTickMark val="none"/>
        <c:tickLblPos val="nextTo"/>
        <c:txPr>
          <a:bodyPr/>
          <a:lstStyle/>
          <a:p>
            <a:pPr>
              <a:defRPr sz="1050"/>
            </a:pPr>
            <a:endParaRPr lang="ru-RU"/>
          </a:p>
        </c:txPr>
        <c:crossAx val="151784256"/>
        <c:crossesAt val="0"/>
        <c:auto val="1"/>
        <c:lblAlgn val="ctr"/>
        <c:lblOffset val="100"/>
        <c:noMultiLvlLbl val="0"/>
      </c:catAx>
      <c:valAx>
        <c:axId val="151784256"/>
        <c:scaling>
          <c:orientation val="minMax"/>
          <c:max val="2000000"/>
          <c:min val="0"/>
        </c:scaling>
        <c:delete val="0"/>
        <c:axPos val="l"/>
        <c:majorGridlines/>
        <c:numFmt formatCode="#,##0" sourceLinked="1"/>
        <c:majorTickMark val="out"/>
        <c:minorTickMark val="none"/>
        <c:tickLblPos val="nextTo"/>
        <c:txPr>
          <a:bodyPr/>
          <a:lstStyle/>
          <a:p>
            <a:pPr>
              <a:defRPr sz="1050"/>
            </a:pPr>
            <a:endParaRPr lang="ru-RU"/>
          </a:p>
        </c:txPr>
        <c:crossAx val="215832064"/>
        <c:crosses val="autoZero"/>
        <c:crossBetween val="between"/>
        <c:majorUnit val="400000"/>
      </c:valAx>
    </c:plotArea>
    <c:plotVisOnly val="1"/>
    <c:dispBlanksAs val="gap"/>
    <c:showDLblsOverMax val="0"/>
  </c:chart>
  <c:spPr>
    <a:ln>
      <a:noFill/>
    </a:ln>
  </c:spPr>
  <c:txPr>
    <a:bodyPr/>
    <a:lstStyle/>
    <a:p>
      <a:pPr>
        <a:defRPr baseline="0"/>
      </a:pPr>
      <a:endParaRPr lang="ru-RU"/>
    </a:p>
  </c:txPr>
  <c:externalData r:id="rId2">
    <c:autoUpdate val="0"/>
  </c:externalData>
  <c:userShapes r:id="rId3"/>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000856931838772E-2"/>
          <c:y val="0.26995348377055289"/>
          <c:w val="0.37993549122945824"/>
          <c:h val="0.65322990111988755"/>
        </c:manualLayout>
      </c:layout>
      <c:pieChart>
        <c:varyColors val="1"/>
        <c:ser>
          <c:idx val="0"/>
          <c:order val="0"/>
          <c:tx>
            <c:strRef>
              <c:f>'[Сетевые_сбор инфо_2024.xlsx]Структура НВВ'!$H$7</c:f>
              <c:strCache>
                <c:ptCount val="1"/>
                <c:pt idx="0">
                  <c:v>2024 год</c:v>
                </c:pt>
              </c:strCache>
            </c:strRef>
          </c:tx>
          <c:explosion val="19"/>
          <c:dLbls>
            <c:dLbl>
              <c:idx val="0"/>
              <c:layout>
                <c:manualLayout>
                  <c:x val="-0.13050272269781032"/>
                  <c:y val="5.5523654055438194E-2"/>
                </c:manualLayout>
              </c:layout>
              <c:showLegendKey val="0"/>
              <c:showVal val="1"/>
              <c:showCatName val="0"/>
              <c:showSerName val="0"/>
              <c:showPercent val="0"/>
              <c:showBubbleSize val="0"/>
            </c:dLbl>
            <c:dLbl>
              <c:idx val="1"/>
              <c:layout>
                <c:manualLayout>
                  <c:x val="0.15211783430869924"/>
                  <c:y val="-7.1691312976121885E-2"/>
                </c:manualLayout>
              </c:layout>
              <c:showLegendKey val="0"/>
              <c:showVal val="1"/>
              <c:showCatName val="0"/>
              <c:showSerName val="0"/>
              <c:showPercent val="0"/>
              <c:showBubbleSize val="0"/>
            </c:dLbl>
            <c:dLbl>
              <c:idx val="2"/>
              <c:layout>
                <c:manualLayout>
                  <c:x val="-8.0145960732208879E-2"/>
                  <c:y val="3.0821970424428653E-2"/>
                </c:manualLayout>
              </c:layout>
              <c:showLegendKey val="0"/>
              <c:showVal val="1"/>
              <c:showCatName val="0"/>
              <c:showSerName val="0"/>
              <c:showPercent val="0"/>
              <c:showBubbleSize val="0"/>
            </c:dLbl>
            <c:txPr>
              <a:bodyPr/>
              <a:lstStyle/>
              <a:p>
                <a:pPr>
                  <a:defRPr sz="1400" b="1"/>
                </a:pPr>
                <a:endParaRPr lang="ru-RU"/>
              </a:p>
            </c:txPr>
            <c:showLegendKey val="0"/>
            <c:showVal val="1"/>
            <c:showCatName val="0"/>
            <c:showSerName val="0"/>
            <c:showPercent val="0"/>
            <c:showBubbleSize val="0"/>
            <c:showLeaderLines val="1"/>
          </c:dLbls>
          <c:cat>
            <c:strRef>
              <c:f>'[Сетевые_сбор инфо_2024.xlsx]Структура НВВ'!$I$4:$K$4</c:f>
              <c:strCache>
                <c:ptCount val="3"/>
                <c:pt idx="0">
                  <c:v>Подконтрольные расходы</c:v>
                </c:pt>
                <c:pt idx="1">
                  <c:v>Неподконтрольные расходы</c:v>
                </c:pt>
                <c:pt idx="2">
                  <c:v>Возмещения (+)/изъятия (-) по результатам деятельности за предшествующий отчетный период</c:v>
                </c:pt>
              </c:strCache>
            </c:strRef>
          </c:cat>
          <c:val>
            <c:numRef>
              <c:f>'[Сетевые_сбор инфо_2024.xlsx]Структура НВВ'!$I$7:$K$7</c:f>
              <c:numCache>
                <c:formatCode>0.0%</c:formatCode>
                <c:ptCount val="3"/>
                <c:pt idx="0">
                  <c:v>0.3811933591121025</c:v>
                </c:pt>
                <c:pt idx="1">
                  <c:v>0.60732631351423261</c:v>
                </c:pt>
                <c:pt idx="2">
                  <c:v>1.1480284327037654E-2</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5226158374038858"/>
          <c:y val="0.35582101017860573"/>
          <c:w val="0.43107180095638731"/>
          <c:h val="0.52335509890531973"/>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87020997375328"/>
          <c:y val="0.25462962962962965"/>
          <c:w val="0.38693609833424286"/>
          <c:h val="0.62830438487163254"/>
        </c:manualLayout>
      </c:layout>
      <c:pieChart>
        <c:varyColors val="1"/>
        <c:ser>
          <c:idx val="0"/>
          <c:order val="0"/>
          <c:tx>
            <c:strRef>
              <c:f>'[Сетевые_сбор инфо_2025.xlsx]Структура НВВ'!$I$8</c:f>
              <c:strCache>
                <c:ptCount val="1"/>
                <c:pt idx="0">
                  <c:v>2025 год</c:v>
                </c:pt>
              </c:strCache>
            </c:strRef>
          </c:tx>
          <c:explosion val="12"/>
          <c:dPt>
            <c:idx val="1"/>
            <c:bubble3D val="0"/>
            <c:explosion val="24"/>
          </c:dPt>
          <c:dLbls>
            <c:dLbl>
              <c:idx val="2"/>
              <c:layout>
                <c:manualLayout>
                  <c:x val="-5.0477690288713913E-2"/>
                  <c:y val="1.119313210848644E-2"/>
                </c:manualLayout>
              </c:layout>
              <c:showLegendKey val="0"/>
              <c:showVal val="1"/>
              <c:showCatName val="0"/>
              <c:showSerName val="0"/>
              <c:showPercent val="0"/>
              <c:showBubbleSize val="0"/>
            </c:dLbl>
            <c:txPr>
              <a:bodyPr/>
              <a:lstStyle/>
              <a:p>
                <a:pPr>
                  <a:defRPr sz="1400" b="1"/>
                </a:pPr>
                <a:endParaRPr lang="ru-RU"/>
              </a:p>
            </c:txPr>
            <c:showLegendKey val="0"/>
            <c:showVal val="1"/>
            <c:showCatName val="0"/>
            <c:showSerName val="0"/>
            <c:showPercent val="0"/>
            <c:showBubbleSize val="0"/>
            <c:showLeaderLines val="1"/>
          </c:dLbls>
          <c:cat>
            <c:strRef>
              <c:f>'[Сетевые_сбор инфо_2025.xlsx]Структура НВВ'!$J$4:$L$4</c:f>
              <c:strCache>
                <c:ptCount val="3"/>
                <c:pt idx="0">
                  <c:v>Подконтрольные расходы</c:v>
                </c:pt>
                <c:pt idx="1">
                  <c:v>Неподконтрольные расходы</c:v>
                </c:pt>
                <c:pt idx="2">
                  <c:v>Возмещения (+)/изъятия (-) по результатам деятельности за предшествующий отчетный период</c:v>
                </c:pt>
              </c:strCache>
            </c:strRef>
          </c:cat>
          <c:val>
            <c:numRef>
              <c:f>'[Сетевые_сбор инфо_2025.xlsx]Структура НВВ'!$J$8:$L$8</c:f>
              <c:numCache>
                <c:formatCode>0.0%</c:formatCode>
                <c:ptCount val="3"/>
                <c:pt idx="0">
                  <c:v>0.4920615184785414</c:v>
                </c:pt>
                <c:pt idx="1">
                  <c:v>0.47076096066952788</c:v>
                </c:pt>
                <c:pt idx="2">
                  <c:v>3.7177520851930553E-2</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6095975503062112"/>
          <c:y val="0.23779235928842227"/>
          <c:w val="0.41959580052493434"/>
          <c:h val="0.70022564887722361"/>
        </c:manualLayout>
      </c:layout>
      <c:overlay val="0"/>
      <c:txPr>
        <a:bodyPr/>
        <a:lstStyle/>
        <a:p>
          <a:pPr rtl="0">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latin typeface="Times New Roman" panose="02020603050405020304" pitchFamily="18" charset="0"/>
                <a:cs typeface="Times New Roman" panose="02020603050405020304" pitchFamily="18" charset="0"/>
              </a:rPr>
              <a:t>Объем условных единиц оборудования по ТСО </a:t>
            </a:r>
          </a:p>
          <a:p>
            <a:pPr>
              <a:defRPr sz="1200"/>
            </a:pPr>
            <a:r>
              <a:rPr lang="ru-RU" sz="1200">
                <a:latin typeface="Times New Roman" panose="02020603050405020304" pitchFamily="18" charset="0"/>
                <a:cs typeface="Times New Roman" panose="02020603050405020304" pitchFamily="18" charset="0"/>
              </a:rPr>
              <a:t>(без</a:t>
            </a:r>
            <a:r>
              <a:rPr lang="ru-RU" sz="1200" baseline="0">
                <a:latin typeface="Times New Roman" panose="02020603050405020304" pitchFamily="18" charset="0"/>
                <a:cs typeface="Times New Roman" panose="02020603050405020304" pitchFamily="18" charset="0"/>
              </a:rPr>
              <a:t> учета котлодержателя)</a:t>
            </a:r>
            <a:endParaRPr lang="ru-RU" sz="1200">
              <a:latin typeface="Times New Roman" panose="02020603050405020304" pitchFamily="18" charset="0"/>
              <a:cs typeface="Times New Roman" panose="02020603050405020304" pitchFamily="18" charset="0"/>
            </a:endParaRPr>
          </a:p>
        </c:rich>
      </c:tx>
      <c:layout>
        <c:manualLayout>
          <c:xMode val="edge"/>
          <c:yMode val="edge"/>
          <c:x val="0.16882191630583843"/>
          <c:y val="2.4427998777469397E-2"/>
        </c:manualLayout>
      </c:layout>
      <c:overlay val="0"/>
    </c:title>
    <c:autoTitleDeleted val="0"/>
    <c:plotArea>
      <c:layout>
        <c:manualLayout>
          <c:layoutTarget val="inner"/>
          <c:xMode val="edge"/>
          <c:yMode val="edge"/>
          <c:x val="0.19903090685092933"/>
          <c:y val="0.25168725468949404"/>
          <c:w val="0.66003937007874003"/>
          <c:h val="0.53192512394284053"/>
        </c:manualLayout>
      </c:layout>
      <c:lineChart>
        <c:grouping val="standard"/>
        <c:varyColors val="0"/>
        <c:ser>
          <c:idx val="0"/>
          <c:order val="0"/>
          <c:tx>
            <c:strRef>
              <c:f>'[Сетевые_сбор инфо_2025.xlsx]3. УЕ и Объем ПО'!$A$16</c:f>
              <c:strCache>
                <c:ptCount val="1"/>
                <c:pt idx="0">
                  <c:v>Объем условных единиц оборудования</c:v>
                </c:pt>
              </c:strCache>
            </c:strRef>
          </c:tx>
          <c:dLbls>
            <c:dLbl>
              <c:idx val="0"/>
              <c:layout>
                <c:manualLayout>
                  <c:x val="-4.0816326530612242E-2"/>
                  <c:y val="5.7084607543323063E-2"/>
                </c:manualLayout>
              </c:layout>
              <c:showLegendKey val="0"/>
              <c:showVal val="1"/>
              <c:showCatName val="0"/>
              <c:showSerName val="0"/>
              <c:showPercent val="0"/>
              <c:showBubbleSize val="0"/>
            </c:dLbl>
            <c:dLbl>
              <c:idx val="1"/>
              <c:layout>
                <c:manualLayout>
                  <c:x val="-0.10612244897959189"/>
                  <c:y val="-4.8929663608562768E-2"/>
                </c:manualLayout>
              </c:layout>
              <c:showLegendKey val="0"/>
              <c:showVal val="1"/>
              <c:showCatName val="0"/>
              <c:showSerName val="0"/>
              <c:showPercent val="0"/>
              <c:showBubbleSize val="0"/>
            </c:dLbl>
            <c:dLbl>
              <c:idx val="2"/>
              <c:layout>
                <c:manualLayout>
                  <c:x val="-3.8095238095238147E-2"/>
                  <c:y val="6.1162079510703439E-2"/>
                </c:manualLayout>
              </c:layout>
              <c:showLegendKey val="0"/>
              <c:showVal val="1"/>
              <c:showCatName val="0"/>
              <c:showSerName val="0"/>
              <c:showPercent val="0"/>
              <c:showBubbleSize val="0"/>
            </c:dLbl>
            <c:dLbl>
              <c:idx val="3"/>
              <c:layout>
                <c:manualLayout>
                  <c:x val="-6.5306122448979639E-2"/>
                  <c:y val="-4.4852191641182468E-2"/>
                </c:manualLayout>
              </c:layout>
              <c:showLegendKey val="0"/>
              <c:showVal val="1"/>
              <c:showCatName val="0"/>
              <c:showSerName val="0"/>
              <c:showPercent val="0"/>
              <c:showBubbleSize val="0"/>
            </c:dLbl>
            <c:dLbl>
              <c:idx val="4"/>
              <c:layout>
                <c:manualLayout>
                  <c:x val="-1.9047619047619146E-2"/>
                  <c:y val="5.3007135575942915E-2"/>
                </c:manualLayout>
              </c:layout>
              <c:showLegendKey val="0"/>
              <c:showVal val="1"/>
              <c:showCatName val="0"/>
              <c:showSerName val="0"/>
              <c:showPercent val="0"/>
              <c:showBubbleSize val="0"/>
            </c:dLbl>
            <c:dLbl>
              <c:idx val="5"/>
              <c:layout>
                <c:manualLayout>
                  <c:x val="-0.11428571428571428"/>
                  <c:y val="-4.4852191641182468E-2"/>
                </c:manualLayout>
              </c:layout>
              <c:showLegendKey val="0"/>
              <c:showVal val="1"/>
              <c:showCatName val="0"/>
              <c:showSerName val="0"/>
              <c:showPercent val="0"/>
              <c:showBubbleSize val="0"/>
            </c:dLbl>
            <c:dLbl>
              <c:idx val="6"/>
              <c:layout>
                <c:manualLayout>
                  <c:x val="-6.5306122448979598E-2"/>
                  <c:y val="-4.8929663608562692E-2"/>
                </c:manualLayout>
              </c:layout>
              <c:showLegendKey val="0"/>
              <c:showVal val="1"/>
              <c:showCatName val="0"/>
              <c:showSerName val="0"/>
              <c:showPercent val="0"/>
              <c:showBubbleSize val="0"/>
            </c:dLbl>
            <c:dLbl>
              <c:idx val="7"/>
              <c:layout>
                <c:manualLayout>
                  <c:x val="-1.6326530612244899E-2"/>
                  <c:y val="-4.8929663608562768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'[Сетевые_сбор инфо_2025.xlsx]3. УЕ и Объем ПО'!$B$15:$K$15</c:f>
              <c:numCache>
                <c:formatCode>General</c:formatCode>
                <c:ptCount val="10"/>
                <c:pt idx="0">
                  <c:v>2016</c:v>
                </c:pt>
                <c:pt idx="1">
                  <c:v>2017</c:v>
                </c:pt>
                <c:pt idx="2">
                  <c:v>2018</c:v>
                </c:pt>
                <c:pt idx="3">
                  <c:v>2019</c:v>
                </c:pt>
                <c:pt idx="4">
                  <c:v>2020</c:v>
                </c:pt>
                <c:pt idx="5">
                  <c:v>2021</c:v>
                </c:pt>
                <c:pt idx="6">
                  <c:v>2022</c:v>
                </c:pt>
                <c:pt idx="7">
                  <c:v>2023</c:v>
                </c:pt>
                <c:pt idx="8">
                  <c:v>2024</c:v>
                </c:pt>
                <c:pt idx="9">
                  <c:v>2025</c:v>
                </c:pt>
              </c:numCache>
            </c:numRef>
          </c:cat>
          <c:val>
            <c:numRef>
              <c:f>'[Сетевые_сбор инфо_2025.xlsx]3. УЕ и Объем ПО'!$B$16:$K$16</c:f>
              <c:numCache>
                <c:formatCode>#,##0</c:formatCode>
                <c:ptCount val="10"/>
                <c:pt idx="0">
                  <c:v>54831.883350000076</c:v>
                </c:pt>
                <c:pt idx="1">
                  <c:v>56938.293249999959</c:v>
                </c:pt>
                <c:pt idx="2">
                  <c:v>57650.365805589652</c:v>
                </c:pt>
                <c:pt idx="3">
                  <c:v>58017.282709501917</c:v>
                </c:pt>
                <c:pt idx="4">
                  <c:v>58089.133697059529</c:v>
                </c:pt>
                <c:pt idx="5">
                  <c:v>59914.640149390791</c:v>
                </c:pt>
                <c:pt idx="6">
                  <c:v>61983.70965959059</c:v>
                </c:pt>
                <c:pt idx="7">
                  <c:v>60340.280674999929</c:v>
                </c:pt>
                <c:pt idx="8">
                  <c:v>59374.896038997002</c:v>
                </c:pt>
                <c:pt idx="9">
                  <c:v>56008.306519000005</c:v>
                </c:pt>
              </c:numCache>
            </c:numRef>
          </c:val>
          <c:smooth val="0"/>
        </c:ser>
        <c:dLbls>
          <c:showLegendKey val="0"/>
          <c:showVal val="0"/>
          <c:showCatName val="0"/>
          <c:showSerName val="0"/>
          <c:showPercent val="0"/>
          <c:showBubbleSize val="0"/>
        </c:dLbls>
        <c:marker val="1"/>
        <c:smooth val="0"/>
        <c:axId val="216911872"/>
        <c:axId val="216608128"/>
      </c:lineChart>
      <c:catAx>
        <c:axId val="216911872"/>
        <c:scaling>
          <c:orientation val="minMax"/>
        </c:scaling>
        <c:delete val="0"/>
        <c:axPos val="b"/>
        <c:numFmt formatCode="General" sourceLinked="1"/>
        <c:majorTickMark val="out"/>
        <c:minorTickMark val="none"/>
        <c:tickLblPos val="nextTo"/>
        <c:crossAx val="216608128"/>
        <c:crosses val="autoZero"/>
        <c:auto val="1"/>
        <c:lblAlgn val="ctr"/>
        <c:lblOffset val="100"/>
        <c:noMultiLvlLbl val="0"/>
      </c:catAx>
      <c:valAx>
        <c:axId val="216608128"/>
        <c:scaling>
          <c:orientation val="minMax"/>
        </c:scaling>
        <c:delete val="0"/>
        <c:axPos val="l"/>
        <c:majorGridlines/>
        <c:numFmt formatCode="#,##0" sourceLinked="1"/>
        <c:majorTickMark val="out"/>
        <c:minorTickMark val="none"/>
        <c:tickLblPos val="nextTo"/>
        <c:crossAx val="216911872"/>
        <c:crosses val="autoZero"/>
        <c:crossBetween val="between"/>
      </c:valAx>
    </c:plotArea>
    <c:plotVisOnly val="1"/>
    <c:dispBlanksAs val="gap"/>
    <c:showDLblsOverMax val="0"/>
  </c:chart>
  <c:spPr>
    <a:ln>
      <a:noFill/>
    </a:ln>
  </c:spPr>
  <c:externalData r:id="rId2">
    <c:autoUpdate val="0"/>
  </c:externalData>
  <c:userShapes r:id="rId3"/>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latin typeface="Times New Roman" panose="02020603050405020304" pitchFamily="18" charset="0"/>
                <a:cs typeface="Times New Roman" panose="02020603050405020304" pitchFamily="18" charset="0"/>
              </a:rPr>
              <a:t>Динамика расходов на содержание объектов электросетвого хозяйства на 1 у.е. по смежным ТСО </a:t>
            </a:r>
          </a:p>
          <a:p>
            <a:pPr>
              <a:defRPr sz="1200"/>
            </a:pPr>
            <a:r>
              <a:rPr lang="ru-RU" sz="1200">
                <a:latin typeface="Times New Roman" panose="02020603050405020304" pitchFamily="18" charset="0"/>
                <a:cs typeface="Times New Roman" panose="02020603050405020304" pitchFamily="18" charset="0"/>
              </a:rPr>
              <a:t>в 2016 - 2025 гг.</a:t>
            </a:r>
          </a:p>
        </c:rich>
      </c:tx>
      <c:layout>
        <c:manualLayout>
          <c:xMode val="edge"/>
          <c:yMode val="edge"/>
          <c:x val="0.19251618490247158"/>
          <c:y val="0"/>
        </c:manualLayout>
      </c:layout>
      <c:overlay val="0"/>
    </c:title>
    <c:autoTitleDeleted val="0"/>
    <c:plotArea>
      <c:layout>
        <c:manualLayout>
          <c:layoutTarget val="inner"/>
          <c:xMode val="edge"/>
          <c:yMode val="edge"/>
          <c:x val="0.17451247384625582"/>
          <c:y val="0.24553081328927676"/>
          <c:w val="0.72536215680950622"/>
          <c:h val="0.57501394397024264"/>
        </c:manualLayout>
      </c:layout>
      <c:lineChart>
        <c:grouping val="standard"/>
        <c:varyColors val="0"/>
        <c:ser>
          <c:idx val="0"/>
          <c:order val="0"/>
          <c:tx>
            <c:strRef>
              <c:f>'[Сетевые_сбор инфо_2025.xlsx]3. УЕ и Объем ПО'!$A$48</c:f>
              <c:strCache>
                <c:ptCount val="1"/>
                <c:pt idx="0">
                  <c:v>Динамика расходов на содержание объектов электросетвого хозяйства на 1 у.е. по смежным ТСО в 2016 - 2025 гг.</c:v>
                </c:pt>
              </c:strCache>
            </c:strRef>
          </c:tx>
          <c:dLbls>
            <c:dLbl>
              <c:idx val="0"/>
              <c:layout>
                <c:manualLayout>
                  <c:x val="-3.8535645472061682E-2"/>
                  <c:y val="-5.0314465408805034E-2"/>
                </c:manualLayout>
              </c:layout>
              <c:showLegendKey val="0"/>
              <c:showVal val="1"/>
              <c:showCatName val="0"/>
              <c:showSerName val="0"/>
              <c:showPercent val="0"/>
              <c:showBubbleSize val="0"/>
            </c:dLbl>
            <c:dLbl>
              <c:idx val="2"/>
              <c:layout>
                <c:manualLayout>
                  <c:x val="-4.3673731535003209E-2"/>
                  <c:y val="-5.0314465408805097E-2"/>
                </c:manualLayout>
              </c:layout>
              <c:showLegendKey val="0"/>
              <c:showVal val="1"/>
              <c:showCatName val="0"/>
              <c:showSerName val="0"/>
              <c:showPercent val="0"/>
              <c:showBubbleSize val="0"/>
            </c:dLbl>
            <c:dLbl>
              <c:idx val="3"/>
              <c:layout>
                <c:manualLayout>
                  <c:x val="-1.7983301220295535E-2"/>
                  <c:y val="5.7502246181491468E-2"/>
                </c:manualLayout>
              </c:layout>
              <c:showLegendKey val="0"/>
              <c:showVal val="1"/>
              <c:showCatName val="0"/>
              <c:showSerName val="0"/>
              <c:showPercent val="0"/>
              <c:showBubbleSize val="0"/>
            </c:dLbl>
            <c:dLbl>
              <c:idx val="4"/>
              <c:layout>
                <c:manualLayout>
                  <c:x val="-3.0828516377649325E-2"/>
                  <c:y val="-4.3126684636118663E-2"/>
                </c:manualLayout>
              </c:layout>
              <c:showLegendKey val="0"/>
              <c:showVal val="1"/>
              <c:showCatName val="0"/>
              <c:showSerName val="0"/>
              <c:showPercent val="0"/>
              <c:showBubbleSize val="0"/>
            </c:dLbl>
            <c:dLbl>
              <c:idx val="5"/>
              <c:layout>
                <c:manualLayout>
                  <c:x val="-2.3121387283236899E-2"/>
                  <c:y val="5.3908355795148251E-2"/>
                </c:manualLayout>
              </c:layout>
              <c:showLegendKey val="0"/>
              <c:showVal val="1"/>
              <c:showCatName val="0"/>
              <c:showSerName val="0"/>
              <c:showPercent val="0"/>
              <c:showBubbleSize val="0"/>
            </c:dLbl>
            <c:dLbl>
              <c:idx val="6"/>
              <c:layout>
                <c:manualLayout>
                  <c:x val="-3.8535645472061654E-2"/>
                  <c:y val="-4.6720575022461817E-2"/>
                </c:manualLayout>
              </c:layout>
              <c:showLegendKey val="0"/>
              <c:showVal val="1"/>
              <c:showCatName val="0"/>
              <c:showSerName val="0"/>
              <c:showPercent val="0"/>
              <c:showBubbleSize val="0"/>
            </c:dLbl>
            <c:dLbl>
              <c:idx val="7"/>
              <c:layout>
                <c:manualLayout>
                  <c:x val="-2.569043031470777E-3"/>
                  <c:y val="4.6720575022461817E-2"/>
                </c:manualLayout>
              </c:layout>
              <c:showLegendKey val="0"/>
              <c:showVal val="1"/>
              <c:showCatName val="0"/>
              <c:showSerName val="0"/>
              <c:showPercent val="0"/>
              <c:showBubbleSize val="0"/>
            </c:dLbl>
            <c:dLbl>
              <c:idx val="8"/>
              <c:layout>
                <c:manualLayout>
                  <c:x val="-4.7619038691593882E-2"/>
                  <c:y val="-4.8359226916016775E-2"/>
                </c:manualLayout>
              </c:layout>
              <c:showLegendKey val="0"/>
              <c:showVal val="1"/>
              <c:showCatName val="0"/>
              <c:showSerName val="0"/>
              <c:showPercent val="0"/>
              <c:showBubbleSize val="0"/>
            </c:dLbl>
            <c:dLbl>
              <c:idx val="9"/>
              <c:layout>
                <c:manualLayout>
                  <c:x val="-2.3809519345798645E-3"/>
                  <c:y val="2.0725382964007191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'[Сетевые_сбор инфо_2025.xlsx]3. УЕ и Объем ПО'!$B$47:$K$47</c:f>
              <c:numCache>
                <c:formatCode>General</c:formatCode>
                <c:ptCount val="10"/>
                <c:pt idx="0">
                  <c:v>2016</c:v>
                </c:pt>
                <c:pt idx="1">
                  <c:v>2017</c:v>
                </c:pt>
                <c:pt idx="2">
                  <c:v>2018</c:v>
                </c:pt>
                <c:pt idx="3">
                  <c:v>2019</c:v>
                </c:pt>
                <c:pt idx="4">
                  <c:v>2020</c:v>
                </c:pt>
                <c:pt idx="5">
                  <c:v>2021</c:v>
                </c:pt>
                <c:pt idx="6">
                  <c:v>2022</c:v>
                </c:pt>
                <c:pt idx="7">
                  <c:v>2023</c:v>
                </c:pt>
                <c:pt idx="8">
                  <c:v>2024</c:v>
                </c:pt>
                <c:pt idx="9">
                  <c:v>2025</c:v>
                </c:pt>
              </c:numCache>
            </c:numRef>
          </c:cat>
          <c:val>
            <c:numRef>
              <c:f>'[Сетевые_сбор инфо_2025.xlsx]3. УЕ и Объем ПО'!$B$48:$K$48</c:f>
              <c:numCache>
                <c:formatCode>0.0</c:formatCode>
                <c:ptCount val="10"/>
                <c:pt idx="0">
                  <c:v>11.963214563908567</c:v>
                </c:pt>
                <c:pt idx="1">
                  <c:v>12.464892324942825</c:v>
                </c:pt>
                <c:pt idx="2">
                  <c:v>18.344255985346351</c:v>
                </c:pt>
                <c:pt idx="3">
                  <c:v>14.535848850202076</c:v>
                </c:pt>
                <c:pt idx="4">
                  <c:v>16.334388116537607</c:v>
                </c:pt>
                <c:pt idx="5">
                  <c:v>17.294823660382299</c:v>
                </c:pt>
                <c:pt idx="6">
                  <c:v>17.900994262204957</c:v>
                </c:pt>
                <c:pt idx="7">
                  <c:v>19.731325489651404</c:v>
                </c:pt>
                <c:pt idx="8">
                  <c:v>23.459300397188361</c:v>
                </c:pt>
                <c:pt idx="9">
                  <c:v>24.639613904627488</c:v>
                </c:pt>
              </c:numCache>
            </c:numRef>
          </c:val>
          <c:smooth val="0"/>
        </c:ser>
        <c:dLbls>
          <c:showLegendKey val="0"/>
          <c:showVal val="0"/>
          <c:showCatName val="0"/>
          <c:showSerName val="0"/>
          <c:showPercent val="0"/>
          <c:showBubbleSize val="0"/>
        </c:dLbls>
        <c:marker val="1"/>
        <c:smooth val="0"/>
        <c:axId val="216915456"/>
        <c:axId val="209248256"/>
      </c:lineChart>
      <c:catAx>
        <c:axId val="216915456"/>
        <c:scaling>
          <c:orientation val="minMax"/>
        </c:scaling>
        <c:delete val="0"/>
        <c:axPos val="b"/>
        <c:numFmt formatCode="General" sourceLinked="1"/>
        <c:majorTickMark val="out"/>
        <c:minorTickMark val="none"/>
        <c:tickLblPos val="nextTo"/>
        <c:crossAx val="209248256"/>
        <c:crosses val="autoZero"/>
        <c:auto val="1"/>
        <c:lblAlgn val="ctr"/>
        <c:lblOffset val="100"/>
        <c:noMultiLvlLbl val="0"/>
      </c:catAx>
      <c:valAx>
        <c:axId val="209248256"/>
        <c:scaling>
          <c:orientation val="minMax"/>
        </c:scaling>
        <c:delete val="0"/>
        <c:axPos val="l"/>
        <c:majorGridlines/>
        <c:numFmt formatCode="0.0" sourceLinked="1"/>
        <c:majorTickMark val="out"/>
        <c:minorTickMark val="none"/>
        <c:tickLblPos val="nextTo"/>
        <c:crossAx val="216915456"/>
        <c:crosses val="autoZero"/>
        <c:crossBetween val="between"/>
      </c:valAx>
    </c:plotArea>
    <c:plotVisOnly val="1"/>
    <c:dispBlanksAs val="gap"/>
    <c:showDLblsOverMax val="0"/>
  </c:chart>
  <c:spPr>
    <a:ln>
      <a:noFill/>
    </a:ln>
  </c:spPr>
  <c:externalData r:id="rId2">
    <c:autoUpdate val="0"/>
  </c:externalData>
  <c:userShapes r:id="rId3"/>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latin typeface="Times New Roman" panose="02020603050405020304" pitchFamily="18" charset="0"/>
                <a:cs typeface="Times New Roman" panose="02020603050405020304" pitchFamily="18" charset="0"/>
              </a:rPr>
              <a:t>Утвержденные единые (котловые) тарифы на услуги по</a:t>
            </a:r>
            <a:r>
              <a:rPr lang="ru-RU" sz="1200" baseline="0">
                <a:latin typeface="Times New Roman" panose="02020603050405020304" pitchFamily="18" charset="0"/>
                <a:cs typeface="Times New Roman" panose="02020603050405020304" pitchFamily="18" charset="0"/>
              </a:rPr>
              <a:t> передаче э/э для населения и приравненных потребителей в сравнении с экономически обоснованной величиной, руб./кВт ч</a:t>
            </a:r>
            <a:endParaRPr lang="ru-RU" sz="1200">
              <a:latin typeface="Times New Roman" panose="02020603050405020304" pitchFamily="18" charset="0"/>
              <a:cs typeface="Times New Roman" panose="02020603050405020304" pitchFamily="18" charset="0"/>
            </a:endParaRPr>
          </a:p>
        </c:rich>
      </c:tx>
      <c:layout>
        <c:manualLayout>
          <c:xMode val="edge"/>
          <c:yMode val="edge"/>
          <c:x val="0.11173181300974895"/>
          <c:y val="2.4081878386514148E-2"/>
        </c:manualLayout>
      </c:layout>
      <c:overlay val="0"/>
    </c:title>
    <c:autoTitleDeleted val="0"/>
    <c:plotArea>
      <c:layout>
        <c:manualLayout>
          <c:layoutTarget val="inner"/>
          <c:xMode val="edge"/>
          <c:yMode val="edge"/>
          <c:x val="1.8678011829407492E-2"/>
          <c:y val="0.19728920458195653"/>
          <c:w val="0.95436508422614597"/>
          <c:h val="0.49644041634538233"/>
        </c:manualLayout>
      </c:layout>
      <c:barChart>
        <c:barDir val="col"/>
        <c:grouping val="clustered"/>
        <c:varyColors val="0"/>
        <c:ser>
          <c:idx val="0"/>
          <c:order val="0"/>
          <c:tx>
            <c:strRef>
              <c:f>'[Котловые 2015-2025.xlsx]Гр котел население'!$A$33</c:f>
              <c:strCache>
                <c:ptCount val="1"/>
                <c:pt idx="0">
                  <c:v>ЭОТ по передаче э/э населению</c:v>
                </c:pt>
              </c:strCache>
            </c:strRef>
          </c:tx>
          <c:invertIfNegative val="0"/>
          <c:cat>
            <c:strRef>
              <c:f>'[Котловые 2015-2025.xlsx]Гр котел население'!$B$32:$L$32</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котел население'!$B$33:$L$33</c:f>
              <c:numCache>
                <c:formatCode>0.0000</c:formatCode>
                <c:ptCount val="11"/>
                <c:pt idx="0">
                  <c:v>1.5945485741522201</c:v>
                </c:pt>
                <c:pt idx="1">
                  <c:v>1.8324563856451801</c:v>
                </c:pt>
                <c:pt idx="2">
                  <c:v>1.9775342506567699</c:v>
                </c:pt>
                <c:pt idx="3">
                  <c:v>2.0884193517577199</c:v>
                </c:pt>
                <c:pt idx="4">
                  <c:v>1.8967937142983999</c:v>
                </c:pt>
                <c:pt idx="5">
                  <c:v>1.9280850207658</c:v>
                </c:pt>
                <c:pt idx="6">
                  <c:v>1.98711058562496</c:v>
                </c:pt>
                <c:pt idx="7">
                  <c:v>2.1522757031856599</c:v>
                </c:pt>
                <c:pt idx="8">
                  <c:v>2.46347</c:v>
                </c:pt>
                <c:pt idx="9">
                  <c:v>2.6714500000000001</c:v>
                </c:pt>
                <c:pt idx="10">
                  <c:v>3.2086100000000002</c:v>
                </c:pt>
              </c:numCache>
            </c:numRef>
          </c:val>
        </c:ser>
        <c:ser>
          <c:idx val="1"/>
          <c:order val="1"/>
          <c:tx>
            <c:strRef>
              <c:f>'[Котловые 2015-2025.xlsx]Гр котел население'!$A$34</c:f>
              <c:strCache>
                <c:ptCount val="1"/>
                <c:pt idx="0">
                  <c:v>Утвержденные единые (котловые) тарифы на услуги по передаче э/э населению</c:v>
                </c:pt>
              </c:strCache>
            </c:strRef>
          </c:tx>
          <c:invertIfNegative val="0"/>
          <c:dLbls>
            <c:dLbl>
              <c:idx val="0"/>
              <c:layout>
                <c:manualLayout>
                  <c:x val="1.3126979888134023E-2"/>
                  <c:y val="0"/>
                </c:manualLayout>
              </c:layout>
              <c:showLegendKey val="0"/>
              <c:showVal val="1"/>
              <c:showCatName val="0"/>
              <c:showSerName val="0"/>
              <c:showPercent val="0"/>
              <c:showBubbleSize val="0"/>
            </c:dLbl>
            <c:dLbl>
              <c:idx val="1"/>
              <c:layout>
                <c:manualLayout>
                  <c:x val="1.7275608594848023E-2"/>
                  <c:y val="0"/>
                </c:manualLayout>
              </c:layout>
              <c:showLegendKey val="0"/>
              <c:showVal val="1"/>
              <c:showCatName val="0"/>
              <c:showSerName val="0"/>
              <c:showPercent val="0"/>
              <c:showBubbleSize val="0"/>
            </c:dLbl>
            <c:dLbl>
              <c:idx val="2"/>
              <c:layout>
                <c:manualLayout>
                  <c:x val="1.2778593075873356E-2"/>
                  <c:y val="-2.7947895062361537E-7"/>
                </c:manualLayout>
              </c:layout>
              <c:showLegendKey val="0"/>
              <c:showVal val="1"/>
              <c:showCatName val="0"/>
              <c:showSerName val="0"/>
              <c:showPercent val="0"/>
              <c:showBubbleSize val="0"/>
            </c:dLbl>
            <c:dLbl>
              <c:idx val="3"/>
              <c:layout>
                <c:manualLayout>
                  <c:x val="1.3126979888134023E-2"/>
                  <c:y val="0"/>
                </c:manualLayout>
              </c:layout>
              <c:showLegendKey val="0"/>
              <c:showVal val="1"/>
              <c:showCatName val="0"/>
              <c:showSerName val="0"/>
              <c:showPercent val="0"/>
              <c:showBubbleSize val="0"/>
            </c:dLbl>
            <c:dLbl>
              <c:idx val="4"/>
              <c:layout>
                <c:manualLayout>
                  <c:x val="1.1400889015198845E-2"/>
                  <c:y val="-8.8494214925461563E-3"/>
                </c:manualLayout>
              </c:layout>
              <c:showLegendKey val="0"/>
              <c:showVal val="1"/>
              <c:showCatName val="0"/>
              <c:showSerName val="0"/>
              <c:showPercent val="0"/>
              <c:showBubbleSize val="0"/>
            </c:dLbl>
            <c:dLbl>
              <c:idx val="5"/>
              <c:layout>
                <c:manualLayout>
                  <c:x val="1.2778593075873356E-2"/>
                  <c:y val="0"/>
                </c:manualLayout>
              </c:layout>
              <c:showLegendKey val="0"/>
              <c:showVal val="1"/>
              <c:showCatName val="0"/>
              <c:showSerName val="0"/>
              <c:showPercent val="0"/>
              <c:showBubbleSize val="0"/>
            </c:dLbl>
            <c:dLbl>
              <c:idx val="6"/>
              <c:layout>
                <c:manualLayout>
                  <c:x val="1.4852907429230433E-2"/>
                  <c:y val="0"/>
                </c:manualLayout>
              </c:layout>
              <c:showLegendKey val="0"/>
              <c:showVal val="1"/>
              <c:showCatName val="0"/>
              <c:showSerName val="0"/>
              <c:showPercent val="0"/>
              <c:showBubbleSize val="0"/>
            </c:dLbl>
            <c:dLbl>
              <c:idx val="7"/>
              <c:layout>
                <c:manualLayout>
                  <c:x val="1.2081980792504677E-2"/>
                  <c:y val="0"/>
                </c:manualLayout>
              </c:layout>
              <c:showLegendKey val="0"/>
              <c:showVal val="1"/>
              <c:showCatName val="0"/>
              <c:showSerName val="0"/>
              <c:showPercent val="0"/>
              <c:showBubbleSize val="0"/>
            </c:dLbl>
            <c:dLbl>
              <c:idx val="8"/>
              <c:layout>
                <c:manualLayout>
                  <c:x val="9.3265746618418442E-3"/>
                  <c:y val="0"/>
                </c:manualLayout>
              </c:layout>
              <c:showLegendKey val="0"/>
              <c:showVal val="1"/>
              <c:showCatName val="0"/>
              <c:showSerName val="0"/>
              <c:showPercent val="0"/>
              <c:showBubbleSize val="0"/>
            </c:dLbl>
            <c:dLbl>
              <c:idx val="9"/>
              <c:layout>
                <c:manualLayout>
                  <c:x val="1.1400725683359998E-2"/>
                  <c:y val="0"/>
                </c:manualLayout>
              </c:layout>
              <c:showLegendKey val="0"/>
              <c:showVal val="1"/>
              <c:showCatName val="0"/>
              <c:showSerName val="0"/>
              <c:showPercent val="0"/>
              <c:showBubbleSize val="0"/>
            </c:dLbl>
            <c:dLbl>
              <c:idx val="10"/>
              <c:layout>
                <c:manualLayout>
                  <c:x val="1.3475203368555844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население'!$B$32:$L$32</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котел население'!$B$34:$L$34</c:f>
              <c:numCache>
                <c:formatCode>0.0000</c:formatCode>
                <c:ptCount val="11"/>
                <c:pt idx="0">
                  <c:v>0.91222999999999999</c:v>
                </c:pt>
                <c:pt idx="1">
                  <c:v>0.86826999999999999</c:v>
                </c:pt>
                <c:pt idx="2">
                  <c:v>0.82010000000000005</c:v>
                </c:pt>
                <c:pt idx="3">
                  <c:v>0.94028</c:v>
                </c:pt>
                <c:pt idx="4">
                  <c:v>0.80793999999999999</c:v>
                </c:pt>
                <c:pt idx="5">
                  <c:v>0.83570999999999995</c:v>
                </c:pt>
                <c:pt idx="6">
                  <c:v>0.85977000000000003</c:v>
                </c:pt>
                <c:pt idx="7">
                  <c:v>0.93820999999999999</c:v>
                </c:pt>
                <c:pt idx="8">
                  <c:v>1.15503</c:v>
                </c:pt>
                <c:pt idx="9">
                  <c:v>1.23394</c:v>
                </c:pt>
                <c:pt idx="10">
                  <c:v>1.4905600000000001</c:v>
                </c:pt>
              </c:numCache>
            </c:numRef>
          </c:val>
        </c:ser>
        <c:dLbls>
          <c:showLegendKey val="0"/>
          <c:showVal val="1"/>
          <c:showCatName val="0"/>
          <c:showSerName val="0"/>
          <c:showPercent val="0"/>
          <c:showBubbleSize val="0"/>
        </c:dLbls>
        <c:gapWidth val="150"/>
        <c:overlap val="-25"/>
        <c:axId val="216914432"/>
        <c:axId val="209250560"/>
      </c:barChart>
      <c:catAx>
        <c:axId val="216914432"/>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09250560"/>
        <c:crosses val="autoZero"/>
        <c:auto val="1"/>
        <c:lblAlgn val="ctr"/>
        <c:lblOffset val="100"/>
        <c:noMultiLvlLbl val="0"/>
      </c:catAx>
      <c:valAx>
        <c:axId val="209250560"/>
        <c:scaling>
          <c:orientation val="minMax"/>
        </c:scaling>
        <c:delete val="1"/>
        <c:axPos val="l"/>
        <c:numFmt formatCode="0.0000" sourceLinked="1"/>
        <c:majorTickMark val="out"/>
        <c:minorTickMark val="none"/>
        <c:tickLblPos val="nextTo"/>
        <c:crossAx val="216914432"/>
        <c:crosses val="autoZero"/>
        <c:crossBetween val="between"/>
      </c:valAx>
    </c:plotArea>
    <c:legend>
      <c:legendPos val="t"/>
      <c:layout>
        <c:manualLayout>
          <c:xMode val="edge"/>
          <c:yMode val="edge"/>
          <c:x val="4.0041943616215915E-2"/>
          <c:y val="0.83340912201512241"/>
          <c:w val="0.90994895063376835"/>
          <c:h val="0.147887963596189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latin typeface="Times New Roman" panose="02020603050405020304" pitchFamily="18" charset="0"/>
                <a:cs typeface="Times New Roman" panose="02020603050405020304" pitchFamily="18" charset="0"/>
              </a:rPr>
              <a:t>Сравнительная динамика тарифов среди городов-милионников за период 2015-2025 г.г</a:t>
            </a:r>
            <a:r>
              <a:rPr lang="ru-RU" sz="1200"/>
              <a:t>.</a:t>
            </a:r>
          </a:p>
        </c:rich>
      </c:tx>
      <c:layout>
        <c:manualLayout>
          <c:xMode val="edge"/>
          <c:yMode val="edge"/>
          <c:x val="0.11128147874823963"/>
          <c:y val="2.3990403838464614E-2"/>
        </c:manualLayout>
      </c:layout>
      <c:overlay val="0"/>
    </c:title>
    <c:autoTitleDeleted val="0"/>
    <c:plotArea>
      <c:layout>
        <c:manualLayout>
          <c:layoutTarget val="inner"/>
          <c:xMode val="edge"/>
          <c:yMode val="edge"/>
          <c:x val="1.6602677181695547E-2"/>
          <c:y val="0.17346226863585271"/>
          <c:w val="0.95436508422614597"/>
          <c:h val="0.55710291656291266"/>
        </c:manualLayout>
      </c:layout>
      <c:lineChart>
        <c:grouping val="standard"/>
        <c:varyColors val="0"/>
        <c:ser>
          <c:idx val="1"/>
          <c:order val="0"/>
          <c:tx>
            <c:strRef>
              <c:f>'[Котловые 2015-2025.xlsx]Гр котел население'!$A$6</c:f>
              <c:strCache>
                <c:ptCount val="1"/>
                <c:pt idx="0">
                  <c:v>максимальный уровень тарифа</c:v>
                </c:pt>
              </c:strCache>
            </c:strRef>
          </c:tx>
          <c:spPr>
            <a:ln>
              <a:solidFill>
                <a:schemeClr val="accent1"/>
              </a:solidFill>
            </a:ln>
          </c:spPr>
          <c:marker>
            <c:symbol val="diamond"/>
            <c:size val="7"/>
            <c:spPr>
              <a:solidFill>
                <a:schemeClr val="accent1"/>
              </a:solidFill>
              <a:ln>
                <a:solidFill>
                  <a:schemeClr val="accent1"/>
                </a:solidFill>
              </a:ln>
            </c:spPr>
          </c:marker>
          <c:dLbls>
            <c:dLbl>
              <c:idx val="0"/>
              <c:layout>
                <c:manualLayout>
                  <c:x val="-2.4063437905650645E-2"/>
                  <c:y val="-5.7471264367816091E-2"/>
                </c:manualLayout>
              </c:layout>
              <c:tx>
                <c:rich>
                  <a:bodyPr/>
                  <a:lstStyle/>
                  <a:p>
                    <a:r>
                      <a:rPr lang="en-US"/>
                      <a:t>1,631</a:t>
                    </a:r>
                    <a:r>
                      <a:rPr lang="ru-RU"/>
                      <a:t>6</a:t>
                    </a:r>
                    <a:endParaRPr lang="en-US"/>
                  </a:p>
                </c:rich>
              </c:tx>
              <c:showLegendKey val="0"/>
              <c:showVal val="1"/>
              <c:showCatName val="0"/>
              <c:showSerName val="0"/>
              <c:showPercent val="0"/>
              <c:showBubbleSize val="0"/>
            </c:dLbl>
            <c:dLbl>
              <c:idx val="1"/>
              <c:tx>
                <c:rich>
                  <a:bodyPr/>
                  <a:lstStyle/>
                  <a:p>
                    <a:r>
                      <a:rPr lang="en-US"/>
                      <a:t>1,7194</a:t>
                    </a:r>
                  </a:p>
                </c:rich>
              </c:tx>
              <c:showLegendKey val="0"/>
              <c:showVal val="1"/>
              <c:showCatName val="0"/>
              <c:showSerName val="0"/>
              <c:showPercent val="0"/>
              <c:showBubbleSize val="0"/>
            </c:dLbl>
            <c:dLbl>
              <c:idx val="2"/>
              <c:layout>
                <c:manualLayout>
                  <c:x val="-3.0626193698100792E-2"/>
                  <c:y val="-5.3639846743295055E-2"/>
                </c:manualLayout>
              </c:layout>
              <c:showLegendKey val="0"/>
              <c:showVal val="1"/>
              <c:showCatName val="0"/>
              <c:showSerName val="0"/>
              <c:showPercent val="0"/>
              <c:showBubbleSize val="0"/>
            </c:dLbl>
            <c:dLbl>
              <c:idx val="3"/>
              <c:layout>
                <c:manualLayout>
                  <c:x val="-6.5627557924501784E-3"/>
                  <c:y val="-3.4482758620689655E-2"/>
                </c:manualLayout>
              </c:layout>
              <c:showLegendKey val="0"/>
              <c:showVal val="1"/>
              <c:showCatName val="0"/>
              <c:showSerName val="0"/>
              <c:showPercent val="0"/>
              <c:showBubbleSize val="0"/>
            </c:dLbl>
            <c:dLbl>
              <c:idx val="4"/>
              <c:layout>
                <c:manualLayout>
                  <c:x val="-1.0937926320750377E-2"/>
                  <c:y val="-4.9808429118773943E-2"/>
                </c:manualLayout>
              </c:layout>
              <c:showLegendKey val="0"/>
              <c:showVal val="1"/>
              <c:showCatName val="0"/>
              <c:showSerName val="0"/>
              <c:showPercent val="0"/>
              <c:showBubbleSize val="0"/>
            </c:dLbl>
            <c:dLbl>
              <c:idx val="5"/>
              <c:layout>
                <c:manualLayout>
                  <c:x val="-1.0937926320750297E-2"/>
                  <c:y val="-4.5977011494252873E-2"/>
                </c:manualLayout>
              </c:layout>
              <c:tx>
                <c:rich>
                  <a:bodyPr/>
                  <a:lstStyle/>
                  <a:p>
                    <a:r>
                      <a:rPr lang="en-US"/>
                      <a:t>2,77</a:t>
                    </a:r>
                    <a:r>
                      <a:rPr lang="ru-RU"/>
                      <a:t>0</a:t>
                    </a:r>
                    <a:endParaRPr lang="en-US"/>
                  </a:p>
                </c:rich>
              </c:tx>
              <c:showLegendKey val="0"/>
              <c:showVal val="1"/>
              <c:showCatName val="0"/>
              <c:showSerName val="0"/>
              <c:showPercent val="0"/>
              <c:showBubbleSize val="0"/>
            </c:dLbl>
            <c:dLbl>
              <c:idx val="6"/>
              <c:layout>
                <c:manualLayout>
                  <c:x val="-1.6563143397696288E-2"/>
                  <c:y val="-4.5977011494252873E-2"/>
                </c:manualLayout>
              </c:layout>
              <c:showLegendKey val="0"/>
              <c:showVal val="1"/>
              <c:showCatName val="0"/>
              <c:showSerName val="0"/>
              <c:showPercent val="0"/>
              <c:showBubbleSize val="0"/>
            </c:dLbl>
            <c:dLbl>
              <c:idx val="7"/>
              <c:layout>
                <c:manualLayout>
                  <c:x val="-2.0243841930517686E-2"/>
                  <c:y val="3.4482758620689655E-2"/>
                </c:manualLayout>
              </c:layout>
              <c:showLegendKey val="0"/>
              <c:showVal val="1"/>
              <c:showCatName val="0"/>
              <c:showSerName val="0"/>
              <c:showPercent val="0"/>
              <c:showBubbleSize val="0"/>
            </c:dLbl>
            <c:dLbl>
              <c:idx val="8"/>
              <c:layout>
                <c:manualLayout>
                  <c:x val="-5.5210477992320966E-3"/>
                  <c:y val="3.8314176245210725E-2"/>
                </c:manualLayout>
              </c:layout>
              <c:showLegendKey val="0"/>
              <c:showVal val="1"/>
              <c:showCatName val="0"/>
              <c:showSerName val="0"/>
              <c:showPercent val="0"/>
              <c:showBubbleSize val="0"/>
            </c:dLbl>
            <c:dLbl>
              <c:idx val="9"/>
              <c:layout>
                <c:manualLayout>
                  <c:x val="-4.0487683861035371E-2"/>
                  <c:y val="-4.5977011494252873E-2"/>
                </c:manualLayout>
              </c:layout>
              <c:showLegendKey val="0"/>
              <c:showVal val="1"/>
              <c:showCatName val="0"/>
              <c:showSerName val="0"/>
              <c:showPercent val="0"/>
              <c:showBubbleSize val="0"/>
            </c:dLbl>
            <c:dLbl>
              <c:idx val="10"/>
              <c:layout>
                <c:manualLayout>
                  <c:x val="-2.7605238996160481E-2"/>
                  <c:y val="-4.214559386973183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население'!$B$3:$L$3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котел население'!$B$6:$L$6</c:f>
              <c:numCache>
                <c:formatCode>0.0000</c:formatCode>
                <c:ptCount val="11"/>
                <c:pt idx="0">
                  <c:v>1.6315500000000001</c:v>
                </c:pt>
                <c:pt idx="1">
                  <c:v>1.71943</c:v>
                </c:pt>
                <c:pt idx="2">
                  <c:v>2.9249999999999998</c:v>
                </c:pt>
                <c:pt idx="3">
                  <c:v>2.8610000000000002</c:v>
                </c:pt>
                <c:pt idx="4">
                  <c:v>2.698</c:v>
                </c:pt>
                <c:pt idx="5">
                  <c:v>2.77</c:v>
                </c:pt>
                <c:pt idx="6">
                  <c:v>2.7639999999999998</c:v>
                </c:pt>
                <c:pt idx="7">
                  <c:v>2.9009999999999998</c:v>
                </c:pt>
                <c:pt idx="8">
                  <c:v>3.121</c:v>
                </c:pt>
                <c:pt idx="9">
                  <c:v>3.29</c:v>
                </c:pt>
                <c:pt idx="10">
                  <c:v>3.7349999999999999</c:v>
                </c:pt>
              </c:numCache>
            </c:numRef>
          </c:val>
          <c:smooth val="0"/>
        </c:ser>
        <c:ser>
          <c:idx val="2"/>
          <c:order val="1"/>
          <c:tx>
            <c:strRef>
              <c:f>'[Котловые 2015-2025.xlsx]Гр котел население'!$A$8</c:f>
              <c:strCache>
                <c:ptCount val="1"/>
                <c:pt idx="0">
                  <c:v>г. Новосибирск</c:v>
                </c:pt>
              </c:strCache>
            </c:strRef>
          </c:tx>
          <c:spPr>
            <a:ln>
              <a:solidFill>
                <a:schemeClr val="accent2"/>
              </a:solidFill>
            </a:ln>
          </c:spPr>
          <c:marker>
            <c:symbol val="square"/>
            <c:size val="7"/>
            <c:spPr>
              <a:solidFill>
                <a:schemeClr val="accent2"/>
              </a:solidFill>
              <a:ln>
                <a:solidFill>
                  <a:schemeClr val="accent2"/>
                </a:solidFill>
              </a:ln>
            </c:spPr>
          </c:marker>
          <c:dLbls>
            <c:dLbl>
              <c:idx val="0"/>
              <c:layout>
                <c:manualLayout>
                  <c:x val="-1.7500682113200466E-2"/>
                  <c:y val="-4.9808429118773943E-2"/>
                </c:manualLayout>
              </c:layout>
              <c:tx>
                <c:rich>
                  <a:bodyPr/>
                  <a:lstStyle/>
                  <a:p>
                    <a:r>
                      <a:rPr lang="en-US"/>
                      <a:t>0,9122</a:t>
                    </a:r>
                  </a:p>
                </c:rich>
              </c:tx>
              <c:showLegendKey val="0"/>
              <c:showVal val="1"/>
              <c:showCatName val="0"/>
              <c:showSerName val="0"/>
              <c:showPercent val="0"/>
              <c:showBubbleSize val="0"/>
            </c:dLbl>
            <c:dLbl>
              <c:idx val="1"/>
              <c:layout>
                <c:manualLayout>
                  <c:x val="-8.7503410566002384E-3"/>
                  <c:y val="-3.8314176245210725E-2"/>
                </c:manualLayout>
              </c:layout>
              <c:tx>
                <c:rich>
                  <a:bodyPr/>
                  <a:lstStyle/>
                  <a:p>
                    <a:r>
                      <a:rPr lang="en-US"/>
                      <a:t>0,868</a:t>
                    </a:r>
                    <a:r>
                      <a:rPr lang="ru-RU"/>
                      <a:t>3</a:t>
                    </a:r>
                    <a:endParaRPr lang="en-US"/>
                  </a:p>
                </c:rich>
              </c:tx>
              <c:showLegendKey val="0"/>
              <c:showVal val="1"/>
              <c:showCatName val="0"/>
              <c:showSerName val="0"/>
              <c:showPercent val="0"/>
              <c:showBubbleSize val="0"/>
            </c:dLbl>
            <c:dLbl>
              <c:idx val="2"/>
              <c:layout>
                <c:manualLayout>
                  <c:x val="-1.3125511584900357E-2"/>
                  <c:y val="-4.9808429118773943E-2"/>
                </c:manualLayout>
              </c:layout>
              <c:showLegendKey val="0"/>
              <c:showVal val="1"/>
              <c:showCatName val="0"/>
              <c:showSerName val="0"/>
              <c:showPercent val="0"/>
              <c:showBubbleSize val="0"/>
            </c:dLbl>
            <c:dLbl>
              <c:idx val="3"/>
              <c:layout>
                <c:manualLayout>
                  <c:x val="-6.5627557924501784E-3"/>
                  <c:y val="-3.8314176245210725E-2"/>
                </c:manualLayout>
              </c:layout>
              <c:tx>
                <c:rich>
                  <a:bodyPr/>
                  <a:lstStyle/>
                  <a:p>
                    <a:r>
                      <a:rPr lang="en-US"/>
                      <a:t>0,940</a:t>
                    </a:r>
                    <a:r>
                      <a:rPr lang="ru-RU"/>
                      <a:t>3</a:t>
                    </a:r>
                    <a:endParaRPr lang="en-US"/>
                  </a:p>
                </c:rich>
              </c:tx>
              <c:showLegendKey val="0"/>
              <c:showVal val="1"/>
              <c:showCatName val="0"/>
              <c:showSerName val="0"/>
              <c:showPercent val="0"/>
              <c:showBubbleSize val="0"/>
            </c:dLbl>
            <c:dLbl>
              <c:idx val="4"/>
              <c:delete val="1"/>
            </c:dLbl>
            <c:dLbl>
              <c:idx val="5"/>
              <c:layout>
                <c:manualLayout>
                  <c:x val="-2.6251023169800713E-2"/>
                  <c:y val="-4.9808429118773943E-2"/>
                </c:manualLayout>
              </c:layout>
              <c:tx>
                <c:rich>
                  <a:bodyPr/>
                  <a:lstStyle/>
                  <a:p>
                    <a:r>
                      <a:rPr lang="en-US"/>
                      <a:t>0,8357</a:t>
                    </a:r>
                  </a:p>
                </c:rich>
              </c:tx>
              <c:showLegendKey val="0"/>
              <c:showVal val="1"/>
              <c:showCatName val="0"/>
              <c:showSerName val="0"/>
              <c:showPercent val="0"/>
              <c:showBubbleSize val="0"/>
            </c:dLbl>
            <c:dLbl>
              <c:idx val="6"/>
              <c:delete val="1"/>
            </c:dLbl>
            <c:dLbl>
              <c:idx val="7"/>
              <c:layout>
                <c:manualLayout>
                  <c:x val="-1.6563143397696288E-2"/>
                  <c:y val="-4.9808429118773943E-2"/>
                </c:manualLayout>
              </c:layout>
              <c:showLegendKey val="0"/>
              <c:showVal val="1"/>
              <c:showCatName val="0"/>
              <c:showSerName val="0"/>
              <c:showPercent val="0"/>
              <c:showBubbleSize val="0"/>
            </c:dLbl>
            <c:dLbl>
              <c:idx val="8"/>
              <c:layout>
                <c:manualLayout>
                  <c:x val="-1.1042095598464193E-2"/>
                  <c:y val="-3.8314176245210725E-2"/>
                </c:manualLayout>
              </c:layout>
              <c:showLegendKey val="0"/>
              <c:showVal val="1"/>
              <c:showCatName val="0"/>
              <c:showSerName val="0"/>
              <c:showPercent val="0"/>
              <c:showBubbleSize val="0"/>
            </c:dLbl>
            <c:dLbl>
              <c:idx val="9"/>
              <c:layout>
                <c:manualLayout>
                  <c:x val="-2.2084191196928518E-2"/>
                  <c:y val="-4.980842911877402E-2"/>
                </c:manualLayout>
              </c:layout>
              <c:showLegendKey val="0"/>
              <c:showVal val="1"/>
              <c:showCatName val="0"/>
              <c:showSerName val="0"/>
              <c:showPercent val="0"/>
              <c:showBubbleSize val="0"/>
            </c:dLbl>
            <c:dLbl>
              <c:idx val="10"/>
              <c:layout>
                <c:manualLayout>
                  <c:x val="-2.9445588262571178E-2"/>
                  <c:y val="-5.363984674329509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население'!$B$3:$L$3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котел население'!$B$8:$L$8</c:f>
              <c:numCache>
                <c:formatCode>0.0000</c:formatCode>
                <c:ptCount val="11"/>
                <c:pt idx="0">
                  <c:v>0.91222999999999999</c:v>
                </c:pt>
                <c:pt idx="1">
                  <c:v>0.86826999999999999</c:v>
                </c:pt>
                <c:pt idx="2">
                  <c:v>0.82010000000000005</c:v>
                </c:pt>
                <c:pt idx="3">
                  <c:v>0.94028</c:v>
                </c:pt>
                <c:pt idx="4">
                  <c:v>0.80793999999999999</c:v>
                </c:pt>
                <c:pt idx="5">
                  <c:v>0.83570999999999995</c:v>
                </c:pt>
                <c:pt idx="6">
                  <c:v>0.85977000000000003</c:v>
                </c:pt>
                <c:pt idx="7">
                  <c:v>0.93820999999999999</c:v>
                </c:pt>
                <c:pt idx="8">
                  <c:v>1.15503</c:v>
                </c:pt>
                <c:pt idx="9">
                  <c:v>1.23394</c:v>
                </c:pt>
                <c:pt idx="10">
                  <c:v>1.4905600000000001</c:v>
                </c:pt>
              </c:numCache>
            </c:numRef>
          </c:val>
          <c:smooth val="0"/>
        </c:ser>
        <c:ser>
          <c:idx val="0"/>
          <c:order val="2"/>
          <c:tx>
            <c:strRef>
              <c:f>'[Котловые 2015-2025.xlsx]Гр котел население'!$A$4</c:f>
              <c:strCache>
                <c:ptCount val="1"/>
                <c:pt idx="0">
                  <c:v>минимальный уровень тарифа</c:v>
                </c:pt>
              </c:strCache>
            </c:strRef>
          </c:tx>
          <c:spPr>
            <a:ln>
              <a:solidFill>
                <a:schemeClr val="accent3"/>
              </a:solidFill>
            </a:ln>
          </c:spPr>
          <c:marker>
            <c:symbol val="triangle"/>
            <c:size val="7"/>
            <c:spPr>
              <a:solidFill>
                <a:schemeClr val="accent3"/>
              </a:solidFill>
              <a:ln>
                <a:solidFill>
                  <a:schemeClr val="accent3"/>
                </a:solidFill>
              </a:ln>
            </c:spPr>
          </c:marker>
          <c:dLbls>
            <c:dLbl>
              <c:idx val="0"/>
              <c:layout>
                <c:manualLayout>
                  <c:x val="-1.3125511584900357E-2"/>
                  <c:y val="5.3639846743295021E-2"/>
                </c:manualLayout>
              </c:layout>
              <c:tx>
                <c:rich>
                  <a:bodyPr/>
                  <a:lstStyle/>
                  <a:p>
                    <a:r>
                      <a:rPr lang="en-US"/>
                      <a:t>0,7350</a:t>
                    </a:r>
                  </a:p>
                </c:rich>
              </c:tx>
              <c:showLegendKey val="0"/>
              <c:showVal val="1"/>
              <c:showCatName val="0"/>
              <c:showSerName val="0"/>
              <c:showPercent val="0"/>
              <c:showBubbleSize val="0"/>
            </c:dLbl>
            <c:dLbl>
              <c:idx val="1"/>
              <c:layout>
                <c:manualLayout>
                  <c:x val="-2.1875852641500593E-2"/>
                  <c:y val="4.9808429118773943E-2"/>
                </c:manualLayout>
              </c:layout>
              <c:tx>
                <c:rich>
                  <a:bodyPr/>
                  <a:lstStyle/>
                  <a:p>
                    <a:r>
                      <a:rPr lang="en-US"/>
                      <a:t>0,8059</a:t>
                    </a:r>
                  </a:p>
                </c:rich>
              </c:tx>
              <c:showLegendKey val="0"/>
              <c:showVal val="1"/>
              <c:showCatName val="0"/>
              <c:showSerName val="0"/>
              <c:showPercent val="0"/>
              <c:showBubbleSize val="0"/>
            </c:dLbl>
            <c:dLbl>
              <c:idx val="2"/>
              <c:delete val="1"/>
            </c:dLbl>
            <c:dLbl>
              <c:idx val="3"/>
              <c:delete val="1"/>
            </c:dLbl>
            <c:dLbl>
              <c:idx val="4"/>
              <c:layout>
                <c:manualLayout>
                  <c:x val="-1.0937926320750377E-2"/>
                  <c:y val="-3.4482758620689655E-2"/>
                </c:manualLayout>
              </c:layout>
              <c:tx>
                <c:rich>
                  <a:bodyPr/>
                  <a:lstStyle/>
                  <a:p>
                    <a:r>
                      <a:rPr lang="en-US"/>
                      <a:t>0,8079</a:t>
                    </a:r>
                  </a:p>
                </c:rich>
              </c:tx>
              <c:showLegendKey val="0"/>
              <c:showVal val="1"/>
              <c:showCatName val="0"/>
              <c:showSerName val="0"/>
              <c:showPercent val="0"/>
              <c:showBubbleSize val="0"/>
            </c:dLbl>
            <c:dLbl>
              <c:idx val="5"/>
              <c:delete val="1"/>
            </c:dLbl>
            <c:dLbl>
              <c:idx val="6"/>
              <c:layout>
                <c:manualLayout>
                  <c:x val="-1.1042095598464193E-2"/>
                  <c:y val="-5.7471264367816091E-2"/>
                </c:manualLayout>
              </c:layout>
              <c:tx>
                <c:rich>
                  <a:bodyPr/>
                  <a:lstStyle/>
                  <a:p>
                    <a:r>
                      <a:rPr lang="en-US"/>
                      <a:t>0,859</a:t>
                    </a:r>
                    <a:r>
                      <a:rPr lang="ru-RU"/>
                      <a:t>8</a:t>
                    </a:r>
                    <a:endParaRPr lang="en-US"/>
                  </a:p>
                </c:rich>
              </c:tx>
              <c:showLegendKey val="0"/>
              <c:showVal val="1"/>
              <c:showCatName val="0"/>
              <c:showSerName val="0"/>
              <c:showPercent val="0"/>
              <c:showBubbleSize val="0"/>
            </c:dLbl>
            <c:dLbl>
              <c:idx val="7"/>
              <c:layout>
                <c:manualLayout>
                  <c:x val="-3.3126286795392444E-2"/>
                  <c:y val="4.5977011494252873E-2"/>
                </c:manualLayout>
              </c:layout>
              <c:showLegendKey val="0"/>
              <c:showVal val="1"/>
              <c:showCatName val="0"/>
              <c:showSerName val="0"/>
              <c:showPercent val="0"/>
              <c:showBubbleSize val="0"/>
            </c:dLbl>
            <c:dLbl>
              <c:idx val="8"/>
              <c:layout>
                <c:manualLayout>
                  <c:x val="-2.7605238996160346E-2"/>
                  <c:y val="4.5977011494253012E-2"/>
                </c:manualLayout>
              </c:layout>
              <c:showLegendKey val="0"/>
              <c:showVal val="1"/>
              <c:showCatName val="0"/>
              <c:showSerName val="0"/>
              <c:showPercent val="0"/>
              <c:showBubbleSize val="0"/>
            </c:dLbl>
            <c:dLbl>
              <c:idx val="9"/>
              <c:layout>
                <c:manualLayout>
                  <c:x val="-3.4966780971194468E-2"/>
                  <c:y val="5.7471264367816091E-2"/>
                </c:manualLayout>
              </c:layout>
              <c:showLegendKey val="0"/>
              <c:showVal val="1"/>
              <c:showCatName val="0"/>
              <c:showSerName val="0"/>
              <c:showPercent val="0"/>
              <c:showBubbleSize val="0"/>
            </c:dLbl>
            <c:dLbl>
              <c:idx val="10"/>
              <c:layout>
                <c:manualLayout>
                  <c:x val="-2.7605238996160481E-2"/>
                  <c:y val="4.5977011494252873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население'!$B$3:$L$3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котел население'!$B$4:$L$4</c:f>
              <c:numCache>
                <c:formatCode>0.0000</c:formatCode>
                <c:ptCount val="11"/>
                <c:pt idx="0">
                  <c:v>0.73504000000000003</c:v>
                </c:pt>
                <c:pt idx="1">
                  <c:v>0.80593000000000004</c:v>
                </c:pt>
                <c:pt idx="2">
                  <c:v>0.82010000000000005</c:v>
                </c:pt>
                <c:pt idx="3">
                  <c:v>0.94028</c:v>
                </c:pt>
                <c:pt idx="4">
                  <c:v>0.80793999999999999</c:v>
                </c:pt>
                <c:pt idx="5">
                  <c:v>0.83570999999999995</c:v>
                </c:pt>
                <c:pt idx="6">
                  <c:v>0.85977000000000003</c:v>
                </c:pt>
                <c:pt idx="7">
                  <c:v>0.78600999999999999</c:v>
                </c:pt>
                <c:pt idx="8">
                  <c:v>0.85675000000000001</c:v>
                </c:pt>
                <c:pt idx="9">
                  <c:v>1.0720700000000001</c:v>
                </c:pt>
                <c:pt idx="10">
                  <c:v>1.1964300000000001</c:v>
                </c:pt>
              </c:numCache>
            </c:numRef>
          </c:val>
          <c:smooth val="0"/>
        </c:ser>
        <c:dLbls>
          <c:showLegendKey val="0"/>
          <c:showVal val="1"/>
          <c:showCatName val="0"/>
          <c:showSerName val="0"/>
          <c:showPercent val="0"/>
          <c:showBubbleSize val="0"/>
        </c:dLbls>
        <c:marker val="1"/>
        <c:smooth val="0"/>
        <c:axId val="217093632"/>
        <c:axId val="209252288"/>
      </c:lineChart>
      <c:catAx>
        <c:axId val="217093632"/>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09252288"/>
        <c:crosses val="autoZero"/>
        <c:auto val="1"/>
        <c:lblAlgn val="ctr"/>
        <c:lblOffset val="100"/>
        <c:noMultiLvlLbl val="0"/>
      </c:catAx>
      <c:valAx>
        <c:axId val="209252288"/>
        <c:scaling>
          <c:orientation val="minMax"/>
        </c:scaling>
        <c:delete val="1"/>
        <c:axPos val="l"/>
        <c:numFmt formatCode="0.0000" sourceLinked="1"/>
        <c:majorTickMark val="none"/>
        <c:minorTickMark val="none"/>
        <c:tickLblPos val="nextTo"/>
        <c:crossAx val="217093632"/>
        <c:crosses val="autoZero"/>
        <c:crossBetween val="between"/>
      </c:valAx>
    </c:plotArea>
    <c:legend>
      <c:legendPos val="t"/>
      <c:layout>
        <c:manualLayout>
          <c:xMode val="edge"/>
          <c:yMode val="edge"/>
          <c:x val="4.7925644813683298E-2"/>
          <c:y val="0.87977029660576733"/>
          <c:w val="0.89999991833408055"/>
          <c:h val="7.2387055289560201E-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Динамика тарифов</a:t>
            </a:r>
            <a:r>
              <a:rPr lang="ru-RU" sz="1200" baseline="0">
                <a:latin typeface="Times New Roman" panose="02020603050405020304" pitchFamily="18" charset="0"/>
                <a:cs typeface="Times New Roman" panose="02020603050405020304" pitchFamily="18" charset="0"/>
              </a:rPr>
              <a:t> по прочим потребителям на уровне ВН</a:t>
            </a:r>
            <a:r>
              <a:rPr lang="ru-RU" sz="1200">
                <a:latin typeface="Times New Roman" panose="02020603050405020304" pitchFamily="18" charset="0"/>
                <a:cs typeface="Times New Roman" panose="02020603050405020304" pitchFamily="18" charset="0"/>
              </a:rPr>
              <a:t> , </a:t>
            </a:r>
          </a:p>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руб./кВт   </a:t>
            </a:r>
            <a:r>
              <a:rPr lang="ru-RU" sz="1200" baseline="0">
                <a:latin typeface="Times New Roman" panose="02020603050405020304" pitchFamily="18" charset="0"/>
                <a:cs typeface="Times New Roman" panose="02020603050405020304" pitchFamily="18" charset="0"/>
              </a:rPr>
              <a:t> ч</a:t>
            </a:r>
            <a:endParaRPr lang="ru-RU" sz="1200">
              <a:latin typeface="Times New Roman" panose="02020603050405020304" pitchFamily="18" charset="0"/>
              <a:cs typeface="Times New Roman" panose="02020603050405020304" pitchFamily="18" charset="0"/>
            </a:endParaRPr>
          </a:p>
        </c:rich>
      </c:tx>
      <c:layout>
        <c:manualLayout>
          <c:xMode val="edge"/>
          <c:yMode val="edge"/>
          <c:x val="7.6889640009896315E-2"/>
          <c:y val="1.8240487127672692E-2"/>
        </c:manualLayout>
      </c:layout>
      <c:overlay val="0"/>
    </c:title>
    <c:autoTitleDeleted val="0"/>
    <c:plotArea>
      <c:layout>
        <c:manualLayout>
          <c:layoutTarget val="inner"/>
          <c:xMode val="edge"/>
          <c:yMode val="edge"/>
          <c:x val="8.4037497723562504E-2"/>
          <c:y val="0.19234825054628557"/>
          <c:w val="0.66483427395195949"/>
          <c:h val="0.57620771361913092"/>
        </c:manualLayout>
      </c:layout>
      <c:lineChart>
        <c:grouping val="standard"/>
        <c:varyColors val="0"/>
        <c:ser>
          <c:idx val="1"/>
          <c:order val="0"/>
          <c:tx>
            <c:strRef>
              <c:f>'[Котловые 2015-2025.xlsx]Гр котел прочие'!$B$4</c:f>
              <c:strCache>
                <c:ptCount val="1"/>
                <c:pt idx="0">
                  <c:v>Максимальный тариф на уровне ВН</c:v>
                </c:pt>
              </c:strCache>
            </c:strRef>
          </c:tx>
          <c:spPr>
            <a:ln>
              <a:solidFill>
                <a:schemeClr val="accent1"/>
              </a:solidFill>
            </a:ln>
          </c:spPr>
          <c:marker>
            <c:symbol val="diamond"/>
            <c:size val="7"/>
            <c:spPr>
              <a:solidFill>
                <a:schemeClr val="accent1"/>
              </a:solidFill>
              <a:ln>
                <a:solidFill>
                  <a:schemeClr val="accent1"/>
                </a:solidFill>
              </a:ln>
            </c:spPr>
          </c:marker>
          <c:dLbls>
            <c:dLbl>
              <c:idx val="0"/>
              <c:layout>
                <c:manualLayout>
                  <c:x val="-5.3231969594144883E-2"/>
                  <c:y val="-5.9851558888489392E-2"/>
                </c:manualLayout>
              </c:layout>
              <c:tx>
                <c:rich>
                  <a:bodyPr/>
                  <a:lstStyle/>
                  <a:p>
                    <a:r>
                      <a:rPr lang="en-US"/>
                      <a:t>1,5268</a:t>
                    </a:r>
                  </a:p>
                </c:rich>
              </c:tx>
              <c:showLegendKey val="0"/>
              <c:showVal val="1"/>
              <c:showCatName val="0"/>
              <c:showSerName val="0"/>
              <c:showPercent val="0"/>
              <c:showBubbleSize val="0"/>
            </c:dLbl>
            <c:dLbl>
              <c:idx val="1"/>
              <c:layout>
                <c:manualLayout>
                  <c:x val="-2.2353105469084956E-2"/>
                  <c:y val="4.1499608729413058E-2"/>
                </c:manualLayout>
              </c:layout>
              <c:tx>
                <c:rich>
                  <a:bodyPr/>
                  <a:lstStyle/>
                  <a:p>
                    <a:r>
                      <a:rPr lang="en-US"/>
                      <a:t>1,8829</a:t>
                    </a:r>
                  </a:p>
                </c:rich>
              </c:tx>
              <c:showLegendKey val="0"/>
              <c:showVal val="1"/>
              <c:showCatName val="0"/>
              <c:showSerName val="0"/>
              <c:showPercent val="0"/>
              <c:showBubbleSize val="0"/>
            </c:dLbl>
            <c:dLbl>
              <c:idx val="2"/>
              <c:layout>
                <c:manualLayout>
                  <c:x val="-5.5766793409378963E-2"/>
                  <c:y val="-5.5555555555555552E-2"/>
                </c:manualLayout>
              </c:layout>
              <c:tx>
                <c:rich>
                  <a:bodyPr/>
                  <a:lstStyle/>
                  <a:p>
                    <a:r>
                      <a:rPr lang="en-US"/>
                      <a:t>2,0374</a:t>
                    </a:r>
                  </a:p>
                </c:rich>
              </c:tx>
              <c:showLegendKey val="0"/>
              <c:showVal val="1"/>
              <c:showCatName val="0"/>
              <c:showSerName val="0"/>
              <c:showPercent val="0"/>
              <c:showBubbleSize val="0"/>
            </c:dLbl>
            <c:dLbl>
              <c:idx val="3"/>
              <c:delete val="1"/>
            </c:dLbl>
            <c:dLbl>
              <c:idx val="4"/>
              <c:delete val="1"/>
            </c:dLbl>
            <c:dLbl>
              <c:idx val="5"/>
              <c:delete val="1"/>
            </c:dLbl>
            <c:dLbl>
              <c:idx val="6"/>
              <c:layout>
                <c:manualLayout>
                  <c:x val="-3.6501892397977929E-2"/>
                  <c:y val="-4.6296296296296294E-2"/>
                </c:manualLayout>
              </c:layout>
              <c:tx>
                <c:rich>
                  <a:bodyPr/>
                  <a:lstStyle/>
                  <a:p>
                    <a:r>
                      <a:rPr lang="en-US"/>
                      <a:t>2,209</a:t>
                    </a:r>
                    <a:r>
                      <a:rPr lang="ru-RU"/>
                      <a:t>2</a:t>
                    </a:r>
                    <a:endParaRPr lang="en-US"/>
                  </a:p>
                </c:rich>
              </c:tx>
              <c:showLegendKey val="0"/>
              <c:showVal val="1"/>
              <c:showCatName val="0"/>
              <c:showSerName val="0"/>
              <c:showPercent val="0"/>
              <c:showBubbleSize val="0"/>
            </c:dLbl>
            <c:dLbl>
              <c:idx val="7"/>
              <c:delete val="1"/>
            </c:dLbl>
            <c:dLbl>
              <c:idx val="8"/>
              <c:layout>
                <c:manualLayout>
                  <c:x val="-1.4195180376991492E-2"/>
                  <c:y val="3.2407407407407406E-2"/>
                </c:manualLayout>
              </c:layout>
              <c:showLegendKey val="0"/>
              <c:showVal val="1"/>
              <c:showCatName val="0"/>
              <c:showSerName val="0"/>
              <c:showPercent val="0"/>
              <c:showBubbleSize val="0"/>
            </c:dLbl>
            <c:dLbl>
              <c:idx val="10"/>
              <c:layout>
                <c:manualLayout>
                  <c:x val="-3.1920431261387293E-2"/>
                  <c:y val="-4.1833472821045825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прочие'!$C$4:$M$4</c:f>
              <c:numCache>
                <c:formatCode>General</c:formatCode>
                <c:ptCount val="11"/>
                <c:pt idx="0">
                  <c:v>1.52681</c:v>
                </c:pt>
                <c:pt idx="1">
                  <c:v>1.8829199999999999</c:v>
                </c:pt>
                <c:pt idx="2">
                  <c:v>2.0374400000000001</c:v>
                </c:pt>
                <c:pt idx="3">
                  <c:v>2.1148600000000002</c:v>
                </c:pt>
                <c:pt idx="4">
                  <c:v>2.1571600000000002</c:v>
                </c:pt>
                <c:pt idx="5">
                  <c:v>2.1571600000000002</c:v>
                </c:pt>
                <c:pt idx="6">
                  <c:v>2.2091699999999999</c:v>
                </c:pt>
                <c:pt idx="7" formatCode="0.0000">
                  <c:v>2.29312</c:v>
                </c:pt>
                <c:pt idx="8">
                  <c:v>2.4994999999999998</c:v>
                </c:pt>
                <c:pt idx="9" formatCode="0.0000">
                  <c:v>2.7177099999999998</c:v>
                </c:pt>
                <c:pt idx="10" formatCode="0.0000">
                  <c:v>3.0873200000000001</c:v>
                </c:pt>
              </c:numCache>
            </c:numRef>
          </c:val>
          <c:smooth val="0"/>
        </c:ser>
        <c:ser>
          <c:idx val="2"/>
          <c:order val="1"/>
          <c:tx>
            <c:strRef>
              <c:f>'[Котловые 2015-2025.xlsx]Гр котел прочие'!$B$5</c:f>
              <c:strCache>
                <c:ptCount val="1"/>
                <c:pt idx="0">
                  <c:v>Новосибирск ВН</c:v>
                </c:pt>
              </c:strCache>
            </c:strRef>
          </c:tx>
          <c:spPr>
            <a:ln>
              <a:solidFill>
                <a:schemeClr val="accent2"/>
              </a:solidFill>
            </a:ln>
          </c:spPr>
          <c:marker>
            <c:symbol val="x"/>
            <c:size val="7"/>
            <c:spPr>
              <a:solidFill>
                <a:schemeClr val="accent2"/>
              </a:solidFill>
              <a:ln>
                <a:solidFill>
                  <a:schemeClr val="accent2"/>
                </a:solidFill>
              </a:ln>
            </c:spPr>
          </c:marker>
          <c:dLbls>
            <c:dLbl>
              <c:idx val="0"/>
              <c:layout>
                <c:manualLayout>
                  <c:x val="-4.5627376425855515E-2"/>
                  <c:y val="-5.5555555555555552E-2"/>
                </c:manualLayout>
              </c:layout>
              <c:tx>
                <c:rich>
                  <a:bodyPr/>
                  <a:lstStyle/>
                  <a:p>
                    <a:r>
                      <a:rPr lang="en-US"/>
                      <a:t>0,8567</a:t>
                    </a:r>
                  </a:p>
                </c:rich>
              </c:tx>
              <c:showLegendKey val="0"/>
              <c:showVal val="1"/>
              <c:showCatName val="0"/>
              <c:showSerName val="0"/>
              <c:showPercent val="0"/>
              <c:showBubbleSize val="0"/>
            </c:dLbl>
            <c:dLbl>
              <c:idx val="1"/>
              <c:delete val="1"/>
            </c:dLbl>
            <c:dLbl>
              <c:idx val="2"/>
              <c:layout>
                <c:manualLayout>
                  <c:x val="-4.0557667934093787E-2"/>
                  <c:y val="-5.0925925925925923E-2"/>
                </c:manualLayout>
              </c:layout>
              <c:tx>
                <c:rich>
                  <a:bodyPr/>
                  <a:lstStyle/>
                  <a:p>
                    <a:r>
                      <a:rPr lang="en-US"/>
                      <a:t>1,0766</a:t>
                    </a:r>
                  </a:p>
                </c:rich>
              </c:tx>
              <c:showLegendKey val="0"/>
              <c:showVal val="1"/>
              <c:showCatName val="0"/>
              <c:showSerName val="0"/>
              <c:showPercent val="0"/>
              <c:showBubbleSize val="0"/>
            </c:dLbl>
            <c:dLbl>
              <c:idx val="3"/>
              <c:delete val="1"/>
            </c:dLbl>
            <c:dLbl>
              <c:idx val="4"/>
              <c:layout>
                <c:manualLayout>
                  <c:x val="0"/>
                  <c:y val="-6.0185185185185182E-2"/>
                </c:manualLayout>
              </c:layout>
              <c:tx>
                <c:rich>
                  <a:bodyPr/>
                  <a:lstStyle/>
                  <a:p>
                    <a:r>
                      <a:rPr lang="en-US"/>
                      <a:t>1,112</a:t>
                    </a:r>
                    <a:r>
                      <a:rPr lang="ru-RU"/>
                      <a:t>7</a:t>
                    </a:r>
                    <a:endParaRPr lang="en-US"/>
                  </a:p>
                </c:rich>
              </c:tx>
              <c:showLegendKey val="0"/>
              <c:showVal val="1"/>
              <c:showCatName val="0"/>
              <c:showSerName val="0"/>
              <c:showPercent val="0"/>
              <c:showBubbleSize val="0"/>
            </c:dLbl>
            <c:dLbl>
              <c:idx val="5"/>
              <c:delete val="1"/>
            </c:dLbl>
            <c:dLbl>
              <c:idx val="6"/>
              <c:delete val="1"/>
            </c:dLbl>
            <c:dLbl>
              <c:idx val="7"/>
              <c:layout>
                <c:manualLayout>
                  <c:x val="-4.1415190358672818E-2"/>
                  <c:y val="-6.9444444444444448E-2"/>
                </c:manualLayout>
              </c:layout>
              <c:tx>
                <c:rich>
                  <a:bodyPr/>
                  <a:lstStyle/>
                  <a:p>
                    <a:r>
                      <a:rPr lang="en-US"/>
                      <a:t>1,293</a:t>
                    </a:r>
                    <a:r>
                      <a:rPr lang="ru-RU"/>
                      <a:t>7</a:t>
                    </a:r>
                    <a:endParaRPr lang="en-US"/>
                  </a:p>
                </c:rich>
              </c:tx>
              <c:showLegendKey val="0"/>
              <c:showVal val="1"/>
              <c:showCatName val="0"/>
              <c:showSerName val="0"/>
              <c:showPercent val="0"/>
              <c:showBubbleSize val="0"/>
            </c:dLbl>
            <c:dLbl>
              <c:idx val="8"/>
              <c:layout>
                <c:manualLayout>
                  <c:x val="-2.4334594931985285E-2"/>
                  <c:y val="3.7037037037037035E-2"/>
                </c:manualLayout>
              </c:layout>
              <c:tx>
                <c:rich>
                  <a:bodyPr/>
                  <a:lstStyle/>
                  <a:p>
                    <a:r>
                      <a:rPr lang="en-US"/>
                      <a:t>1,496</a:t>
                    </a:r>
                    <a:r>
                      <a:rPr lang="ru-RU"/>
                      <a:t>7</a:t>
                    </a:r>
                    <a:endParaRPr lang="en-US"/>
                  </a:p>
                </c:rich>
              </c:tx>
              <c:showLegendKey val="0"/>
              <c:showVal val="1"/>
              <c:showCatName val="0"/>
              <c:showSerName val="0"/>
              <c:showPercent val="0"/>
              <c:showBubbleSize val="0"/>
            </c:dLbl>
            <c:dLbl>
              <c:idx val="10"/>
              <c:layout>
                <c:manualLayout>
                  <c:x val="-2.693602122303972E-2"/>
                  <c:y val="-6.018518518518518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прочие'!$C$5:$M$5</c:f>
              <c:numCache>
                <c:formatCode>General</c:formatCode>
                <c:ptCount val="11"/>
                <c:pt idx="0">
                  <c:v>0.85670999999999997</c:v>
                </c:pt>
                <c:pt idx="1">
                  <c:v>0.92234000000000005</c:v>
                </c:pt>
                <c:pt idx="2">
                  <c:v>1.07663</c:v>
                </c:pt>
                <c:pt idx="3">
                  <c:v>1.07663</c:v>
                </c:pt>
                <c:pt idx="4">
                  <c:v>1.1126499999999999</c:v>
                </c:pt>
                <c:pt idx="5">
                  <c:v>1.1620699999999999</c:v>
                </c:pt>
                <c:pt idx="6">
                  <c:v>1.1853199999999999</c:v>
                </c:pt>
                <c:pt idx="7" formatCode="0.0000">
                  <c:v>1.2936799999999999</c:v>
                </c:pt>
                <c:pt idx="8" formatCode="0.0000">
                  <c:v>1.49668</c:v>
                </c:pt>
                <c:pt idx="9" formatCode="0.0000">
                  <c:v>1.58148</c:v>
                </c:pt>
                <c:pt idx="10" formatCode="0.0000">
                  <c:v>1.84592</c:v>
                </c:pt>
              </c:numCache>
            </c:numRef>
          </c:val>
          <c:smooth val="0"/>
        </c:ser>
        <c:ser>
          <c:idx val="0"/>
          <c:order val="2"/>
          <c:tx>
            <c:strRef>
              <c:f>'[Котловые 2015-2025.xlsx]Гр котел прочие'!$B$6</c:f>
              <c:strCache>
                <c:ptCount val="1"/>
                <c:pt idx="0">
                  <c:v>Минимальный тариф на уровне ВН</c:v>
                </c:pt>
              </c:strCache>
            </c:strRef>
          </c:tx>
          <c:spPr>
            <a:ln>
              <a:solidFill>
                <a:schemeClr val="accent3"/>
              </a:solidFill>
            </a:ln>
          </c:spPr>
          <c:marker>
            <c:symbol val="triangle"/>
            <c:size val="7"/>
            <c:spPr>
              <a:solidFill>
                <a:schemeClr val="accent3"/>
              </a:solidFill>
              <a:ln>
                <a:solidFill>
                  <a:schemeClr val="accent3"/>
                </a:solidFill>
              </a:ln>
            </c:spPr>
          </c:marker>
          <c:dLbls>
            <c:dLbl>
              <c:idx val="0"/>
              <c:layout>
                <c:manualLayout>
                  <c:x val="-5.0697084917617236E-2"/>
                  <c:y val="5.0925925925925923E-2"/>
                </c:manualLayout>
              </c:layout>
              <c:tx>
                <c:rich>
                  <a:bodyPr/>
                  <a:lstStyle/>
                  <a:p>
                    <a:r>
                      <a:rPr lang="en-US"/>
                      <a:t>0,6079</a:t>
                    </a:r>
                  </a:p>
                </c:rich>
              </c:tx>
              <c:showLegendKey val="0"/>
              <c:showVal val="1"/>
              <c:showCatName val="0"/>
              <c:showSerName val="0"/>
              <c:showPercent val="0"/>
              <c:showBubbleSize val="0"/>
            </c:dLbl>
            <c:dLbl>
              <c:idx val="1"/>
              <c:delete val="1"/>
            </c:dLbl>
            <c:dLbl>
              <c:idx val="2"/>
              <c:layout>
                <c:manualLayout>
                  <c:x val="-4.0557667934093787E-2"/>
                  <c:y val="6.0185185185185182E-2"/>
                </c:manualLayout>
              </c:layout>
              <c:tx>
                <c:rich>
                  <a:bodyPr/>
                  <a:lstStyle/>
                  <a:p>
                    <a:r>
                      <a:rPr lang="en-US"/>
                      <a:t>0,651</a:t>
                    </a:r>
                    <a:r>
                      <a:rPr lang="ru-RU"/>
                      <a:t>2</a:t>
                    </a:r>
                    <a:endParaRPr lang="en-US"/>
                  </a:p>
                </c:rich>
              </c:tx>
              <c:showLegendKey val="0"/>
              <c:showVal val="1"/>
              <c:showCatName val="0"/>
              <c:showSerName val="0"/>
              <c:showPercent val="0"/>
              <c:showBubbleSize val="0"/>
            </c:dLbl>
            <c:dLbl>
              <c:idx val="3"/>
              <c:delete val="1"/>
            </c:dLbl>
            <c:dLbl>
              <c:idx val="4"/>
              <c:delete val="1"/>
            </c:dLbl>
            <c:dLbl>
              <c:idx val="5"/>
              <c:delete val="1"/>
            </c:dLbl>
            <c:dLbl>
              <c:idx val="6"/>
              <c:layout>
                <c:manualLayout>
                  <c:x val="-4.8162230671736375E-2"/>
                  <c:y val="6.4814814814814811E-2"/>
                </c:manualLayout>
              </c:layout>
              <c:tx>
                <c:rich>
                  <a:bodyPr/>
                  <a:lstStyle/>
                  <a:p>
                    <a:r>
                      <a:rPr lang="en-US"/>
                      <a:t>0,7089</a:t>
                    </a:r>
                  </a:p>
                </c:rich>
              </c:tx>
              <c:showLegendKey val="0"/>
              <c:showVal val="1"/>
              <c:showCatName val="0"/>
              <c:showSerName val="0"/>
              <c:showPercent val="0"/>
              <c:showBubbleSize val="0"/>
            </c:dLbl>
            <c:dLbl>
              <c:idx val="7"/>
              <c:delete val="1"/>
            </c:dLbl>
            <c:dLbl>
              <c:idx val="8"/>
              <c:layout>
                <c:manualLayout>
                  <c:x val="-2.8485193631173737E-2"/>
                  <c:y val="7.0478207030843745E-2"/>
                </c:manualLayout>
              </c:layout>
              <c:tx>
                <c:rich>
                  <a:bodyPr/>
                  <a:lstStyle/>
                  <a:p>
                    <a:r>
                      <a:rPr lang="en-US"/>
                      <a:t>0,7997</a:t>
                    </a:r>
                  </a:p>
                </c:rich>
              </c:tx>
              <c:showLegendKey val="0"/>
              <c:showVal val="1"/>
              <c:showCatName val="0"/>
              <c:showSerName val="0"/>
              <c:showPercent val="0"/>
              <c:showBubbleSize val="0"/>
            </c:dLbl>
            <c:dLbl>
              <c:idx val="9"/>
              <c:layout>
                <c:manualLayout>
                  <c:x val="-1.7554742707437485E-2"/>
                  <c:y val="3.2907895810232339E-2"/>
                </c:manualLayout>
              </c:layout>
              <c:showLegendKey val="0"/>
              <c:showVal val="1"/>
              <c:showCatName val="0"/>
              <c:showSerName val="0"/>
              <c:showPercent val="0"/>
              <c:showBubbleSize val="0"/>
            </c:dLbl>
            <c:dLbl>
              <c:idx val="10"/>
              <c:layout>
                <c:manualLayout>
                  <c:x val="-2.8886215691126427E-2"/>
                  <c:y val="-4.166654077522948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прочие'!$C$6:$M$6</c:f>
              <c:numCache>
                <c:formatCode>General</c:formatCode>
                <c:ptCount val="11"/>
                <c:pt idx="0">
                  <c:v>0.60790999999999995</c:v>
                </c:pt>
                <c:pt idx="1">
                  <c:v>0.63831000000000004</c:v>
                </c:pt>
                <c:pt idx="2">
                  <c:v>0.65115000000000001</c:v>
                </c:pt>
                <c:pt idx="3">
                  <c:v>0.66752999999999996</c:v>
                </c:pt>
                <c:pt idx="4">
                  <c:v>0.69059000000000004</c:v>
                </c:pt>
                <c:pt idx="5">
                  <c:v>0.68964999999999999</c:v>
                </c:pt>
                <c:pt idx="6">
                  <c:v>0.70894000000000001</c:v>
                </c:pt>
                <c:pt idx="7" formatCode="0.0000">
                  <c:v>0.73372000000000004</c:v>
                </c:pt>
                <c:pt idx="8" formatCode="0.0000">
                  <c:v>0.79974999999999996</c:v>
                </c:pt>
                <c:pt idx="9" formatCode="0.0000">
                  <c:v>0.87892999999999999</c:v>
                </c:pt>
                <c:pt idx="10" formatCode="0.0000">
                  <c:v>0.98089000000000004</c:v>
                </c:pt>
              </c:numCache>
            </c:numRef>
          </c:val>
          <c:smooth val="0"/>
        </c:ser>
        <c:dLbls>
          <c:showLegendKey val="0"/>
          <c:showVal val="1"/>
          <c:showCatName val="0"/>
          <c:showSerName val="0"/>
          <c:showPercent val="0"/>
          <c:showBubbleSize val="0"/>
        </c:dLbls>
        <c:marker val="1"/>
        <c:smooth val="0"/>
        <c:axId val="217094144"/>
        <c:axId val="209254592"/>
      </c:lineChart>
      <c:catAx>
        <c:axId val="217094144"/>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09254592"/>
        <c:crosses val="autoZero"/>
        <c:auto val="1"/>
        <c:lblAlgn val="ctr"/>
        <c:lblOffset val="100"/>
        <c:noMultiLvlLbl val="0"/>
      </c:catAx>
      <c:valAx>
        <c:axId val="209254592"/>
        <c:scaling>
          <c:orientation val="minMax"/>
        </c:scaling>
        <c:delete val="0"/>
        <c:axPos val="l"/>
        <c:majorGridlines/>
        <c:numFmt formatCode="General" sourceLinked="1"/>
        <c:majorTickMark val="none"/>
        <c:minorTickMark val="none"/>
        <c:tickLblPos val="nextTo"/>
        <c:crossAx val="217094144"/>
        <c:crosses val="autoZero"/>
        <c:crossBetween val="between"/>
      </c:valAx>
    </c:plotArea>
    <c:legend>
      <c:legendPos val="r"/>
      <c:layout>
        <c:manualLayout>
          <c:xMode val="edge"/>
          <c:yMode val="edge"/>
          <c:x val="0.77566139157041336"/>
          <c:y val="0.2793576844561097"/>
          <c:w val="0.2053890172411032"/>
          <c:h val="0.5810068533100027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Times New Roman" panose="02020603050405020304" pitchFamily="18" charset="0"/>
                <a:cs typeface="Times New Roman" panose="02020603050405020304" pitchFamily="18" charset="0"/>
              </a:defRPr>
            </a:pPr>
            <a:r>
              <a:rPr lang="ru-RU" sz="1100">
                <a:latin typeface="Times New Roman" panose="02020603050405020304" pitchFamily="18" charset="0"/>
                <a:cs typeface="Times New Roman" panose="02020603050405020304" pitchFamily="18" charset="0"/>
              </a:rPr>
              <a:t>Динамика ЭОТ по уровню ВН, руб./кВт ч</a:t>
            </a:r>
          </a:p>
        </c:rich>
      </c:tx>
      <c:overlay val="0"/>
    </c:title>
    <c:autoTitleDeleted val="0"/>
    <c:plotArea>
      <c:layout>
        <c:manualLayout>
          <c:layoutTarget val="inner"/>
          <c:xMode val="edge"/>
          <c:yMode val="edge"/>
          <c:x val="9.9761843663195612E-2"/>
          <c:y val="0.13512268732076066"/>
          <c:w val="0.64520763968343031"/>
          <c:h val="0.72952176618249698"/>
        </c:manualLayout>
      </c:layout>
      <c:lineChart>
        <c:grouping val="standard"/>
        <c:varyColors val="0"/>
        <c:ser>
          <c:idx val="0"/>
          <c:order val="0"/>
          <c:tx>
            <c:strRef>
              <c:f>'[Котловые 2015-2025.xlsx]Гр ЭОТ котел'!$B$4</c:f>
              <c:strCache>
                <c:ptCount val="1"/>
                <c:pt idx="0">
                  <c:v>Максимальный тариф на уровне ВН</c:v>
                </c:pt>
              </c:strCache>
            </c:strRef>
          </c:tx>
          <c:dLbls>
            <c:dLbl>
              <c:idx val="0"/>
              <c:layout>
                <c:manualLayout>
                  <c:x val="-3.8167938931297711E-2"/>
                  <c:y val="-3.6330608537692974E-2"/>
                </c:manualLayout>
              </c:layout>
              <c:showLegendKey val="0"/>
              <c:showVal val="1"/>
              <c:showCatName val="0"/>
              <c:showSerName val="0"/>
              <c:showPercent val="0"/>
              <c:showBubbleSize val="0"/>
            </c:dLbl>
            <c:dLbl>
              <c:idx val="2"/>
              <c:layout>
                <c:manualLayout>
                  <c:x val="-1.7811704834605598E-2"/>
                  <c:y val="-4.3596730245231571E-2"/>
                </c:manualLayout>
              </c:layout>
              <c:showLegendKey val="0"/>
              <c:showVal val="1"/>
              <c:showCatName val="0"/>
              <c:showSerName val="0"/>
              <c:showPercent val="0"/>
              <c:showBubbleSize val="0"/>
            </c:dLbl>
            <c:dLbl>
              <c:idx val="3"/>
              <c:layout>
                <c:manualLayout>
                  <c:x val="-2.2900763358778671E-2"/>
                  <c:y val="4.3596730245231606E-2"/>
                </c:manualLayout>
              </c:layout>
              <c:showLegendKey val="0"/>
              <c:showVal val="1"/>
              <c:showCatName val="0"/>
              <c:showSerName val="0"/>
              <c:showPercent val="0"/>
              <c:showBubbleSize val="0"/>
            </c:dLbl>
            <c:dLbl>
              <c:idx val="4"/>
              <c:delete val="1"/>
            </c:dLbl>
            <c:dLbl>
              <c:idx val="5"/>
              <c:layout>
                <c:manualLayout>
                  <c:x val="-5.5979643765903309E-2"/>
                  <c:y val="-3.2697547683923703E-2"/>
                </c:manualLayout>
              </c:layout>
              <c:showLegendKey val="0"/>
              <c:showVal val="1"/>
              <c:showCatName val="0"/>
              <c:showSerName val="0"/>
              <c:showPercent val="0"/>
              <c:showBubbleSize val="0"/>
            </c:dLbl>
            <c:dLbl>
              <c:idx val="6"/>
              <c:layout>
                <c:manualLayout>
                  <c:x val="-3.8453868147106454E-2"/>
                  <c:y val="4.3186293785112864E-2"/>
                </c:manualLayout>
              </c:layout>
              <c:showLegendKey val="0"/>
              <c:showVal val="1"/>
              <c:showCatName val="0"/>
              <c:showSerName val="0"/>
              <c:showPercent val="0"/>
              <c:showBubbleSize val="0"/>
            </c:dLbl>
            <c:dLbl>
              <c:idx val="7"/>
              <c:tx>
                <c:rich>
                  <a:bodyPr/>
                  <a:lstStyle/>
                  <a:p>
                    <a:r>
                      <a:rPr lang="en-US" b="0"/>
                      <a:t>2,352</a:t>
                    </a:r>
                    <a:r>
                      <a:rPr lang="ru-RU" b="0"/>
                      <a:t>6</a:t>
                    </a:r>
                    <a:endParaRPr lang="en-US"/>
                  </a:p>
                </c:rich>
              </c:tx>
              <c:showLegendKey val="0"/>
              <c:showVal val="1"/>
              <c:showCatName val="0"/>
              <c:showSerName val="0"/>
              <c:showPercent val="0"/>
              <c:showBubbleSize val="0"/>
            </c:dLbl>
            <c:dLbl>
              <c:idx val="8"/>
              <c:layout>
                <c:manualLayout>
                  <c:x val="-4.2666659499563759E-3"/>
                  <c:y val="1.8165304268846504E-2"/>
                </c:manualLayout>
              </c:layout>
              <c:tx>
                <c:rich>
                  <a:bodyPr/>
                  <a:lstStyle/>
                  <a:p>
                    <a:r>
                      <a:rPr lang="en-US" b="0"/>
                      <a:t>2,93</a:t>
                    </a:r>
                    <a:r>
                      <a:rPr lang="ru-RU" b="0"/>
                      <a:t>1</a:t>
                    </a:r>
                    <a:r>
                      <a:rPr lang="en-US" b="0"/>
                      <a:t>6</a:t>
                    </a:r>
                    <a:endParaRPr lang="en-US"/>
                  </a:p>
                </c:rich>
              </c:tx>
              <c:showLegendKey val="0"/>
              <c:showVal val="1"/>
              <c:showCatName val="0"/>
              <c:showSerName val="0"/>
              <c:showPercent val="0"/>
              <c:showBubbleSize val="0"/>
            </c:dLbl>
            <c:dLbl>
              <c:idx val="9"/>
              <c:layout>
                <c:manualLayout>
                  <c:x val="-1.6594514826855925E-2"/>
                  <c:y val="2.8305205897289319E-2"/>
                </c:manualLayout>
              </c:layout>
              <c:showLegendKey val="0"/>
              <c:showVal val="1"/>
              <c:showCatName val="0"/>
              <c:showSerName val="0"/>
              <c:showPercent val="0"/>
              <c:showBubbleSize val="0"/>
            </c:dLbl>
            <c:dLbl>
              <c:idx val="10"/>
              <c:layout>
                <c:manualLayout>
                  <c:x val="-1.2445886120142E-2"/>
                  <c:y val="-2.4261605054819467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котел'!$C$4:$M$4</c:f>
              <c:numCache>
                <c:formatCode>0.0000</c:formatCode>
                <c:ptCount val="11"/>
                <c:pt idx="0">
                  <c:v>1.7731699999999999</c:v>
                </c:pt>
                <c:pt idx="1">
                  <c:v>1.7277</c:v>
                </c:pt>
                <c:pt idx="2">
                  <c:v>2.0374400000000001</c:v>
                </c:pt>
                <c:pt idx="3">
                  <c:v>1.87982</c:v>
                </c:pt>
                <c:pt idx="4">
                  <c:v>2.0329000000000002</c:v>
                </c:pt>
                <c:pt idx="5">
                  <c:v>2.2343899999999999</c:v>
                </c:pt>
                <c:pt idx="6">
                  <c:v>2.2945799999999998</c:v>
                </c:pt>
                <c:pt idx="7">
                  <c:v>2.3525499999999999</c:v>
                </c:pt>
                <c:pt idx="8">
                  <c:v>2.9315600000000002</c:v>
                </c:pt>
                <c:pt idx="9">
                  <c:v>3.4068700000000001</c:v>
                </c:pt>
                <c:pt idx="10">
                  <c:v>3.74966</c:v>
                </c:pt>
              </c:numCache>
            </c:numRef>
          </c:val>
          <c:smooth val="0"/>
        </c:ser>
        <c:ser>
          <c:idx val="1"/>
          <c:order val="1"/>
          <c:tx>
            <c:strRef>
              <c:f>'[Котловые 2015-2025.xlsx]Гр ЭОТ котел'!$B$5</c:f>
              <c:strCache>
                <c:ptCount val="1"/>
                <c:pt idx="0">
                  <c:v>Новосибирск ВН</c:v>
                </c:pt>
              </c:strCache>
            </c:strRef>
          </c:tx>
          <c:dLbls>
            <c:dLbl>
              <c:idx val="0"/>
              <c:layout>
                <c:manualLayout>
                  <c:x val="-3.3078880407124679E-2"/>
                  <c:y val="-5.4495912806539509E-2"/>
                </c:manualLayout>
              </c:layout>
              <c:showLegendKey val="0"/>
              <c:showVal val="1"/>
              <c:showCatName val="0"/>
              <c:showSerName val="0"/>
              <c:showPercent val="0"/>
              <c:showBubbleSize val="0"/>
            </c:dLbl>
            <c:dLbl>
              <c:idx val="1"/>
              <c:delete val="1"/>
            </c:dLbl>
            <c:dLbl>
              <c:idx val="2"/>
              <c:delete val="1"/>
            </c:dLbl>
            <c:dLbl>
              <c:idx val="3"/>
              <c:delete val="1"/>
            </c:dLbl>
            <c:dLbl>
              <c:idx val="4"/>
              <c:delete val="1"/>
            </c:dLbl>
            <c:dLbl>
              <c:idx val="5"/>
              <c:layout>
                <c:manualLayout>
                  <c:x val="-5.2632100232753921E-2"/>
                  <c:y val="-5.8128973660308808E-2"/>
                </c:manualLayout>
              </c:layout>
              <c:showLegendKey val="0"/>
              <c:showVal val="1"/>
              <c:showCatName val="0"/>
              <c:showSerName val="0"/>
              <c:showPercent val="0"/>
              <c:showBubbleSize val="0"/>
            </c:dLbl>
            <c:dLbl>
              <c:idx val="6"/>
              <c:delete val="1"/>
            </c:dLbl>
            <c:dLbl>
              <c:idx val="7"/>
              <c:layout>
                <c:manualLayout>
                  <c:x val="-5.1963371201820173E-2"/>
                  <c:y val="-4.3756218628264135E-2"/>
                </c:manualLayout>
              </c:layout>
              <c:tx>
                <c:rich>
                  <a:bodyPr/>
                  <a:lstStyle/>
                  <a:p>
                    <a:r>
                      <a:rPr lang="en-US" b="0"/>
                      <a:t>0,66</a:t>
                    </a:r>
                    <a:r>
                      <a:rPr lang="ru-RU" b="0"/>
                      <a:t>20</a:t>
                    </a:r>
                    <a:endParaRPr lang="en-US"/>
                  </a:p>
                </c:rich>
              </c:tx>
              <c:showLegendKey val="0"/>
              <c:showVal val="1"/>
              <c:showCatName val="0"/>
              <c:showSerName val="0"/>
              <c:showPercent val="0"/>
              <c:showBubbleSize val="0"/>
            </c:dLbl>
            <c:dLbl>
              <c:idx val="8"/>
              <c:delete val="1"/>
            </c:dLbl>
            <c:dLbl>
              <c:idx val="9"/>
              <c:layout>
                <c:manualLayout>
                  <c:x val="-4.7060476063310611E-2"/>
                  <c:y val="-3.9963512074287631E-2"/>
                </c:manualLayout>
              </c:layout>
              <c:showLegendKey val="0"/>
              <c:showVal val="1"/>
              <c:showCatName val="0"/>
              <c:showSerName val="0"/>
              <c:showPercent val="0"/>
              <c:showBubbleSize val="0"/>
            </c:dLbl>
            <c:dLbl>
              <c:idx val="10"/>
              <c:layout>
                <c:manualLayout>
                  <c:x val="-4.1684081923983728E-2"/>
                  <c:y val="-6.9439451853290521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котел'!$C$5:$M$5</c:f>
              <c:numCache>
                <c:formatCode>0.0000</c:formatCode>
                <c:ptCount val="11"/>
                <c:pt idx="0">
                  <c:v>0.47765999999999997</c:v>
                </c:pt>
                <c:pt idx="1">
                  <c:v>0.35558000000000001</c:v>
                </c:pt>
                <c:pt idx="2">
                  <c:v>0.37317</c:v>
                </c:pt>
                <c:pt idx="3">
                  <c:v>0.34993000000000002</c:v>
                </c:pt>
                <c:pt idx="4">
                  <c:v>0.38852999999999999</c:v>
                </c:pt>
                <c:pt idx="5">
                  <c:v>0.44990000000000002</c:v>
                </c:pt>
                <c:pt idx="6">
                  <c:v>0.46826000000000001</c:v>
                </c:pt>
                <c:pt idx="7">
                  <c:v>0.66195999999999999</c:v>
                </c:pt>
                <c:pt idx="8">
                  <c:v>0.62136999999999998</c:v>
                </c:pt>
                <c:pt idx="9">
                  <c:v>0.67771000000000003</c:v>
                </c:pt>
                <c:pt idx="10">
                  <c:v>0.74539999999999995</c:v>
                </c:pt>
              </c:numCache>
            </c:numRef>
          </c:val>
          <c:smooth val="0"/>
        </c:ser>
        <c:ser>
          <c:idx val="2"/>
          <c:order val="2"/>
          <c:tx>
            <c:strRef>
              <c:f>'[Котловые 2015-2025.xlsx]Гр ЭОТ котел'!$B$6</c:f>
              <c:strCache>
                <c:ptCount val="1"/>
                <c:pt idx="0">
                  <c:v>Минимальный тариф на уровне ВН</c:v>
                </c:pt>
              </c:strCache>
            </c:strRef>
          </c:tx>
          <c:dLbls>
            <c:dLbl>
              <c:idx val="0"/>
              <c:layout>
                <c:manualLayout>
                  <c:x val="-4.5331445217276264E-2"/>
                  <c:y val="3.5099092100173049E-2"/>
                </c:manualLayout>
              </c:layout>
              <c:showLegendKey val="0"/>
              <c:showVal val="1"/>
              <c:showCatName val="0"/>
              <c:showSerName val="0"/>
              <c:showPercent val="0"/>
              <c:showBubbleSize val="0"/>
            </c:dLbl>
            <c:dLbl>
              <c:idx val="1"/>
              <c:layout>
                <c:manualLayout>
                  <c:x val="-4.8346055979643768E-2"/>
                  <c:y val="-4.3596730245231606E-2"/>
                </c:manualLayout>
              </c:layout>
              <c:showLegendKey val="0"/>
              <c:showVal val="1"/>
              <c:showCatName val="0"/>
              <c:showSerName val="0"/>
              <c:showPercent val="0"/>
              <c:showBubbleSize val="0"/>
            </c:dLbl>
            <c:dLbl>
              <c:idx val="2"/>
              <c:layout>
                <c:manualLayout>
                  <c:x val="5.0890585241730284E-3"/>
                  <c:y val="-1.0899182561307902E-2"/>
                </c:manualLayout>
              </c:layout>
              <c:showLegendKey val="0"/>
              <c:showVal val="1"/>
              <c:showCatName val="0"/>
              <c:showSerName val="0"/>
              <c:showPercent val="0"/>
              <c:showBubbleSize val="0"/>
            </c:dLbl>
            <c:dLbl>
              <c:idx val="3"/>
              <c:delete val="1"/>
            </c:dLbl>
            <c:dLbl>
              <c:idx val="4"/>
              <c:delete val="1"/>
            </c:dLbl>
            <c:dLbl>
              <c:idx val="5"/>
              <c:layout>
                <c:manualLayout>
                  <c:x val="-4.6028485626103087E-2"/>
                  <c:y val="3.9553158362281141E-2"/>
                </c:manualLayout>
              </c:layout>
              <c:showLegendKey val="0"/>
              <c:showVal val="1"/>
              <c:showCatName val="0"/>
              <c:showSerName val="0"/>
              <c:showPercent val="0"/>
              <c:showBubbleSize val="0"/>
            </c:dLbl>
            <c:dLbl>
              <c:idx val="6"/>
              <c:delete val="1"/>
            </c:dLbl>
            <c:dLbl>
              <c:idx val="7"/>
              <c:layout>
                <c:manualLayout>
                  <c:x val="-4.8825439913891454E-2"/>
                  <c:y val="3.8823483466468266E-2"/>
                </c:manualLayout>
              </c:layout>
              <c:tx>
                <c:rich>
                  <a:bodyPr/>
                  <a:lstStyle/>
                  <a:p>
                    <a:r>
                      <a:rPr lang="en-US" b="0"/>
                      <a:t>0,469</a:t>
                    </a:r>
                    <a:r>
                      <a:rPr lang="ru-RU" b="0"/>
                      <a:t>4</a:t>
                    </a:r>
                    <a:endParaRPr lang="en-US"/>
                  </a:p>
                </c:rich>
              </c:tx>
              <c:showLegendKey val="0"/>
              <c:showVal val="1"/>
              <c:showCatName val="0"/>
              <c:showSerName val="0"/>
              <c:showPercent val="0"/>
              <c:showBubbleSize val="0"/>
            </c:dLbl>
            <c:dLbl>
              <c:idx val="8"/>
              <c:delete val="1"/>
            </c:dLbl>
            <c:dLbl>
              <c:idx val="9"/>
              <c:layout>
                <c:manualLayout>
                  <c:x val="-4.5634915773854E-2"/>
                  <c:y val="5.0171853035804972E-2"/>
                </c:manualLayout>
              </c:layout>
              <c:showLegendKey val="0"/>
              <c:showVal val="1"/>
              <c:showCatName val="0"/>
              <c:showSerName val="0"/>
              <c:showPercent val="0"/>
              <c:showBubbleSize val="0"/>
            </c:dLbl>
            <c:dLbl>
              <c:idx val="10"/>
              <c:layout>
                <c:manualLayout>
                  <c:x val="-3.4600053409511305E-2"/>
                  <c:y val="5.1547314109778988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котел'!$C$3:$M$3</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котел'!$C$6:$M$6</c:f>
              <c:numCache>
                <c:formatCode>0.0000</c:formatCode>
                <c:ptCount val="11"/>
                <c:pt idx="0">
                  <c:v>0.30116999999999999</c:v>
                </c:pt>
                <c:pt idx="1">
                  <c:v>0.34237000000000001</c:v>
                </c:pt>
                <c:pt idx="2">
                  <c:v>2.8709999999999999E-2</c:v>
                </c:pt>
                <c:pt idx="3">
                  <c:v>0.34532000000000002</c:v>
                </c:pt>
                <c:pt idx="4">
                  <c:v>0.31967000000000001</c:v>
                </c:pt>
                <c:pt idx="5">
                  <c:v>0.32274000000000003</c:v>
                </c:pt>
                <c:pt idx="6">
                  <c:v>0.46826000000000001</c:v>
                </c:pt>
                <c:pt idx="7">
                  <c:v>0.46938999999999997</c:v>
                </c:pt>
                <c:pt idx="8">
                  <c:v>0.49911</c:v>
                </c:pt>
                <c:pt idx="9">
                  <c:v>0.62875000000000003</c:v>
                </c:pt>
                <c:pt idx="10">
                  <c:v>0.69628000000000001</c:v>
                </c:pt>
              </c:numCache>
            </c:numRef>
          </c:val>
          <c:smooth val="0"/>
        </c:ser>
        <c:dLbls>
          <c:showLegendKey val="0"/>
          <c:showVal val="1"/>
          <c:showCatName val="0"/>
          <c:showSerName val="0"/>
          <c:showPercent val="0"/>
          <c:showBubbleSize val="0"/>
        </c:dLbls>
        <c:marker val="1"/>
        <c:smooth val="0"/>
        <c:axId val="217095680"/>
        <c:axId val="209255744"/>
      </c:lineChart>
      <c:catAx>
        <c:axId val="217095680"/>
        <c:scaling>
          <c:orientation val="minMax"/>
        </c:scaling>
        <c:delete val="0"/>
        <c:axPos val="b"/>
        <c:majorTickMark val="none"/>
        <c:minorTickMark val="none"/>
        <c:tickLblPos val="nextTo"/>
        <c:crossAx val="209255744"/>
        <c:crosses val="autoZero"/>
        <c:auto val="1"/>
        <c:lblAlgn val="ctr"/>
        <c:lblOffset val="100"/>
        <c:noMultiLvlLbl val="0"/>
      </c:catAx>
      <c:valAx>
        <c:axId val="209255744"/>
        <c:scaling>
          <c:orientation val="minMax"/>
        </c:scaling>
        <c:delete val="0"/>
        <c:axPos val="l"/>
        <c:majorGridlines/>
        <c:numFmt formatCode="0.0000" sourceLinked="1"/>
        <c:majorTickMark val="none"/>
        <c:minorTickMark val="none"/>
        <c:tickLblPos val="nextTo"/>
        <c:crossAx val="217095680"/>
        <c:crosses val="autoZero"/>
        <c:crossBetween val="between"/>
      </c:valAx>
    </c:plotArea>
    <c:legend>
      <c:legendPos val="r"/>
      <c:layout>
        <c:manualLayout>
          <c:xMode val="edge"/>
          <c:yMode val="edge"/>
          <c:x val="0.77470169481282569"/>
          <c:y val="0.29506072418414564"/>
          <c:w val="0.20951522293571015"/>
          <c:h val="0.45487930482118794"/>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Times New Roman" panose="02020603050405020304" pitchFamily="18" charset="0"/>
                <a:cs typeface="Times New Roman" panose="02020603050405020304" pitchFamily="18" charset="0"/>
              </a:defRPr>
            </a:pPr>
            <a:r>
              <a:rPr lang="ru-RU" sz="1100">
                <a:latin typeface="Times New Roman" panose="02020603050405020304" pitchFamily="18" charset="0"/>
                <a:cs typeface="Times New Roman" panose="02020603050405020304" pitchFamily="18" charset="0"/>
              </a:rPr>
              <a:t>Динамика тарифов по прочим потребителям</a:t>
            </a:r>
            <a:r>
              <a:rPr lang="ru-RU" sz="1100" baseline="0">
                <a:latin typeface="Times New Roman" panose="02020603050405020304" pitchFamily="18" charset="0"/>
                <a:cs typeface="Times New Roman" panose="02020603050405020304" pitchFamily="18" charset="0"/>
              </a:rPr>
              <a:t> на уровне</a:t>
            </a:r>
          </a:p>
          <a:p>
            <a:pPr>
              <a:defRPr sz="1100">
                <a:latin typeface="Times New Roman" panose="02020603050405020304" pitchFamily="18" charset="0"/>
                <a:cs typeface="Times New Roman" panose="02020603050405020304" pitchFamily="18" charset="0"/>
              </a:defRPr>
            </a:pPr>
            <a:r>
              <a:rPr lang="ru-RU" sz="1100" baseline="0">
                <a:latin typeface="Times New Roman" panose="02020603050405020304" pitchFamily="18" charset="0"/>
                <a:cs typeface="Times New Roman" panose="02020603050405020304" pitchFamily="18" charset="0"/>
              </a:rPr>
              <a:t> СН-1, руб./кВт ч</a:t>
            </a:r>
            <a:endParaRPr lang="ru-RU" sz="1100">
              <a:latin typeface="Times New Roman" panose="02020603050405020304" pitchFamily="18" charset="0"/>
              <a:cs typeface="Times New Roman" panose="02020603050405020304" pitchFamily="18" charset="0"/>
            </a:endParaRPr>
          </a:p>
        </c:rich>
      </c:tx>
      <c:overlay val="0"/>
    </c:title>
    <c:autoTitleDeleted val="0"/>
    <c:plotArea>
      <c:layout>
        <c:manualLayout>
          <c:layoutTarget val="inner"/>
          <c:xMode val="edge"/>
          <c:yMode val="edge"/>
          <c:x val="7.0542187813115539E-2"/>
          <c:y val="0.25130796150481188"/>
          <c:w val="0.64822601315143158"/>
          <c:h val="0.57620771361913092"/>
        </c:manualLayout>
      </c:layout>
      <c:lineChart>
        <c:grouping val="standard"/>
        <c:varyColors val="0"/>
        <c:ser>
          <c:idx val="1"/>
          <c:order val="0"/>
          <c:tx>
            <c:strRef>
              <c:f>'[Котловые 2015-2025.xlsx]Гр котел прочие'!$B$8</c:f>
              <c:strCache>
                <c:ptCount val="1"/>
                <c:pt idx="0">
                  <c:v>Максимальный тариф на уровне СН 1</c:v>
                </c:pt>
              </c:strCache>
            </c:strRef>
          </c:tx>
          <c:spPr>
            <a:ln>
              <a:solidFill>
                <a:schemeClr val="accent1"/>
              </a:solidFill>
            </a:ln>
          </c:spPr>
          <c:marker>
            <c:symbol val="diamond"/>
            <c:size val="7"/>
            <c:spPr>
              <a:solidFill>
                <a:schemeClr val="accent1"/>
              </a:solidFill>
              <a:ln>
                <a:solidFill>
                  <a:schemeClr val="accent1"/>
                </a:solidFill>
              </a:ln>
            </c:spPr>
          </c:marker>
          <c:dLbls>
            <c:dLbl>
              <c:idx val="0"/>
              <c:layout>
                <c:manualLayout>
                  <c:x val="-1.1111111111111112E-2"/>
                  <c:y val="2.7777777777777776E-2"/>
                </c:manualLayout>
              </c:layout>
              <c:tx>
                <c:rich>
                  <a:bodyPr/>
                  <a:lstStyle/>
                  <a:p>
                    <a:r>
                      <a:rPr lang="en-US"/>
                      <a:t>2,0559</a:t>
                    </a:r>
                  </a:p>
                </c:rich>
              </c:tx>
              <c:showLegendKey val="0"/>
              <c:showVal val="1"/>
              <c:showCatName val="0"/>
              <c:showSerName val="0"/>
              <c:showPercent val="0"/>
              <c:showBubbleSize val="0"/>
            </c:dLbl>
            <c:dLbl>
              <c:idx val="1"/>
              <c:tx>
                <c:rich>
                  <a:bodyPr/>
                  <a:lstStyle/>
                  <a:p>
                    <a:r>
                      <a:rPr lang="en-US"/>
                      <a:t>2,3589</a:t>
                    </a:r>
                  </a:p>
                </c:rich>
              </c:tx>
              <c:showLegendKey val="0"/>
              <c:showVal val="1"/>
              <c:showCatName val="0"/>
              <c:showSerName val="0"/>
              <c:showPercent val="0"/>
              <c:showBubbleSize val="0"/>
            </c:dLbl>
            <c:dLbl>
              <c:idx val="2"/>
              <c:layout>
                <c:manualLayout>
                  <c:x val="-5.2777777777777778E-2"/>
                  <c:y val="-6.4814814814814811E-2"/>
                </c:manualLayout>
              </c:layout>
              <c:tx>
                <c:rich>
                  <a:bodyPr/>
                  <a:lstStyle/>
                  <a:p>
                    <a:r>
                      <a:rPr lang="en-US"/>
                      <a:t>2,8938</a:t>
                    </a:r>
                  </a:p>
                </c:rich>
              </c:tx>
              <c:showLegendKey val="0"/>
              <c:showVal val="1"/>
              <c:showCatName val="0"/>
              <c:showSerName val="0"/>
              <c:showPercent val="0"/>
              <c:showBubbleSize val="0"/>
            </c:dLbl>
            <c:dLbl>
              <c:idx val="3"/>
              <c:delete val="1"/>
            </c:dLbl>
            <c:dLbl>
              <c:idx val="4"/>
              <c:delete val="1"/>
            </c:dLbl>
            <c:dLbl>
              <c:idx val="5"/>
              <c:delete val="1"/>
            </c:dLbl>
            <c:dLbl>
              <c:idx val="6"/>
              <c:layout>
                <c:manualLayout>
                  <c:x val="-7.3821264969122266E-2"/>
                  <c:y val="-4.1666666666666664E-2"/>
                </c:manualLayout>
              </c:layout>
              <c:tx>
                <c:rich>
                  <a:bodyPr/>
                  <a:lstStyle/>
                  <a:p>
                    <a:r>
                      <a:rPr lang="en-US"/>
                      <a:t>3,1557</a:t>
                    </a:r>
                  </a:p>
                </c:rich>
              </c:tx>
              <c:showLegendKey val="0"/>
              <c:showVal val="1"/>
              <c:showCatName val="0"/>
              <c:showSerName val="0"/>
              <c:showPercent val="0"/>
              <c:showBubbleSize val="0"/>
            </c:dLbl>
            <c:dLbl>
              <c:idx val="7"/>
              <c:delete val="1"/>
            </c:dLbl>
            <c:dLbl>
              <c:idx val="8"/>
              <c:layout>
                <c:manualLayout>
                  <c:x val="-1.8623595127532134E-2"/>
                  <c:y val="2.3147783610381993E-2"/>
                </c:manualLayout>
              </c:layout>
              <c:tx>
                <c:rich>
                  <a:bodyPr/>
                  <a:lstStyle/>
                  <a:p>
                    <a:r>
                      <a:rPr lang="en-US"/>
                      <a:t>3,570</a:t>
                    </a:r>
                    <a:r>
                      <a:rPr lang="ru-RU"/>
                      <a:t>5</a:t>
                    </a:r>
                    <a:endParaRPr lang="en-US"/>
                  </a:p>
                </c:rich>
              </c:tx>
              <c:showLegendKey val="0"/>
              <c:showVal val="1"/>
              <c:showCatName val="0"/>
              <c:showSerName val="0"/>
              <c:showPercent val="0"/>
              <c:showBubbleSize val="0"/>
            </c:dLbl>
            <c:dLbl>
              <c:idx val="9"/>
              <c:layout>
                <c:manualLayout>
                  <c:x val="-5.3472578970881417E-2"/>
                  <c:y val="-4.1666510874571502E-2"/>
                </c:manualLayout>
              </c:layout>
              <c:showLegendKey val="0"/>
              <c:showVal val="1"/>
              <c:showCatName val="0"/>
              <c:showSerName val="0"/>
              <c:showPercent val="0"/>
              <c:showBubbleSize val="0"/>
            </c:dLbl>
            <c:dLbl>
              <c:idx val="10"/>
              <c:layout>
                <c:manualLayout>
                  <c:x val="-3.8180772641174296E-2"/>
                  <c:y val="-3.885134618384950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прочие'!$C$8:$M$8</c:f>
              <c:numCache>
                <c:formatCode>General</c:formatCode>
                <c:ptCount val="11"/>
                <c:pt idx="0">
                  <c:v>2.05593</c:v>
                </c:pt>
                <c:pt idx="1">
                  <c:v>2.3589199999999999</c:v>
                </c:pt>
                <c:pt idx="2">
                  <c:v>2.89378</c:v>
                </c:pt>
                <c:pt idx="3">
                  <c:v>3.0037400000000001</c:v>
                </c:pt>
                <c:pt idx="4">
                  <c:v>3.0638200000000002</c:v>
                </c:pt>
                <c:pt idx="5">
                  <c:v>3.0638200000000002</c:v>
                </c:pt>
                <c:pt idx="6">
                  <c:v>3.1557300000000001</c:v>
                </c:pt>
                <c:pt idx="7" formatCode="0.0000">
                  <c:v>3.2756500000000002</c:v>
                </c:pt>
                <c:pt idx="8" formatCode="0.0000">
                  <c:v>3.5704600000000002</c:v>
                </c:pt>
                <c:pt idx="9" formatCode="0.0000">
                  <c:v>3.8889499999999999</c:v>
                </c:pt>
                <c:pt idx="10" formatCode="0.0000">
                  <c:v>4.4178499999999996</c:v>
                </c:pt>
              </c:numCache>
            </c:numRef>
          </c:val>
          <c:smooth val="0"/>
        </c:ser>
        <c:ser>
          <c:idx val="2"/>
          <c:order val="1"/>
          <c:tx>
            <c:strRef>
              <c:f>'[Котловые 2015-2025.xlsx]Гр котел прочие'!$B$9</c:f>
              <c:strCache>
                <c:ptCount val="1"/>
                <c:pt idx="0">
                  <c:v>Новосибирск СН 1</c:v>
                </c:pt>
              </c:strCache>
            </c:strRef>
          </c:tx>
          <c:spPr>
            <a:ln>
              <a:solidFill>
                <a:schemeClr val="accent2"/>
              </a:solidFill>
            </a:ln>
          </c:spPr>
          <c:marker>
            <c:symbol val="square"/>
            <c:size val="7"/>
            <c:spPr>
              <a:solidFill>
                <a:schemeClr val="accent2"/>
              </a:solidFill>
              <a:ln>
                <a:solidFill>
                  <a:schemeClr val="accent2"/>
                </a:solidFill>
              </a:ln>
            </c:spPr>
          </c:marker>
          <c:dLbls>
            <c:dLbl>
              <c:idx val="0"/>
              <c:layout>
                <c:manualLayout>
                  <c:x val="-4.1666666666666664E-2"/>
                  <c:y val="-3.7037037037037035E-2"/>
                </c:manualLayout>
              </c:layout>
              <c:tx>
                <c:rich>
                  <a:bodyPr/>
                  <a:lstStyle/>
                  <a:p>
                    <a:r>
                      <a:rPr lang="en-US"/>
                      <a:t>1,182</a:t>
                    </a:r>
                    <a:r>
                      <a:rPr lang="ru-RU"/>
                      <a:t>7</a:t>
                    </a:r>
                    <a:endParaRPr lang="en-US"/>
                  </a:p>
                </c:rich>
              </c:tx>
              <c:showLegendKey val="0"/>
              <c:showVal val="1"/>
              <c:showCatName val="0"/>
              <c:showSerName val="0"/>
              <c:showPercent val="0"/>
              <c:showBubbleSize val="0"/>
            </c:dLbl>
            <c:dLbl>
              <c:idx val="1"/>
              <c:delete val="1"/>
            </c:dLbl>
            <c:dLbl>
              <c:idx val="2"/>
              <c:delete val="1"/>
            </c:dLbl>
            <c:dLbl>
              <c:idx val="3"/>
              <c:delete val="1"/>
            </c:dLbl>
            <c:dLbl>
              <c:idx val="4"/>
              <c:layout>
                <c:manualLayout>
                  <c:x val="-3.6111111111111108E-2"/>
                  <c:y val="-5.5555555555555552E-2"/>
                </c:manualLayout>
              </c:layout>
              <c:tx>
                <c:rich>
                  <a:bodyPr/>
                  <a:lstStyle/>
                  <a:p>
                    <a:r>
                      <a:rPr lang="en-US"/>
                      <a:t>1,5361</a:t>
                    </a:r>
                  </a:p>
                </c:rich>
              </c:tx>
              <c:showLegendKey val="0"/>
              <c:showVal val="1"/>
              <c:showCatName val="0"/>
              <c:showSerName val="0"/>
              <c:showPercent val="0"/>
              <c:showBubbleSize val="0"/>
            </c:dLbl>
            <c:dLbl>
              <c:idx val="5"/>
              <c:delete val="1"/>
            </c:dLbl>
            <c:dLbl>
              <c:idx val="6"/>
              <c:layout>
                <c:manualLayout>
                  <c:x val="-5.0853526937619881E-2"/>
                  <c:y val="-6.3876303839961082E-2"/>
                </c:manualLayout>
              </c:layout>
              <c:showLegendKey val="0"/>
              <c:showVal val="1"/>
              <c:showCatName val="0"/>
              <c:showSerName val="0"/>
              <c:showPercent val="0"/>
              <c:showBubbleSize val="0"/>
            </c:dLbl>
            <c:dLbl>
              <c:idx val="7"/>
              <c:delete val="1"/>
            </c:dLbl>
            <c:dLbl>
              <c:idx val="8"/>
              <c:layout>
                <c:manualLayout>
                  <c:x val="-4.5359374961719177E-2"/>
                  <c:y val="-3.7350317795854023E-2"/>
                </c:manualLayout>
              </c:layout>
              <c:tx>
                <c:rich>
                  <a:bodyPr/>
                  <a:lstStyle/>
                  <a:p>
                    <a:r>
                      <a:rPr lang="en-US"/>
                      <a:t>2,0654</a:t>
                    </a:r>
                  </a:p>
                </c:rich>
              </c:tx>
              <c:showLegendKey val="0"/>
              <c:showVal val="1"/>
              <c:showCatName val="0"/>
              <c:showSerName val="0"/>
              <c:showPercent val="0"/>
              <c:showBubbleSize val="0"/>
            </c:dLbl>
            <c:dLbl>
              <c:idx val="9"/>
              <c:layout>
                <c:manualLayout>
                  <c:x val="-5.1911259988378797E-2"/>
                  <c:y val="3.6098441085485537E-2"/>
                </c:manualLayout>
              </c:layout>
              <c:showLegendKey val="0"/>
              <c:showVal val="1"/>
              <c:showCatName val="0"/>
              <c:showSerName val="0"/>
              <c:showPercent val="0"/>
              <c:showBubbleSize val="0"/>
            </c:dLbl>
            <c:dLbl>
              <c:idx val="10"/>
              <c:layout>
                <c:manualLayout>
                  <c:x val="-4.1562077806596022E-2"/>
                  <c:y val="-5.0925855112011184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прочие'!$C$9:$M$9</c:f>
              <c:numCache>
                <c:formatCode>General</c:formatCode>
                <c:ptCount val="11"/>
                <c:pt idx="0">
                  <c:v>1.18268</c:v>
                </c:pt>
                <c:pt idx="1">
                  <c:v>1.2737700000000001</c:v>
                </c:pt>
                <c:pt idx="2">
                  <c:v>1.4868600000000001</c:v>
                </c:pt>
                <c:pt idx="3">
                  <c:v>1.4868600000000001</c:v>
                </c:pt>
                <c:pt idx="4">
                  <c:v>1.5361400000000001</c:v>
                </c:pt>
                <c:pt idx="5">
                  <c:v>1.60382</c:v>
                </c:pt>
                <c:pt idx="6">
                  <c:v>1.6358999999999999</c:v>
                </c:pt>
                <c:pt idx="7" formatCode="0.0000">
                  <c:v>1.78518</c:v>
                </c:pt>
                <c:pt idx="8" formatCode="0.0000">
                  <c:v>2.0654300000000001</c:v>
                </c:pt>
                <c:pt idx="9" formatCode="0.0000">
                  <c:v>2.14344</c:v>
                </c:pt>
                <c:pt idx="10" formatCode="0.0000">
                  <c:v>2.3006899999999999</c:v>
                </c:pt>
              </c:numCache>
            </c:numRef>
          </c:val>
          <c:smooth val="0"/>
        </c:ser>
        <c:ser>
          <c:idx val="0"/>
          <c:order val="2"/>
          <c:tx>
            <c:strRef>
              <c:f>'[Котловые 2015-2025.xlsx]Гр котел прочие'!$B$10</c:f>
              <c:strCache>
                <c:ptCount val="1"/>
                <c:pt idx="0">
                  <c:v>Минимальный тариф на уровне СН 1</c:v>
                </c:pt>
              </c:strCache>
            </c:strRef>
          </c:tx>
          <c:spPr>
            <a:ln>
              <a:solidFill>
                <a:schemeClr val="accent3"/>
              </a:solidFill>
            </a:ln>
          </c:spPr>
          <c:marker>
            <c:symbol val="triangle"/>
            <c:size val="7"/>
            <c:spPr>
              <a:solidFill>
                <a:schemeClr val="accent3"/>
              </a:solidFill>
              <a:ln>
                <a:solidFill>
                  <a:schemeClr val="accent3"/>
                </a:solidFill>
              </a:ln>
            </c:spPr>
          </c:marker>
          <c:dLbls>
            <c:dLbl>
              <c:idx val="0"/>
              <c:layout>
                <c:manualLayout>
                  <c:x val="-4.7720752854611123E-2"/>
                  <c:y val="5.0925561388159811E-2"/>
                </c:manualLayout>
              </c:layout>
              <c:tx>
                <c:rich>
                  <a:bodyPr/>
                  <a:lstStyle/>
                  <a:p>
                    <a:r>
                      <a:rPr lang="en-US"/>
                      <a:t>0,7929</a:t>
                    </a:r>
                  </a:p>
                </c:rich>
              </c:tx>
              <c:showLegendKey val="0"/>
              <c:showVal val="1"/>
              <c:showCatName val="0"/>
              <c:showSerName val="0"/>
              <c:showPercent val="0"/>
              <c:showBubbleSize val="0"/>
            </c:dLbl>
            <c:dLbl>
              <c:idx val="1"/>
              <c:delete val="1"/>
            </c:dLbl>
            <c:dLbl>
              <c:idx val="2"/>
              <c:delete val="1"/>
            </c:dLbl>
            <c:dLbl>
              <c:idx val="3"/>
              <c:layout>
                <c:manualLayout>
                  <c:x val="-3.5834515447516986E-2"/>
                  <c:y val="6.4814786489248918E-2"/>
                </c:manualLayout>
              </c:layout>
              <c:tx>
                <c:rich>
                  <a:bodyPr/>
                  <a:lstStyle/>
                  <a:p>
                    <a:r>
                      <a:rPr lang="en-US"/>
                      <a:t>0,8429</a:t>
                    </a:r>
                  </a:p>
                </c:rich>
              </c:tx>
              <c:showLegendKey val="0"/>
              <c:showVal val="1"/>
              <c:showCatName val="0"/>
              <c:showSerName val="0"/>
              <c:showPercent val="0"/>
              <c:showBubbleSize val="0"/>
            </c:dLbl>
            <c:dLbl>
              <c:idx val="4"/>
              <c:delete val="1"/>
            </c:dLbl>
            <c:dLbl>
              <c:idx val="5"/>
              <c:delete val="1"/>
            </c:dLbl>
            <c:dLbl>
              <c:idx val="6"/>
              <c:layout>
                <c:manualLayout>
                  <c:x val="-5.6962423837124139E-2"/>
                  <c:y val="6.3250535438172148E-2"/>
                </c:manualLayout>
              </c:layout>
              <c:tx>
                <c:rich>
                  <a:bodyPr/>
                  <a:lstStyle/>
                  <a:p>
                    <a:r>
                      <a:rPr lang="en-US"/>
                      <a:t>0,8807</a:t>
                    </a:r>
                  </a:p>
                </c:rich>
              </c:tx>
              <c:showLegendKey val="0"/>
              <c:showVal val="1"/>
              <c:showCatName val="0"/>
              <c:showSerName val="0"/>
              <c:showPercent val="0"/>
              <c:showBubbleSize val="0"/>
            </c:dLbl>
            <c:dLbl>
              <c:idx val="7"/>
              <c:delete val="1"/>
            </c:dLbl>
            <c:dLbl>
              <c:idx val="8"/>
              <c:layout>
                <c:manualLayout>
                  <c:x val="-3.448056172465621E-2"/>
                  <c:y val="4.1666666666666664E-2"/>
                </c:manualLayout>
              </c:layout>
              <c:tx>
                <c:rich>
                  <a:bodyPr/>
                  <a:lstStyle/>
                  <a:p>
                    <a:r>
                      <a:rPr lang="en-US"/>
                      <a:t>1,0895</a:t>
                    </a:r>
                  </a:p>
                </c:rich>
              </c:tx>
              <c:showLegendKey val="0"/>
              <c:showVal val="1"/>
              <c:showCatName val="0"/>
              <c:showSerName val="0"/>
              <c:showPercent val="0"/>
              <c:showBubbleSize val="0"/>
            </c:dLbl>
            <c:dLbl>
              <c:idx val="9"/>
              <c:layout>
                <c:manualLayout>
                  <c:x val="-2.0080318110186658E-3"/>
                  <c:y val="1.3888888888888805E-2"/>
                </c:manualLayout>
              </c:layout>
              <c:showLegendKey val="0"/>
              <c:showVal val="1"/>
              <c:showCatName val="0"/>
              <c:showSerName val="0"/>
              <c:showPercent val="0"/>
              <c:showBubbleSize val="0"/>
            </c:dLbl>
            <c:dLbl>
              <c:idx val="10"/>
              <c:layout>
                <c:manualLayout>
                  <c:x val="-4.0932081111907423E-2"/>
                  <c:y val="-2.7464808600185579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прочие'!$C$10:$M$10</c:f>
              <c:numCache>
                <c:formatCode>General</c:formatCode>
                <c:ptCount val="11"/>
                <c:pt idx="0">
                  <c:v>0.79295000000000004</c:v>
                </c:pt>
                <c:pt idx="1">
                  <c:v>0.83323999999999998</c:v>
                </c:pt>
                <c:pt idx="2">
                  <c:v>0.81998000000000004</c:v>
                </c:pt>
                <c:pt idx="3">
                  <c:v>0.84294000000000002</c:v>
                </c:pt>
                <c:pt idx="4">
                  <c:v>0.86738000000000004</c:v>
                </c:pt>
                <c:pt idx="5">
                  <c:v>0.87200999999999995</c:v>
                </c:pt>
                <c:pt idx="6">
                  <c:v>0.88073000000000001</c:v>
                </c:pt>
                <c:pt idx="7">
                  <c:v>0.96830000000000005</c:v>
                </c:pt>
                <c:pt idx="8" formatCode="0.0000">
                  <c:v>1.08951</c:v>
                </c:pt>
                <c:pt idx="9" formatCode="0.0000">
                  <c:v>1.2962</c:v>
                </c:pt>
                <c:pt idx="10" formatCode="0.0000">
                  <c:v>1.5904400000000001</c:v>
                </c:pt>
              </c:numCache>
            </c:numRef>
          </c:val>
          <c:smooth val="0"/>
        </c:ser>
        <c:dLbls>
          <c:showLegendKey val="0"/>
          <c:showVal val="1"/>
          <c:showCatName val="0"/>
          <c:showSerName val="0"/>
          <c:showPercent val="0"/>
          <c:showBubbleSize val="0"/>
        </c:dLbls>
        <c:marker val="1"/>
        <c:smooth val="0"/>
        <c:axId val="217523712"/>
        <c:axId val="216612160"/>
      </c:lineChart>
      <c:catAx>
        <c:axId val="217523712"/>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6612160"/>
        <c:crosses val="autoZero"/>
        <c:auto val="1"/>
        <c:lblAlgn val="ctr"/>
        <c:lblOffset val="100"/>
        <c:noMultiLvlLbl val="0"/>
      </c:catAx>
      <c:valAx>
        <c:axId val="216612160"/>
        <c:scaling>
          <c:orientation val="minMax"/>
        </c:scaling>
        <c:delete val="0"/>
        <c:axPos val="l"/>
        <c:majorGridlines/>
        <c:numFmt formatCode="General" sourceLinked="1"/>
        <c:majorTickMark val="none"/>
        <c:minorTickMark val="none"/>
        <c:tickLblPos val="nextTo"/>
        <c:crossAx val="217523712"/>
        <c:crosses val="autoZero"/>
        <c:crossBetween val="between"/>
      </c:valAx>
    </c:plotArea>
    <c:legend>
      <c:legendPos val="r"/>
      <c:layout>
        <c:manualLayout>
          <c:xMode val="edge"/>
          <c:yMode val="edge"/>
          <c:x val="0.74424856609779333"/>
          <c:y val="0.28523856188156083"/>
          <c:w val="0.22492024093085097"/>
          <c:h val="0.52420516289338215"/>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Динамика ЭОТ по уровню СН-1, руб./кВт ч</a:t>
            </a:r>
          </a:p>
        </c:rich>
      </c:tx>
      <c:overlay val="0"/>
    </c:title>
    <c:autoTitleDeleted val="0"/>
    <c:plotArea>
      <c:layout>
        <c:manualLayout>
          <c:layoutTarget val="inner"/>
          <c:xMode val="edge"/>
          <c:yMode val="edge"/>
          <c:x val="0.11634613376492088"/>
          <c:y val="0.13475550610521511"/>
          <c:w val="0.62166629508673332"/>
          <c:h val="0.73025676138308804"/>
        </c:manualLayout>
      </c:layout>
      <c:lineChart>
        <c:grouping val="standard"/>
        <c:varyColors val="0"/>
        <c:ser>
          <c:idx val="0"/>
          <c:order val="0"/>
          <c:tx>
            <c:strRef>
              <c:f>'[Котловые 2015-2025.xlsx]Гр ЭОТ котел'!$B$8</c:f>
              <c:strCache>
                <c:ptCount val="1"/>
                <c:pt idx="0">
                  <c:v>Максимальный тариф на уровне СН 1</c:v>
                </c:pt>
              </c:strCache>
            </c:strRef>
          </c:tx>
          <c:dLbls>
            <c:dLbl>
              <c:idx val="0"/>
              <c:layout>
                <c:manualLayout>
                  <c:x val="-3.780718336483932E-2"/>
                  <c:y val="-4.710144927536232E-2"/>
                </c:manualLayout>
              </c:layout>
              <c:showLegendKey val="0"/>
              <c:showVal val="1"/>
              <c:showCatName val="0"/>
              <c:showSerName val="0"/>
              <c:showPercent val="0"/>
              <c:showBubbleSize val="0"/>
            </c:dLbl>
            <c:dLbl>
              <c:idx val="1"/>
              <c:delete val="1"/>
            </c:dLbl>
            <c:dLbl>
              <c:idx val="3"/>
              <c:layout>
                <c:manualLayout>
                  <c:x val="-0.10586011342155009"/>
                  <c:y val="-1.0869565217391304E-2"/>
                </c:manualLayout>
              </c:layout>
              <c:showLegendKey val="0"/>
              <c:showVal val="1"/>
              <c:showCatName val="0"/>
              <c:showSerName val="0"/>
              <c:showPercent val="0"/>
              <c:showBubbleSize val="0"/>
            </c:dLbl>
            <c:dLbl>
              <c:idx val="5"/>
              <c:layout>
                <c:manualLayout>
                  <c:x val="-5.0409577819785761E-3"/>
                  <c:y val="-1.0869565217391304E-2"/>
                </c:manualLayout>
              </c:layout>
              <c:showLegendKey val="0"/>
              <c:showVal val="1"/>
              <c:showCatName val="0"/>
              <c:showSerName val="0"/>
              <c:showPercent val="0"/>
              <c:showBubbleSize val="0"/>
            </c:dLbl>
            <c:dLbl>
              <c:idx val="6"/>
              <c:delete val="1"/>
            </c:dLbl>
            <c:dLbl>
              <c:idx val="7"/>
              <c:layout>
                <c:manualLayout>
                  <c:x val="-4.1820410103454671E-2"/>
                  <c:y val="-3.2608695652173912E-2"/>
                </c:manualLayout>
              </c:layout>
              <c:tx>
                <c:rich>
                  <a:bodyPr/>
                  <a:lstStyle/>
                  <a:p>
                    <a:r>
                      <a:rPr lang="en-US" b="0"/>
                      <a:t>2,518</a:t>
                    </a:r>
                    <a:r>
                      <a:rPr lang="ru-RU" b="0"/>
                      <a:t>1</a:t>
                    </a:r>
                    <a:endParaRPr lang="en-US"/>
                  </a:p>
                </c:rich>
              </c:tx>
              <c:showLegendKey val="0"/>
              <c:showVal val="1"/>
              <c:showCatName val="0"/>
              <c:showSerName val="0"/>
              <c:showPercent val="0"/>
              <c:showBubbleSize val="0"/>
            </c:dLbl>
            <c:dLbl>
              <c:idx val="8"/>
              <c:delete val="1"/>
            </c:dLbl>
            <c:dLbl>
              <c:idx val="9"/>
              <c:layout>
                <c:manualLayout>
                  <c:x val="-4.431598556946504E-2"/>
                  <c:y val="-2.8985507246376944E-2"/>
                </c:manualLayout>
              </c:layout>
              <c:showLegendKey val="0"/>
              <c:showVal val="1"/>
              <c:showCatName val="0"/>
              <c:showSerName val="0"/>
              <c:showPercent val="0"/>
              <c:showBubbleSize val="0"/>
            </c:dLbl>
            <c:dLbl>
              <c:idx val="10"/>
              <c:layout>
                <c:manualLayout>
                  <c:x val="-4.0462421606902936E-2"/>
                  <c:y val="-6.5217391304347824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котел'!$C$8:$M$8</c:f>
              <c:numCache>
                <c:formatCode>0.0000</c:formatCode>
                <c:ptCount val="11"/>
                <c:pt idx="0">
                  <c:v>1.4759</c:v>
                </c:pt>
                <c:pt idx="1">
                  <c:v>2.3424</c:v>
                </c:pt>
                <c:pt idx="2">
                  <c:v>5.5774100000000004</c:v>
                </c:pt>
                <c:pt idx="3">
                  <c:v>15.07493</c:v>
                </c:pt>
                <c:pt idx="4">
                  <c:v>15.63344</c:v>
                </c:pt>
                <c:pt idx="5">
                  <c:v>6.1895499999999997</c:v>
                </c:pt>
                <c:pt idx="6">
                  <c:v>2.4391500000000002</c:v>
                </c:pt>
                <c:pt idx="7">
                  <c:v>2.5180799999999999</c:v>
                </c:pt>
                <c:pt idx="8">
                  <c:v>2.6890700000000001</c:v>
                </c:pt>
                <c:pt idx="9">
                  <c:v>3.0769099999999998</c:v>
                </c:pt>
                <c:pt idx="10">
                  <c:v>3.7967200000000001</c:v>
                </c:pt>
              </c:numCache>
            </c:numRef>
          </c:val>
          <c:smooth val="0"/>
        </c:ser>
        <c:ser>
          <c:idx val="1"/>
          <c:order val="1"/>
          <c:tx>
            <c:strRef>
              <c:f>'[Котловые 2015-2025.xlsx]Гр ЭОТ котел'!$B$9</c:f>
              <c:strCache>
                <c:ptCount val="1"/>
                <c:pt idx="0">
                  <c:v>Новосибирск СН 1</c:v>
                </c:pt>
              </c:strCache>
            </c:strRef>
          </c:tx>
          <c:dLbls>
            <c:dLbl>
              <c:idx val="0"/>
              <c:layout>
                <c:manualLayout>
                  <c:x val="-5.0408743185026321E-3"/>
                  <c:y val="-2.1739130434782608E-2"/>
                </c:manualLayout>
              </c:layout>
              <c:showLegendKey val="0"/>
              <c:showVal val="1"/>
              <c:showCatName val="0"/>
              <c:showSerName val="0"/>
              <c:showPercent val="0"/>
              <c:showBubbleSize val="0"/>
            </c:dLbl>
            <c:dLbl>
              <c:idx val="1"/>
              <c:delete val="1"/>
            </c:dLbl>
            <c:dLbl>
              <c:idx val="2"/>
              <c:layout>
                <c:manualLayout>
                  <c:x val="0"/>
                  <c:y val="-4.3478260869565216E-2"/>
                </c:manualLayout>
              </c:layout>
              <c:showLegendKey val="0"/>
              <c:showVal val="1"/>
              <c:showCatName val="0"/>
              <c:showSerName val="0"/>
              <c:showPercent val="0"/>
              <c:showBubbleSize val="0"/>
            </c:dLbl>
            <c:dLbl>
              <c:idx val="3"/>
              <c:delete val="1"/>
            </c:dLbl>
            <c:dLbl>
              <c:idx val="4"/>
              <c:layout>
                <c:manualLayout>
                  <c:x val="-3.0245746691871456E-2"/>
                  <c:y val="-3.9855072463768113E-2"/>
                </c:manualLayout>
              </c:layout>
              <c:showLegendKey val="0"/>
              <c:showVal val="1"/>
              <c:showCatName val="0"/>
              <c:showSerName val="0"/>
              <c:showPercent val="0"/>
              <c:showBubbleSize val="0"/>
            </c:dLbl>
            <c:dLbl>
              <c:idx val="5"/>
              <c:delete val="1"/>
            </c:dLbl>
            <c:dLbl>
              <c:idx val="6"/>
              <c:delete val="1"/>
            </c:dLbl>
            <c:dLbl>
              <c:idx val="7"/>
              <c:layout>
                <c:manualLayout>
                  <c:x val="-4.9442287645489108E-2"/>
                  <c:y val="-3.2608695652173912E-2"/>
                </c:manualLayout>
              </c:layout>
              <c:tx>
                <c:rich>
                  <a:bodyPr/>
                  <a:lstStyle/>
                  <a:p>
                    <a:r>
                      <a:rPr lang="en-US" b="0"/>
                      <a:t>1,0641</a:t>
                    </a:r>
                    <a:endParaRPr lang="en-US"/>
                  </a:p>
                </c:rich>
              </c:tx>
              <c:showLegendKey val="0"/>
              <c:showVal val="1"/>
              <c:showCatName val="0"/>
              <c:showSerName val="0"/>
              <c:showPercent val="0"/>
              <c:showBubbleSize val="0"/>
            </c:dLbl>
            <c:dLbl>
              <c:idx val="8"/>
              <c:layout>
                <c:manualLayout>
                  <c:x val="-2.1194601794091942E-2"/>
                  <c:y val="-2.8985507246376812E-2"/>
                </c:manualLayout>
              </c:layout>
              <c:tx>
                <c:rich>
                  <a:bodyPr/>
                  <a:lstStyle/>
                  <a:p>
                    <a:r>
                      <a:rPr lang="en-US" b="0"/>
                      <a:t>1,1079</a:t>
                    </a:r>
                    <a:endParaRPr lang="en-US"/>
                  </a:p>
                </c:rich>
              </c:tx>
              <c:showLegendKey val="0"/>
              <c:showVal val="1"/>
              <c:showCatName val="0"/>
              <c:showSerName val="0"/>
              <c:showPercent val="0"/>
              <c:showBubbleSize val="0"/>
            </c:dLbl>
            <c:dLbl>
              <c:idx val="9"/>
              <c:delete val="1"/>
            </c:dLbl>
            <c:dLbl>
              <c:idx val="10"/>
              <c:layout>
                <c:manualLayout>
                  <c:x val="-3.6608857644340624E-2"/>
                  <c:y val="-4.3478546159990736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котел'!$C$9:$M$9</c:f>
              <c:numCache>
                <c:formatCode>0.0000</c:formatCode>
                <c:ptCount val="11"/>
                <c:pt idx="0">
                  <c:v>1.0491299999999999</c:v>
                </c:pt>
                <c:pt idx="1">
                  <c:v>0.78844999999999998</c:v>
                </c:pt>
                <c:pt idx="2">
                  <c:v>0.87182000000000004</c:v>
                </c:pt>
                <c:pt idx="3">
                  <c:v>0.86314000000000002</c:v>
                </c:pt>
                <c:pt idx="4">
                  <c:v>0.82625000000000004</c:v>
                </c:pt>
                <c:pt idx="5">
                  <c:v>0.84723000000000004</c:v>
                </c:pt>
                <c:pt idx="6">
                  <c:v>0.87758999999999998</c:v>
                </c:pt>
                <c:pt idx="7">
                  <c:v>1.06413</c:v>
                </c:pt>
                <c:pt idx="8">
                  <c:v>1.1079300000000001</c:v>
                </c:pt>
                <c:pt idx="9">
                  <c:v>1.20845</c:v>
                </c:pt>
                <c:pt idx="10">
                  <c:v>1.4943299999999999</c:v>
                </c:pt>
              </c:numCache>
            </c:numRef>
          </c:val>
          <c:smooth val="0"/>
        </c:ser>
        <c:ser>
          <c:idx val="2"/>
          <c:order val="2"/>
          <c:tx>
            <c:strRef>
              <c:f>'[Котловые 2015-2025.xlsx]Гр ЭОТ котел'!$B$10</c:f>
              <c:strCache>
                <c:ptCount val="1"/>
                <c:pt idx="0">
                  <c:v>Минимальный тариф на уровне СН 1</c:v>
                </c:pt>
              </c:strCache>
            </c:strRef>
          </c:tx>
          <c:dLbls>
            <c:dLbl>
              <c:idx val="0"/>
              <c:layout>
                <c:manualLayout>
                  <c:x val="-4.0327662255828609E-2"/>
                  <c:y val="2.5362318840579712E-2"/>
                </c:manualLayout>
              </c:layout>
              <c:showLegendKey val="0"/>
              <c:showVal val="1"/>
              <c:showCatName val="0"/>
              <c:showSerName val="0"/>
              <c:showPercent val="0"/>
              <c:showBubbleSize val="0"/>
            </c:dLbl>
            <c:dLbl>
              <c:idx val="1"/>
              <c:delete val="1"/>
            </c:dLbl>
            <c:dLbl>
              <c:idx val="2"/>
              <c:layout>
                <c:manualLayout>
                  <c:x val="2.520478890989288E-3"/>
                  <c:y val="3.2608695652173912E-2"/>
                </c:manualLayout>
              </c:layout>
              <c:showLegendKey val="0"/>
              <c:showVal val="1"/>
              <c:showCatName val="0"/>
              <c:showSerName val="0"/>
              <c:showPercent val="0"/>
              <c:showBubbleSize val="0"/>
            </c:dLbl>
            <c:dLbl>
              <c:idx val="3"/>
              <c:delete val="1"/>
            </c:dLbl>
            <c:dLbl>
              <c:idx val="4"/>
              <c:layout>
                <c:manualLayout>
                  <c:x val="-2.7725267800882167E-2"/>
                  <c:y val="3.2608695652173912E-2"/>
                </c:manualLayout>
              </c:layout>
              <c:showLegendKey val="0"/>
              <c:showVal val="1"/>
              <c:showCatName val="0"/>
              <c:showSerName val="0"/>
              <c:showPercent val="0"/>
              <c:showBubbleSize val="0"/>
            </c:dLbl>
            <c:dLbl>
              <c:idx val="5"/>
              <c:delete val="1"/>
            </c:dLbl>
            <c:dLbl>
              <c:idx val="6"/>
              <c:delete val="1"/>
            </c:dLbl>
            <c:dLbl>
              <c:idx val="7"/>
              <c:layout>
                <c:manualLayout>
                  <c:x val="-3.755449796633472E-2"/>
                  <c:y val="3.6231598767545364E-2"/>
                </c:manualLayout>
              </c:layout>
              <c:tx>
                <c:rich>
                  <a:bodyPr/>
                  <a:lstStyle/>
                  <a:p>
                    <a:r>
                      <a:rPr lang="en-US" b="0"/>
                      <a:t>1,0149</a:t>
                    </a:r>
                    <a:endParaRPr lang="en-US"/>
                  </a:p>
                </c:rich>
              </c:tx>
              <c:showLegendKey val="0"/>
              <c:showVal val="1"/>
              <c:showCatName val="0"/>
              <c:showSerName val="0"/>
              <c:showPercent val="0"/>
              <c:showBubbleSize val="0"/>
            </c:dLbl>
            <c:dLbl>
              <c:idx val="8"/>
              <c:layout>
                <c:manualLayout>
                  <c:x val="-2.3121383775373025E-2"/>
                  <c:y val="2.5362318840579712E-2"/>
                </c:manualLayout>
              </c:layout>
              <c:tx>
                <c:rich>
                  <a:bodyPr/>
                  <a:lstStyle/>
                  <a:p>
                    <a:r>
                      <a:rPr lang="en-US" b="0"/>
                      <a:t>0,8359</a:t>
                    </a:r>
                    <a:endParaRPr lang="en-US"/>
                  </a:p>
                </c:rich>
              </c:tx>
              <c:showLegendKey val="0"/>
              <c:showVal val="1"/>
              <c:showCatName val="0"/>
              <c:showSerName val="0"/>
              <c:showPercent val="0"/>
              <c:showBubbleSize val="0"/>
            </c:dLbl>
            <c:dLbl>
              <c:idx val="9"/>
              <c:delete val="1"/>
            </c:dLbl>
            <c:dLbl>
              <c:idx val="10"/>
              <c:layout>
                <c:manualLayout>
                  <c:x val="-4.3274444038837047E-2"/>
                  <c:y val="2.8985490524462403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котел'!$C$7:$M$7</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котел'!$C$10:$M$10</c:f>
              <c:numCache>
                <c:formatCode>0.0000</c:formatCode>
                <c:ptCount val="11"/>
                <c:pt idx="0">
                  <c:v>0.81898000000000004</c:v>
                </c:pt>
                <c:pt idx="1">
                  <c:v>0.75248999999999999</c:v>
                </c:pt>
                <c:pt idx="2">
                  <c:v>0.72516000000000003</c:v>
                </c:pt>
                <c:pt idx="3">
                  <c:v>0.81198000000000004</c:v>
                </c:pt>
                <c:pt idx="4">
                  <c:v>0.82625000000000004</c:v>
                </c:pt>
                <c:pt idx="5">
                  <c:v>0.84348999999999996</c:v>
                </c:pt>
                <c:pt idx="6">
                  <c:v>0.87272000000000005</c:v>
                </c:pt>
                <c:pt idx="7">
                  <c:v>1.01492</c:v>
                </c:pt>
                <c:pt idx="8">
                  <c:v>0.83592</c:v>
                </c:pt>
                <c:pt idx="9">
                  <c:v>1.11243</c:v>
                </c:pt>
                <c:pt idx="10">
                  <c:v>1.0835699999999999</c:v>
                </c:pt>
              </c:numCache>
            </c:numRef>
          </c:val>
          <c:smooth val="0"/>
        </c:ser>
        <c:dLbls>
          <c:showLegendKey val="0"/>
          <c:showVal val="1"/>
          <c:showCatName val="0"/>
          <c:showSerName val="0"/>
          <c:showPercent val="0"/>
          <c:showBubbleSize val="0"/>
        </c:dLbls>
        <c:marker val="1"/>
        <c:smooth val="0"/>
        <c:axId val="217524224"/>
        <c:axId val="217236032"/>
      </c:lineChart>
      <c:catAx>
        <c:axId val="217524224"/>
        <c:scaling>
          <c:orientation val="minMax"/>
        </c:scaling>
        <c:delete val="0"/>
        <c:axPos val="b"/>
        <c:majorTickMark val="none"/>
        <c:minorTickMark val="none"/>
        <c:tickLblPos val="nextTo"/>
        <c:crossAx val="217236032"/>
        <c:crosses val="autoZero"/>
        <c:auto val="1"/>
        <c:lblAlgn val="ctr"/>
        <c:lblOffset val="100"/>
        <c:noMultiLvlLbl val="0"/>
      </c:catAx>
      <c:valAx>
        <c:axId val="217236032"/>
        <c:scaling>
          <c:orientation val="minMax"/>
        </c:scaling>
        <c:delete val="0"/>
        <c:axPos val="l"/>
        <c:majorGridlines/>
        <c:numFmt formatCode="0.0000" sourceLinked="1"/>
        <c:majorTickMark val="none"/>
        <c:minorTickMark val="none"/>
        <c:tickLblPos val="nextTo"/>
        <c:crossAx val="217524224"/>
        <c:crosses val="autoZero"/>
        <c:crossBetween val="between"/>
      </c:valAx>
    </c:plotArea>
    <c:legend>
      <c:legendPos val="r"/>
      <c:layout>
        <c:manualLayout>
          <c:xMode val="edge"/>
          <c:yMode val="edge"/>
          <c:x val="0.77620954470204762"/>
          <c:y val="0.35034956179658927"/>
          <c:w val="0.20866916401048263"/>
          <c:h val="0.44455316871798795"/>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Динамика тарифов по прочим потребителям на уровне СН-2, руб./кВт ч</a:t>
            </a:r>
          </a:p>
        </c:rich>
      </c:tx>
      <c:overlay val="0"/>
    </c:title>
    <c:autoTitleDeleted val="0"/>
    <c:plotArea>
      <c:layout>
        <c:manualLayout>
          <c:layoutTarget val="inner"/>
          <c:xMode val="edge"/>
          <c:yMode val="edge"/>
          <c:x val="6.514385457612748E-2"/>
          <c:y val="0.25130796150481188"/>
          <c:w val="0.63791879304304355"/>
          <c:h val="0.57620771361913092"/>
        </c:manualLayout>
      </c:layout>
      <c:lineChart>
        <c:grouping val="standard"/>
        <c:varyColors val="0"/>
        <c:ser>
          <c:idx val="1"/>
          <c:order val="0"/>
          <c:tx>
            <c:strRef>
              <c:f>'[Котловые 2015-2025.xlsx]Гр котел прочие'!$B$12</c:f>
              <c:strCache>
                <c:ptCount val="1"/>
                <c:pt idx="0">
                  <c:v>Максимальный тариф на уровне СН 2</c:v>
                </c:pt>
              </c:strCache>
            </c:strRef>
          </c:tx>
          <c:spPr>
            <a:ln>
              <a:solidFill>
                <a:schemeClr val="accent1"/>
              </a:solidFill>
            </a:ln>
          </c:spPr>
          <c:marker>
            <c:symbol val="diamond"/>
            <c:size val="7"/>
            <c:spPr>
              <a:solidFill>
                <a:schemeClr val="accent1"/>
              </a:solidFill>
              <a:ln>
                <a:solidFill>
                  <a:schemeClr val="accent1"/>
                </a:solidFill>
              </a:ln>
            </c:spPr>
          </c:marker>
          <c:dLbls>
            <c:dLbl>
              <c:idx val="0"/>
              <c:layout>
                <c:manualLayout>
                  <c:x val="-5.0697084917617236E-2"/>
                  <c:y val="5.5555555555555552E-2"/>
                </c:manualLayout>
              </c:layout>
              <c:tx>
                <c:rich>
                  <a:bodyPr/>
                  <a:lstStyle/>
                  <a:p>
                    <a:r>
                      <a:rPr lang="en-US"/>
                      <a:t>2,779</a:t>
                    </a:r>
                    <a:r>
                      <a:rPr lang="ru-RU"/>
                      <a:t>4</a:t>
                    </a:r>
                    <a:endParaRPr lang="en-US"/>
                  </a:p>
                </c:rich>
              </c:tx>
              <c:showLegendKey val="0"/>
              <c:showVal val="1"/>
              <c:showCatName val="0"/>
              <c:showSerName val="0"/>
              <c:showPercent val="0"/>
              <c:showBubbleSize val="0"/>
            </c:dLbl>
            <c:dLbl>
              <c:idx val="1"/>
              <c:layout>
                <c:manualLayout>
                  <c:x val="0"/>
                  <c:y val="1.8518518518518517E-2"/>
                </c:manualLayout>
              </c:layout>
              <c:tx>
                <c:rich>
                  <a:bodyPr/>
                  <a:lstStyle/>
                  <a:p>
                    <a:r>
                      <a:rPr lang="en-US"/>
                      <a:t>2,9150</a:t>
                    </a:r>
                  </a:p>
                </c:rich>
              </c:tx>
              <c:showLegendKey val="0"/>
              <c:showVal val="1"/>
              <c:showCatName val="0"/>
              <c:showSerName val="0"/>
              <c:showPercent val="0"/>
              <c:showBubbleSize val="0"/>
            </c:dLbl>
            <c:dLbl>
              <c:idx val="2"/>
              <c:layout>
                <c:manualLayout>
                  <c:x val="-4.5627376425855515E-2"/>
                  <c:y val="-5.5555555555555552E-2"/>
                </c:manualLayout>
              </c:layout>
              <c:tx>
                <c:rich>
                  <a:bodyPr/>
                  <a:lstStyle/>
                  <a:p>
                    <a:r>
                      <a:rPr lang="en-US"/>
                      <a:t>3,1958</a:t>
                    </a:r>
                  </a:p>
                </c:rich>
              </c:tx>
              <c:showLegendKey val="0"/>
              <c:showVal val="1"/>
              <c:showCatName val="0"/>
              <c:showSerName val="0"/>
              <c:showPercent val="0"/>
              <c:showBubbleSize val="0"/>
            </c:dLbl>
            <c:dLbl>
              <c:idx val="3"/>
              <c:delete val="1"/>
            </c:dLbl>
            <c:dLbl>
              <c:idx val="4"/>
              <c:layout>
                <c:manualLayout>
                  <c:x val="-4.0557667934093787E-2"/>
                  <c:y val="-4.6296296296296294E-2"/>
                </c:manualLayout>
              </c:layout>
              <c:showLegendKey val="0"/>
              <c:showVal val="1"/>
              <c:showCatName val="0"/>
              <c:showSerName val="0"/>
              <c:showPercent val="0"/>
              <c:showBubbleSize val="0"/>
            </c:dLbl>
            <c:dLbl>
              <c:idx val="5"/>
              <c:delete val="1"/>
            </c:dLbl>
            <c:dLbl>
              <c:idx val="6"/>
              <c:layout>
                <c:manualLayout>
                  <c:x val="-2.7883396704689482E-2"/>
                  <c:y val="-4.6296660834062406E-2"/>
                </c:manualLayout>
              </c:layout>
              <c:tx>
                <c:rich>
                  <a:bodyPr/>
                  <a:lstStyle/>
                  <a:p>
                    <a:r>
                      <a:rPr lang="en-US"/>
                      <a:t>3,5707</a:t>
                    </a:r>
                  </a:p>
                </c:rich>
              </c:tx>
              <c:showLegendKey val="0"/>
              <c:showVal val="1"/>
              <c:showCatName val="0"/>
              <c:showSerName val="0"/>
              <c:showPercent val="0"/>
              <c:showBubbleSize val="0"/>
            </c:dLbl>
            <c:dLbl>
              <c:idx val="7"/>
              <c:delete val="1"/>
            </c:dLbl>
            <c:dLbl>
              <c:idx val="8"/>
              <c:layout>
                <c:manualLayout>
                  <c:x val="-3.4781410346380368E-2"/>
                  <c:y val="4.1666666666666623E-2"/>
                </c:manualLayout>
              </c:layout>
              <c:tx>
                <c:rich>
                  <a:bodyPr/>
                  <a:lstStyle/>
                  <a:p>
                    <a:r>
                      <a:rPr lang="en-US"/>
                      <a:t>4,0243</a:t>
                    </a:r>
                  </a:p>
                </c:rich>
              </c:tx>
              <c:showLegendKey val="0"/>
              <c:showVal val="1"/>
              <c:showCatName val="0"/>
              <c:showSerName val="0"/>
              <c:showPercent val="0"/>
              <c:showBubbleSize val="0"/>
            </c:dLbl>
            <c:dLbl>
              <c:idx val="10"/>
              <c:layout>
                <c:manualLayout>
                  <c:x val="-3.4317433558253653E-2"/>
                  <c:y val="-4.1666666666666664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прочие'!$C$12:$M$12</c:f>
              <c:numCache>
                <c:formatCode>General</c:formatCode>
                <c:ptCount val="11"/>
                <c:pt idx="0">
                  <c:v>2.7793800000000002</c:v>
                </c:pt>
                <c:pt idx="1">
                  <c:v>2.9150200000000002</c:v>
                </c:pt>
                <c:pt idx="2">
                  <c:v>3.1958099999999998</c:v>
                </c:pt>
                <c:pt idx="3">
                  <c:v>3.3281100000000001</c:v>
                </c:pt>
                <c:pt idx="4">
                  <c:v>3.5714000000000001</c:v>
                </c:pt>
                <c:pt idx="5">
                  <c:v>3.5469300000000001</c:v>
                </c:pt>
                <c:pt idx="6">
                  <c:v>3.5707100000000001</c:v>
                </c:pt>
                <c:pt idx="7" formatCode="0.0000">
                  <c:v>3.6954600000000002</c:v>
                </c:pt>
                <c:pt idx="8" formatCode="0.0000">
                  <c:v>4.0243599999999997</c:v>
                </c:pt>
                <c:pt idx="9" formatCode="0.0000">
                  <c:v>4.3765900000000002</c:v>
                </c:pt>
                <c:pt idx="10" formatCode="0.0000">
                  <c:v>4.9017400000000002</c:v>
                </c:pt>
              </c:numCache>
            </c:numRef>
          </c:val>
          <c:smooth val="0"/>
        </c:ser>
        <c:ser>
          <c:idx val="2"/>
          <c:order val="1"/>
          <c:tx>
            <c:strRef>
              <c:f>'[Котловые 2015-2025.xlsx]Гр котел прочие'!$B$13</c:f>
              <c:strCache>
                <c:ptCount val="1"/>
                <c:pt idx="0">
                  <c:v>Новосибирск СН 2</c:v>
                </c:pt>
              </c:strCache>
            </c:strRef>
          </c:tx>
          <c:spPr>
            <a:ln>
              <a:solidFill>
                <a:schemeClr val="accent2"/>
              </a:solidFill>
            </a:ln>
          </c:spPr>
          <c:marker>
            <c:symbol val="square"/>
            <c:size val="7"/>
            <c:spPr>
              <a:solidFill>
                <a:schemeClr val="accent2"/>
              </a:solidFill>
              <a:ln>
                <a:solidFill>
                  <a:schemeClr val="accent2"/>
                </a:solidFill>
              </a:ln>
            </c:spPr>
          </c:marker>
          <c:dLbls>
            <c:dLbl>
              <c:idx val="0"/>
              <c:layout>
                <c:manualLayout>
                  <c:x val="-5.415299783340316E-2"/>
                  <c:y val="6.0185140670834067E-2"/>
                </c:manualLayout>
              </c:layout>
              <c:tx>
                <c:rich>
                  <a:bodyPr/>
                  <a:lstStyle/>
                  <a:p>
                    <a:r>
                      <a:rPr lang="en-US"/>
                      <a:t>1,2233</a:t>
                    </a:r>
                  </a:p>
                </c:rich>
              </c:tx>
              <c:showLegendKey val="0"/>
              <c:showVal val="1"/>
              <c:showCatName val="0"/>
              <c:showSerName val="0"/>
              <c:showPercent val="0"/>
              <c:showBubbleSize val="0"/>
            </c:dLbl>
            <c:dLbl>
              <c:idx val="1"/>
              <c:layout>
                <c:manualLayout>
                  <c:x val="-3.8022813688212927E-2"/>
                  <c:y val="6.4814814814814811E-2"/>
                </c:manualLayout>
              </c:layout>
              <c:tx>
                <c:rich>
                  <a:bodyPr/>
                  <a:lstStyle/>
                  <a:p>
                    <a:r>
                      <a:rPr lang="en-US"/>
                      <a:t>1,317</a:t>
                    </a:r>
                    <a:r>
                      <a:rPr lang="ru-RU"/>
                      <a:t>2</a:t>
                    </a:r>
                    <a:endParaRPr lang="en-US"/>
                  </a:p>
                </c:rich>
              </c:tx>
              <c:showLegendKey val="0"/>
              <c:showVal val="1"/>
              <c:showCatName val="0"/>
              <c:showSerName val="0"/>
              <c:showPercent val="0"/>
              <c:showBubbleSize val="0"/>
            </c:dLbl>
            <c:dLbl>
              <c:idx val="2"/>
              <c:layout>
                <c:manualLayout>
                  <c:x val="-2.7883396704689482E-2"/>
                  <c:y val="-6.0185185185185182E-2"/>
                </c:manualLayout>
              </c:layout>
              <c:showLegendKey val="0"/>
              <c:showVal val="1"/>
              <c:showCatName val="0"/>
              <c:showSerName val="0"/>
              <c:showPercent val="0"/>
              <c:showBubbleSize val="0"/>
            </c:dLbl>
            <c:dLbl>
              <c:idx val="3"/>
              <c:delete val="1"/>
            </c:dLbl>
            <c:dLbl>
              <c:idx val="4"/>
              <c:delete val="1"/>
            </c:dLbl>
            <c:dLbl>
              <c:idx val="5"/>
              <c:delete val="1"/>
            </c:dLbl>
            <c:dLbl>
              <c:idx val="6"/>
              <c:layout>
                <c:manualLayout>
                  <c:x val="-5.5398401238682539E-2"/>
                  <c:y val="-5.5555555555555552E-2"/>
                </c:manualLayout>
              </c:layout>
              <c:showLegendKey val="0"/>
              <c:showVal val="1"/>
              <c:showCatName val="0"/>
              <c:showSerName val="0"/>
              <c:showPercent val="0"/>
              <c:showBubbleSize val="0"/>
            </c:dLbl>
            <c:dLbl>
              <c:idx val="7"/>
              <c:delete val="1"/>
            </c:dLbl>
            <c:dLbl>
              <c:idx val="8"/>
              <c:layout>
                <c:manualLayout>
                  <c:x val="-5.0776290865602029E-2"/>
                  <c:y val="-5.0926290463692035E-2"/>
                </c:manualLayout>
              </c:layout>
              <c:tx>
                <c:rich>
                  <a:bodyPr/>
                  <a:lstStyle/>
                  <a:p>
                    <a:r>
                      <a:rPr lang="en-US"/>
                      <a:t>2,1605</a:t>
                    </a:r>
                  </a:p>
                </c:rich>
              </c:tx>
              <c:showLegendKey val="0"/>
              <c:showVal val="1"/>
              <c:showCatName val="0"/>
              <c:showSerName val="0"/>
              <c:showPercent val="0"/>
              <c:showBubbleSize val="0"/>
            </c:dLbl>
            <c:dLbl>
              <c:idx val="9"/>
              <c:layout>
                <c:manualLayout>
                  <c:x val="-3.633610612050394E-2"/>
                  <c:y val="-5.0925925925925923E-2"/>
                </c:manualLayout>
              </c:layout>
              <c:showLegendKey val="0"/>
              <c:showVal val="1"/>
              <c:showCatName val="0"/>
              <c:showSerName val="0"/>
              <c:showPercent val="0"/>
              <c:showBubbleSize val="0"/>
            </c:dLbl>
            <c:dLbl>
              <c:idx val="10"/>
              <c:layout>
                <c:manualLayout>
                  <c:x val="-2.2205398184752409E-2"/>
                  <c:y val="-6.481481481481481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прочие'!$C$13:$M$13</c:f>
              <c:numCache>
                <c:formatCode>General</c:formatCode>
                <c:ptCount val="11"/>
                <c:pt idx="0">
                  <c:v>1.22332</c:v>
                </c:pt>
                <c:pt idx="1">
                  <c:v>1.3171600000000001</c:v>
                </c:pt>
                <c:pt idx="2">
                  <c:v>1.5375000000000001</c:v>
                </c:pt>
                <c:pt idx="3">
                  <c:v>1.5375000000000001</c:v>
                </c:pt>
                <c:pt idx="4">
                  <c:v>1.5806199999999999</c:v>
                </c:pt>
                <c:pt idx="5">
                  <c:v>1.6631</c:v>
                </c:pt>
                <c:pt idx="6">
                  <c:v>1.7130000000000001</c:v>
                </c:pt>
                <c:pt idx="7" formatCode="0.0000">
                  <c:v>1.8659399999999999</c:v>
                </c:pt>
                <c:pt idx="8" formatCode="0.0000">
                  <c:v>2.16045</c:v>
                </c:pt>
                <c:pt idx="9" formatCode="0.0000">
                  <c:v>2.3614799999999998</c:v>
                </c:pt>
                <c:pt idx="10" formatCode="0.0000">
                  <c:v>2.7306699999999999</c:v>
                </c:pt>
              </c:numCache>
            </c:numRef>
          </c:val>
          <c:smooth val="0"/>
        </c:ser>
        <c:ser>
          <c:idx val="0"/>
          <c:order val="2"/>
          <c:tx>
            <c:strRef>
              <c:f>'[Котловые 2015-2025.xlsx]Гр котел прочие'!$B$14</c:f>
              <c:strCache>
                <c:ptCount val="1"/>
                <c:pt idx="0">
                  <c:v>Минимальный тариф на уровне СН 2</c:v>
                </c:pt>
              </c:strCache>
            </c:strRef>
          </c:tx>
          <c:spPr>
            <a:ln>
              <a:solidFill>
                <a:schemeClr val="accent3"/>
              </a:solidFill>
            </a:ln>
          </c:spPr>
          <c:marker>
            <c:symbol val="triangle"/>
            <c:size val="7"/>
            <c:spPr>
              <a:solidFill>
                <a:schemeClr val="accent3"/>
              </a:solidFill>
              <a:ln>
                <a:solidFill>
                  <a:schemeClr val="accent3"/>
                </a:solidFill>
              </a:ln>
            </c:spPr>
          </c:marker>
          <c:dLbls>
            <c:dLbl>
              <c:idx val="0"/>
              <c:delete val="1"/>
            </c:dLbl>
            <c:dLbl>
              <c:idx val="1"/>
              <c:delete val="1"/>
            </c:dLbl>
            <c:dLbl>
              <c:idx val="2"/>
              <c:layout>
                <c:manualLayout>
                  <c:x val="-2.4220691829989895E-2"/>
                  <c:y val="5.092592592592584E-2"/>
                </c:manualLayout>
              </c:layout>
              <c:tx>
                <c:rich>
                  <a:bodyPr/>
                  <a:lstStyle/>
                  <a:p>
                    <a:r>
                      <a:rPr lang="en-US"/>
                      <a:t>1,2728</a:t>
                    </a:r>
                  </a:p>
                </c:rich>
              </c:tx>
              <c:showLegendKey val="0"/>
              <c:showVal val="1"/>
              <c:showCatName val="0"/>
              <c:showSerName val="0"/>
              <c:showPercent val="0"/>
              <c:showBubbleSize val="0"/>
            </c:dLbl>
            <c:dLbl>
              <c:idx val="3"/>
              <c:delete val="1"/>
            </c:dLbl>
            <c:dLbl>
              <c:idx val="4"/>
              <c:delete val="1"/>
            </c:dLbl>
            <c:dLbl>
              <c:idx val="5"/>
              <c:delete val="1"/>
            </c:dLbl>
            <c:dLbl>
              <c:idx val="6"/>
              <c:layout>
                <c:manualLayout>
                  <c:x val="-5.3231939163498096E-2"/>
                  <c:y val="6.9444444444444531E-2"/>
                </c:manualLayout>
              </c:layout>
              <c:tx>
                <c:rich>
                  <a:bodyPr/>
                  <a:lstStyle/>
                  <a:p>
                    <a:r>
                      <a:rPr lang="en-US"/>
                      <a:t>1,3668</a:t>
                    </a:r>
                  </a:p>
                </c:rich>
              </c:tx>
              <c:showLegendKey val="0"/>
              <c:showVal val="1"/>
              <c:showCatName val="0"/>
              <c:showSerName val="0"/>
              <c:showPercent val="0"/>
              <c:showBubbleSize val="0"/>
            </c:dLbl>
            <c:dLbl>
              <c:idx val="7"/>
              <c:delete val="1"/>
            </c:dLbl>
            <c:dLbl>
              <c:idx val="8"/>
              <c:layout>
                <c:manualLayout>
                  <c:x val="-4.2670279566941964E-2"/>
                  <c:y val="4.629632122433297E-2"/>
                </c:manualLayout>
              </c:layout>
              <c:tx>
                <c:rich>
                  <a:bodyPr/>
                  <a:lstStyle/>
                  <a:p>
                    <a:r>
                      <a:rPr lang="en-US"/>
                      <a:t>1,6996</a:t>
                    </a:r>
                  </a:p>
                </c:rich>
              </c:tx>
              <c:showLegendKey val="0"/>
              <c:showVal val="1"/>
              <c:showCatName val="0"/>
              <c:showSerName val="0"/>
              <c:showPercent val="0"/>
              <c:showBubbleSize val="0"/>
            </c:dLbl>
            <c:dLbl>
              <c:idx val="9"/>
              <c:layout>
                <c:manualLayout>
                  <c:x val="-3.2688417567645921E-2"/>
                  <c:y val="4.2431051080410308E-2"/>
                </c:manualLayout>
              </c:layout>
              <c:showLegendKey val="0"/>
              <c:showVal val="1"/>
              <c:showCatName val="0"/>
              <c:showSerName val="0"/>
              <c:showPercent val="0"/>
              <c:showBubbleSize val="0"/>
            </c:dLbl>
            <c:dLbl>
              <c:idx val="10"/>
              <c:layout>
                <c:manualLayout>
                  <c:x val="-1.0371571766785076E-2"/>
                  <c:y val="4.8844707291360989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прочие'!$C$14:$M$14</c:f>
              <c:numCache>
                <c:formatCode>General</c:formatCode>
                <c:ptCount val="11"/>
                <c:pt idx="0">
                  <c:v>1.22332</c:v>
                </c:pt>
                <c:pt idx="1">
                  <c:v>1.3171600000000001</c:v>
                </c:pt>
                <c:pt idx="2">
                  <c:v>1.27281</c:v>
                </c:pt>
                <c:pt idx="3">
                  <c:v>1.30135</c:v>
                </c:pt>
                <c:pt idx="4">
                  <c:v>1.3390899999999999</c:v>
                </c:pt>
                <c:pt idx="5">
                  <c:v>1.3466499999999999</c:v>
                </c:pt>
                <c:pt idx="6">
                  <c:v>1.3668400000000001</c:v>
                </c:pt>
                <c:pt idx="7" formatCode="0.0000">
                  <c:v>1.5019100000000001</c:v>
                </c:pt>
                <c:pt idx="8" formatCode="0.0000">
                  <c:v>1.69963</c:v>
                </c:pt>
                <c:pt idx="9" formatCode="0.0000">
                  <c:v>2.00718</c:v>
                </c:pt>
                <c:pt idx="10" formatCode="0.0000">
                  <c:v>2.3885399999999999</c:v>
                </c:pt>
              </c:numCache>
            </c:numRef>
          </c:val>
          <c:smooth val="0"/>
        </c:ser>
        <c:dLbls>
          <c:showLegendKey val="0"/>
          <c:showVal val="1"/>
          <c:showCatName val="0"/>
          <c:showSerName val="0"/>
          <c:showPercent val="0"/>
          <c:showBubbleSize val="0"/>
        </c:dLbls>
        <c:marker val="1"/>
        <c:smooth val="0"/>
        <c:axId val="217525760"/>
        <c:axId val="217237760"/>
      </c:lineChart>
      <c:catAx>
        <c:axId val="217525760"/>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7237760"/>
        <c:crosses val="autoZero"/>
        <c:auto val="1"/>
        <c:lblAlgn val="ctr"/>
        <c:lblOffset val="100"/>
        <c:noMultiLvlLbl val="0"/>
      </c:catAx>
      <c:valAx>
        <c:axId val="217237760"/>
        <c:scaling>
          <c:orientation val="minMax"/>
        </c:scaling>
        <c:delete val="0"/>
        <c:axPos val="l"/>
        <c:majorGridlines/>
        <c:numFmt formatCode="General" sourceLinked="1"/>
        <c:majorTickMark val="none"/>
        <c:minorTickMark val="none"/>
        <c:tickLblPos val="nextTo"/>
        <c:crossAx val="217525760"/>
        <c:crosses val="autoZero"/>
        <c:crossBetween val="between"/>
      </c:valAx>
    </c:plotArea>
    <c:legend>
      <c:legendPos val="r"/>
      <c:layout>
        <c:manualLayout>
          <c:xMode val="edge"/>
          <c:yMode val="edge"/>
          <c:x val="0.75080020351147125"/>
          <c:y val="0.29225190707816817"/>
          <c:w val="0.24593467271400662"/>
          <c:h val="0.51085278162755243"/>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Динамика ЭОТ по уровню СН-2, руб./кВт ч</a:t>
            </a:r>
          </a:p>
        </c:rich>
      </c:tx>
      <c:overlay val="0"/>
    </c:title>
    <c:autoTitleDeleted val="0"/>
    <c:plotArea>
      <c:layout>
        <c:manualLayout>
          <c:layoutTarget val="inner"/>
          <c:xMode val="edge"/>
          <c:yMode val="edge"/>
          <c:x val="0.10097422717993584"/>
          <c:y val="0.14936750170208338"/>
          <c:w val="0.62934860812690241"/>
          <c:h val="0.70100758909414373"/>
        </c:manualLayout>
      </c:layout>
      <c:lineChart>
        <c:grouping val="standard"/>
        <c:varyColors val="0"/>
        <c:ser>
          <c:idx val="0"/>
          <c:order val="0"/>
          <c:tx>
            <c:strRef>
              <c:f>'[Котловые 2015-2025.xlsx]Гр ЭОТ котел'!$B$12</c:f>
              <c:strCache>
                <c:ptCount val="1"/>
                <c:pt idx="0">
                  <c:v>Максимальный тариф на уровне СН 2</c:v>
                </c:pt>
              </c:strCache>
            </c:strRef>
          </c:tx>
          <c:dLbls>
            <c:dLbl>
              <c:idx val="0"/>
              <c:layout>
                <c:manualLayout>
                  <c:x val="-3.8314176245210704E-2"/>
                  <c:y val="3.6144566883418119E-2"/>
                </c:manualLayout>
              </c:layout>
              <c:showLegendKey val="0"/>
              <c:showVal val="1"/>
              <c:showCatName val="0"/>
              <c:showSerName val="0"/>
              <c:showPercent val="0"/>
              <c:showBubbleSize val="0"/>
            </c:dLbl>
            <c:dLbl>
              <c:idx val="3"/>
              <c:layout>
                <c:manualLayout>
                  <c:x val="-3.0651340996168629E-2"/>
                  <c:y val="2.8112440909325204E-2"/>
                </c:manualLayout>
              </c:layout>
              <c:showLegendKey val="0"/>
              <c:showVal val="1"/>
              <c:showCatName val="0"/>
              <c:showSerName val="0"/>
              <c:showPercent val="0"/>
              <c:showBubbleSize val="0"/>
            </c:dLbl>
            <c:dLbl>
              <c:idx val="4"/>
              <c:delete val="1"/>
            </c:dLbl>
            <c:dLbl>
              <c:idx val="5"/>
              <c:delete val="1"/>
            </c:dLbl>
            <c:dLbl>
              <c:idx val="6"/>
              <c:layout>
                <c:manualLayout>
                  <c:x val="-4.3981481481481483E-2"/>
                  <c:y val="3.212850389637166E-2"/>
                </c:manualLayout>
              </c:layout>
              <c:showLegendKey val="0"/>
              <c:showVal val="1"/>
              <c:showCatName val="0"/>
              <c:showSerName val="0"/>
              <c:showPercent val="0"/>
              <c:showBubbleSize val="0"/>
            </c:dLbl>
            <c:dLbl>
              <c:idx val="7"/>
              <c:layout>
                <c:manualLayout>
                  <c:x val="-3.2407407407407489E-2"/>
                  <c:y val="-5.2208818831603949E-2"/>
                </c:manualLayout>
              </c:layout>
              <c:tx>
                <c:rich>
                  <a:bodyPr/>
                  <a:lstStyle/>
                  <a:p>
                    <a:r>
                      <a:rPr lang="en-US" b="0"/>
                      <a:t>2,836</a:t>
                    </a:r>
                    <a:r>
                      <a:rPr lang="ru-RU" b="0"/>
                      <a:t>8</a:t>
                    </a:r>
                    <a:endParaRPr lang="en-US"/>
                  </a:p>
                </c:rich>
              </c:tx>
              <c:showLegendKey val="0"/>
              <c:showVal val="1"/>
              <c:showCatName val="0"/>
              <c:showSerName val="0"/>
              <c:showPercent val="0"/>
              <c:showBubbleSize val="0"/>
            </c:dLbl>
            <c:dLbl>
              <c:idx val="8"/>
              <c:layout>
                <c:manualLayout>
                  <c:x val="-1.0718113612004209E-2"/>
                  <c:y val="4.4176692857511031E-2"/>
                </c:manualLayout>
              </c:layout>
              <c:showLegendKey val="0"/>
              <c:showVal val="1"/>
              <c:showCatName val="0"/>
              <c:showSerName val="0"/>
              <c:showPercent val="0"/>
              <c:showBubbleSize val="0"/>
            </c:dLbl>
            <c:dLbl>
              <c:idx val="10"/>
              <c:layout>
                <c:manualLayout>
                  <c:x val="-2.489193557212285E-2"/>
                  <c:y val="-3.6929984239329562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котел'!$C$12:$M$12</c:f>
              <c:numCache>
                <c:formatCode>0.0000</c:formatCode>
                <c:ptCount val="11"/>
                <c:pt idx="0">
                  <c:v>2.3328099999999998</c:v>
                </c:pt>
                <c:pt idx="1">
                  <c:v>2.29962</c:v>
                </c:pt>
                <c:pt idx="2">
                  <c:v>3.1958099999999998</c:v>
                </c:pt>
                <c:pt idx="3">
                  <c:v>2.7515900000000002</c:v>
                </c:pt>
                <c:pt idx="4">
                  <c:v>2.7115300000000002</c:v>
                </c:pt>
                <c:pt idx="5">
                  <c:v>2.6864499999999998</c:v>
                </c:pt>
                <c:pt idx="6">
                  <c:v>2.7659799999999999</c:v>
                </c:pt>
                <c:pt idx="7">
                  <c:v>2.8367599999999999</c:v>
                </c:pt>
                <c:pt idx="8">
                  <c:v>3.03098</c:v>
                </c:pt>
                <c:pt idx="9">
                  <c:v>3.3087</c:v>
                </c:pt>
                <c:pt idx="10">
                  <c:v>3.80789</c:v>
                </c:pt>
              </c:numCache>
            </c:numRef>
          </c:val>
          <c:smooth val="0"/>
        </c:ser>
        <c:ser>
          <c:idx val="1"/>
          <c:order val="1"/>
          <c:tx>
            <c:strRef>
              <c:f>'[Котловые 2015-2025.xlsx]Гр ЭОТ котел'!$B$13</c:f>
              <c:strCache>
                <c:ptCount val="1"/>
                <c:pt idx="0">
                  <c:v>Новосибирск СН 2</c:v>
                </c:pt>
              </c:strCache>
            </c:strRef>
          </c:tx>
          <c:dLbls>
            <c:dLbl>
              <c:idx val="0"/>
              <c:layout>
                <c:manualLayout>
                  <c:x val="-4.3422733077905465E-2"/>
                  <c:y val="4.819275584455749E-2"/>
                </c:manualLayout>
              </c:layout>
              <c:showLegendKey val="0"/>
              <c:showVal val="1"/>
              <c:showCatName val="0"/>
              <c:showSerName val="0"/>
              <c:showPercent val="0"/>
              <c:showBubbleSize val="0"/>
            </c:dLbl>
            <c:dLbl>
              <c:idx val="1"/>
              <c:delete val="1"/>
            </c:dLbl>
            <c:dLbl>
              <c:idx val="2"/>
              <c:delete val="1"/>
            </c:dLbl>
            <c:dLbl>
              <c:idx val="3"/>
              <c:delete val="1"/>
            </c:dLbl>
            <c:dLbl>
              <c:idx val="4"/>
              <c:layout>
                <c:manualLayout>
                  <c:x val="-4.5977011494252824E-2"/>
                  <c:y val="4.8192439619125442E-2"/>
                </c:manualLayout>
              </c:layout>
              <c:showLegendKey val="0"/>
              <c:showVal val="1"/>
              <c:showCatName val="0"/>
              <c:showSerName val="0"/>
              <c:showPercent val="0"/>
              <c:showBubbleSize val="0"/>
            </c:dLbl>
            <c:dLbl>
              <c:idx val="5"/>
              <c:delete val="1"/>
            </c:dLbl>
            <c:dLbl>
              <c:idx val="6"/>
              <c:delete val="1"/>
            </c:dLbl>
            <c:dLbl>
              <c:idx val="7"/>
              <c:delete val="1"/>
            </c:dLbl>
            <c:dLbl>
              <c:idx val="8"/>
              <c:layout>
                <c:manualLayout>
                  <c:x val="-4.8020703943892247E-2"/>
                  <c:y val="4.4776515437896479E-2"/>
                </c:manualLayout>
              </c:layout>
              <c:tx>
                <c:rich>
                  <a:bodyPr/>
                  <a:lstStyle/>
                  <a:p>
                    <a:r>
                      <a:rPr lang="en-US" b="0"/>
                      <a:t>1,5046</a:t>
                    </a:r>
                    <a:endParaRPr lang="en-US"/>
                  </a:p>
                </c:rich>
              </c:tx>
              <c:showLegendKey val="0"/>
              <c:showVal val="1"/>
              <c:showCatName val="0"/>
              <c:showSerName val="0"/>
              <c:showPercent val="0"/>
              <c:showBubbleSize val="0"/>
            </c:dLbl>
            <c:dLbl>
              <c:idx val="9"/>
              <c:layout>
                <c:manualLayout>
                  <c:x val="-4.81925290383593E-2"/>
                  <c:y val="-4.29318336464143E-2"/>
                </c:manualLayout>
              </c:layout>
              <c:showLegendKey val="0"/>
              <c:showVal val="1"/>
              <c:showCatName val="0"/>
              <c:showSerName val="0"/>
              <c:showPercent val="0"/>
              <c:showBubbleSize val="0"/>
            </c:dLbl>
            <c:dLbl>
              <c:idx val="10"/>
              <c:delete val="1"/>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котел'!$C$13:$M$13</c:f>
              <c:numCache>
                <c:formatCode>0.0000</c:formatCode>
                <c:ptCount val="11"/>
                <c:pt idx="0">
                  <c:v>0.98240000000000005</c:v>
                </c:pt>
                <c:pt idx="1">
                  <c:v>0.93008000000000002</c:v>
                </c:pt>
                <c:pt idx="2">
                  <c:v>1.09012</c:v>
                </c:pt>
                <c:pt idx="3">
                  <c:v>1.1549100000000001</c:v>
                </c:pt>
                <c:pt idx="4">
                  <c:v>1.0747500000000001</c:v>
                </c:pt>
                <c:pt idx="5">
                  <c:v>1.1147800000000001</c:v>
                </c:pt>
                <c:pt idx="6">
                  <c:v>1.14442</c:v>
                </c:pt>
                <c:pt idx="7">
                  <c:v>1.3400300000000001</c:v>
                </c:pt>
                <c:pt idx="8">
                  <c:v>1.5045599999999999</c:v>
                </c:pt>
                <c:pt idx="9">
                  <c:v>1.63073</c:v>
                </c:pt>
                <c:pt idx="10">
                  <c:v>1.9353800000000001</c:v>
                </c:pt>
              </c:numCache>
            </c:numRef>
          </c:val>
          <c:smooth val="0"/>
        </c:ser>
        <c:ser>
          <c:idx val="2"/>
          <c:order val="2"/>
          <c:tx>
            <c:strRef>
              <c:f>'[Котловые 2015-2025.xlsx]Гр ЭОТ котел'!$B$14</c:f>
              <c:strCache>
                <c:ptCount val="1"/>
                <c:pt idx="0">
                  <c:v>Минимальный тариф на уровне СН 2</c:v>
                </c:pt>
              </c:strCache>
            </c:strRef>
          </c:tx>
          <c:dLbls>
            <c:dLbl>
              <c:idx val="0"/>
              <c:layout>
                <c:manualLayout>
                  <c:x val="-2.8097062579821176E-2"/>
                  <c:y val="-5.6224881818650409E-2"/>
                </c:manualLayout>
              </c:layout>
              <c:showLegendKey val="0"/>
              <c:showVal val="1"/>
              <c:showCatName val="0"/>
              <c:showSerName val="0"/>
              <c:showPercent val="0"/>
              <c:showBubbleSize val="0"/>
            </c:dLbl>
            <c:dLbl>
              <c:idx val="1"/>
              <c:layout>
                <c:manualLayout>
                  <c:x val="-2.554278416347382E-3"/>
                  <c:y val="3.6144566883418119E-2"/>
                </c:manualLayout>
              </c:layout>
              <c:showLegendKey val="0"/>
              <c:showVal val="1"/>
              <c:showCatName val="0"/>
              <c:showSerName val="0"/>
              <c:showPercent val="0"/>
              <c:showBubbleSize val="0"/>
            </c:dLbl>
            <c:dLbl>
              <c:idx val="2"/>
              <c:layout>
                <c:manualLayout>
                  <c:x val="0"/>
                  <c:y val="-5.5827020568688136E-2"/>
                </c:manualLayout>
              </c:layout>
              <c:showLegendKey val="0"/>
              <c:showVal val="1"/>
              <c:showCatName val="0"/>
              <c:showSerName val="0"/>
              <c:showPercent val="0"/>
              <c:showBubbleSize val="0"/>
            </c:dLbl>
            <c:dLbl>
              <c:idx val="3"/>
              <c:delete val="1"/>
            </c:dLbl>
            <c:dLbl>
              <c:idx val="4"/>
              <c:delete val="1"/>
            </c:dLbl>
            <c:dLbl>
              <c:idx val="5"/>
              <c:delete val="1"/>
            </c:dLbl>
            <c:dLbl>
              <c:idx val="6"/>
              <c:delete val="1"/>
            </c:dLbl>
            <c:dLbl>
              <c:idx val="7"/>
              <c:layout>
                <c:manualLayout>
                  <c:x val="-4.3981663750364539E-2"/>
                  <c:y val="-6.0240944805696861E-2"/>
                </c:manualLayout>
              </c:layout>
              <c:tx>
                <c:rich>
                  <a:bodyPr/>
                  <a:lstStyle/>
                  <a:p>
                    <a:r>
                      <a:rPr lang="en-US" b="0"/>
                      <a:t>1,3400</a:t>
                    </a:r>
                    <a:endParaRPr lang="en-US"/>
                  </a:p>
                </c:rich>
              </c:tx>
              <c:showLegendKey val="0"/>
              <c:showVal val="1"/>
              <c:showCatName val="0"/>
              <c:showSerName val="0"/>
              <c:showPercent val="0"/>
              <c:showBubbleSize val="0"/>
            </c:dLbl>
            <c:dLbl>
              <c:idx val="8"/>
              <c:delete val="1"/>
            </c:dLbl>
            <c:dLbl>
              <c:idx val="9"/>
              <c:layout>
                <c:manualLayout>
                  <c:x val="-2.6824967884877263E-2"/>
                  <c:y val="4.3531582406206561E-2"/>
                </c:manualLayout>
              </c:layout>
              <c:showLegendKey val="0"/>
              <c:showVal val="1"/>
              <c:showCatName val="0"/>
              <c:showSerName val="0"/>
              <c:showPercent val="0"/>
              <c:showBubbleSize val="0"/>
            </c:dLbl>
            <c:dLbl>
              <c:idx val="10"/>
              <c:layout>
                <c:manualLayout>
                  <c:x val="-4.1486287067140151E-2"/>
                  <c:y val="-5.539497635899434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'[Котловые 2015-2025.xlsx]Гр ЭОТ котел'!$C$11:$M$11</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котел'!$C$14:$M$14</c:f>
              <c:numCache>
                <c:formatCode>0.0000</c:formatCode>
                <c:ptCount val="11"/>
                <c:pt idx="0">
                  <c:v>0.98240000000000005</c:v>
                </c:pt>
                <c:pt idx="1">
                  <c:v>0.93008000000000002</c:v>
                </c:pt>
                <c:pt idx="2">
                  <c:v>1.09012</c:v>
                </c:pt>
                <c:pt idx="3">
                  <c:v>1.1549100000000001</c:v>
                </c:pt>
                <c:pt idx="4">
                  <c:v>1.0747500000000001</c:v>
                </c:pt>
                <c:pt idx="5">
                  <c:v>1.1147800000000001</c:v>
                </c:pt>
                <c:pt idx="6">
                  <c:v>1.14442</c:v>
                </c:pt>
                <c:pt idx="7">
                  <c:v>1.3400300000000001</c:v>
                </c:pt>
                <c:pt idx="8">
                  <c:v>1.5045599999999999</c:v>
                </c:pt>
                <c:pt idx="9">
                  <c:v>1.5927500000000001</c:v>
                </c:pt>
                <c:pt idx="10">
                  <c:v>1.9353800000000001</c:v>
                </c:pt>
              </c:numCache>
            </c:numRef>
          </c:val>
          <c:smooth val="0"/>
        </c:ser>
        <c:dLbls>
          <c:showLegendKey val="0"/>
          <c:showVal val="1"/>
          <c:showCatName val="0"/>
          <c:showSerName val="0"/>
          <c:showPercent val="0"/>
          <c:showBubbleSize val="0"/>
        </c:dLbls>
        <c:marker val="1"/>
        <c:smooth val="0"/>
        <c:axId val="217886720"/>
        <c:axId val="217239488"/>
      </c:lineChart>
      <c:catAx>
        <c:axId val="217886720"/>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7239488"/>
        <c:crosses val="autoZero"/>
        <c:auto val="1"/>
        <c:lblAlgn val="ctr"/>
        <c:lblOffset val="100"/>
        <c:noMultiLvlLbl val="0"/>
      </c:catAx>
      <c:valAx>
        <c:axId val="217239488"/>
        <c:scaling>
          <c:orientation val="minMax"/>
        </c:scaling>
        <c:delete val="0"/>
        <c:axPos val="l"/>
        <c:majorGridlines/>
        <c:numFmt formatCode="0.0000" sourceLinked="1"/>
        <c:majorTickMark val="none"/>
        <c:minorTickMark val="none"/>
        <c:tickLblPos val="nextTo"/>
        <c:crossAx val="217886720"/>
        <c:crosses val="autoZero"/>
        <c:crossBetween val="between"/>
      </c:valAx>
    </c:plotArea>
    <c:legend>
      <c:legendPos val="r"/>
      <c:layout>
        <c:manualLayout>
          <c:xMode val="edge"/>
          <c:yMode val="edge"/>
          <c:x val="0.76200813956053559"/>
          <c:y val="0.25526143230181392"/>
          <c:w val="0.22410280586878492"/>
          <c:h val="0.5736524295900469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b="1">
                <a:latin typeface="Times New Roman" panose="02020603050405020304" pitchFamily="18" charset="0"/>
                <a:cs typeface="Times New Roman" panose="02020603050405020304" pitchFamily="18" charset="0"/>
              </a:rPr>
              <a:t>Динамика тарифов по прочим потребителям</a:t>
            </a:r>
            <a:r>
              <a:rPr lang="ru-RU" sz="1400" b="1" baseline="0">
                <a:latin typeface="Times New Roman" panose="02020603050405020304" pitchFamily="18" charset="0"/>
                <a:cs typeface="Times New Roman" panose="02020603050405020304" pitchFamily="18" charset="0"/>
              </a:rPr>
              <a:t> на уровне НН, руб./кВт ч</a:t>
            </a:r>
            <a:endParaRPr lang="ru-RU" sz="1400" b="1">
              <a:latin typeface="Times New Roman" panose="02020603050405020304" pitchFamily="18" charset="0"/>
              <a:cs typeface="Times New Roman" panose="02020603050405020304" pitchFamily="18" charset="0"/>
            </a:endParaRPr>
          </a:p>
        </c:rich>
      </c:tx>
      <c:overlay val="0"/>
    </c:title>
    <c:autoTitleDeleted val="0"/>
    <c:plotArea>
      <c:layout>
        <c:manualLayout>
          <c:layoutTarget val="inner"/>
          <c:xMode val="edge"/>
          <c:yMode val="edge"/>
          <c:x val="5.2000810038983616E-2"/>
          <c:y val="0.25130796150481188"/>
          <c:w val="0.66773597341406898"/>
          <c:h val="0.57620771361913092"/>
        </c:manualLayout>
      </c:layout>
      <c:lineChart>
        <c:grouping val="standard"/>
        <c:varyColors val="0"/>
        <c:ser>
          <c:idx val="1"/>
          <c:order val="0"/>
          <c:tx>
            <c:strRef>
              <c:f>'[Котловые 2015-2025.xlsx]Гр котел прочие'!$B$16</c:f>
              <c:strCache>
                <c:ptCount val="1"/>
                <c:pt idx="0">
                  <c:v>Максимальный тариф на уровне НН</c:v>
                </c:pt>
              </c:strCache>
            </c:strRef>
          </c:tx>
          <c:spPr>
            <a:ln>
              <a:solidFill>
                <a:schemeClr val="accent1"/>
              </a:solidFill>
            </a:ln>
          </c:spPr>
          <c:marker>
            <c:symbol val="diamond"/>
            <c:size val="7"/>
            <c:spPr>
              <a:solidFill>
                <a:schemeClr val="accent1"/>
              </a:solidFill>
              <a:ln>
                <a:solidFill>
                  <a:schemeClr val="accent1"/>
                </a:solidFill>
              </a:ln>
            </c:spPr>
          </c:marker>
          <c:dLbls>
            <c:dLbl>
              <c:idx val="0"/>
              <c:layout>
                <c:manualLayout>
                  <c:x val="-4.1666666666666664E-2"/>
                  <c:y val="5.5555555555555552E-2"/>
                </c:manualLayout>
              </c:layout>
              <c:tx>
                <c:rich>
                  <a:bodyPr/>
                  <a:lstStyle/>
                  <a:p>
                    <a:r>
                      <a:rPr lang="en-US"/>
                      <a:t>3,2511</a:t>
                    </a:r>
                  </a:p>
                </c:rich>
              </c:tx>
              <c:showLegendKey val="0"/>
              <c:showVal val="1"/>
              <c:showCatName val="0"/>
              <c:showSerName val="0"/>
              <c:showPercent val="0"/>
              <c:showBubbleSize val="0"/>
            </c:dLbl>
            <c:dLbl>
              <c:idx val="1"/>
              <c:layout>
                <c:manualLayout>
                  <c:x val="-1.7482713366506048E-2"/>
                  <c:y val="2.3552423764628145E-2"/>
                </c:manualLayout>
              </c:layout>
              <c:tx>
                <c:rich>
                  <a:bodyPr/>
                  <a:lstStyle/>
                  <a:p>
                    <a:r>
                      <a:rPr lang="en-US"/>
                      <a:t>3,5727</a:t>
                    </a:r>
                  </a:p>
                </c:rich>
              </c:tx>
              <c:showLegendKey val="0"/>
              <c:showVal val="1"/>
              <c:showCatName val="0"/>
              <c:showSerName val="0"/>
              <c:showPercent val="0"/>
              <c:showBubbleSize val="0"/>
            </c:dLbl>
            <c:dLbl>
              <c:idx val="2"/>
              <c:layout>
                <c:manualLayout>
                  <c:x val="-5.5888888616669158E-2"/>
                  <c:y val="-3.8249689828263427E-2"/>
                </c:manualLayout>
              </c:layout>
              <c:showLegendKey val="0"/>
              <c:showVal val="1"/>
              <c:showCatName val="0"/>
              <c:showSerName val="0"/>
              <c:showPercent val="0"/>
              <c:showBubbleSize val="0"/>
            </c:dLbl>
            <c:dLbl>
              <c:idx val="3"/>
              <c:delete val="1"/>
            </c:dLbl>
            <c:dLbl>
              <c:idx val="4"/>
              <c:layout>
                <c:manualLayout>
                  <c:x val="-5.5555555555555558E-3"/>
                  <c:y val="2.7777777777777735E-2"/>
                </c:manualLayout>
              </c:layout>
              <c:tx>
                <c:rich>
                  <a:bodyPr/>
                  <a:lstStyle/>
                  <a:p>
                    <a:r>
                      <a:rPr lang="en-US"/>
                      <a:t>4,4992</a:t>
                    </a:r>
                  </a:p>
                </c:rich>
              </c:tx>
              <c:showLegendKey val="0"/>
              <c:showVal val="1"/>
              <c:showCatName val="0"/>
              <c:showSerName val="0"/>
              <c:showPercent val="0"/>
              <c:showBubbleSize val="0"/>
            </c:dLbl>
            <c:dLbl>
              <c:idx val="5"/>
              <c:delete val="1"/>
            </c:dLbl>
            <c:dLbl>
              <c:idx val="6"/>
              <c:delete val="1"/>
            </c:dLbl>
            <c:dLbl>
              <c:idx val="7"/>
              <c:layout>
                <c:manualLayout>
                  <c:x val="-4.989085883577913E-2"/>
                  <c:y val="4.1666666666666623E-2"/>
                </c:manualLayout>
              </c:layout>
              <c:tx>
                <c:rich>
                  <a:bodyPr/>
                  <a:lstStyle/>
                  <a:p>
                    <a:r>
                      <a:rPr lang="en-US"/>
                      <a:t>4,9307</a:t>
                    </a:r>
                  </a:p>
                </c:rich>
              </c:tx>
              <c:showLegendKey val="0"/>
              <c:showVal val="1"/>
              <c:showCatName val="0"/>
              <c:showSerName val="0"/>
              <c:showPercent val="0"/>
              <c:showBubbleSize val="0"/>
            </c:dLbl>
            <c:dLbl>
              <c:idx val="8"/>
              <c:layout>
                <c:manualLayout>
                  <c:x val="-8.2972574134280008E-3"/>
                  <c:y val="1.6901822701876134E-2"/>
                </c:manualLayout>
              </c:layout>
              <c:tx>
                <c:rich>
                  <a:bodyPr/>
                  <a:lstStyle/>
                  <a:p>
                    <a:r>
                      <a:rPr lang="en-US"/>
                      <a:t>5,374</a:t>
                    </a:r>
                    <a:r>
                      <a:rPr lang="ru-RU"/>
                      <a:t>5</a:t>
                    </a:r>
                    <a:endParaRPr lang="en-US"/>
                  </a:p>
                </c:rich>
              </c:tx>
              <c:showLegendKey val="0"/>
              <c:showVal val="1"/>
              <c:showCatName val="0"/>
              <c:showSerName val="0"/>
              <c:showPercent val="0"/>
              <c:showBubbleSize val="0"/>
            </c:dLbl>
            <c:dLbl>
              <c:idx val="9"/>
              <c:layout>
                <c:manualLayout>
                  <c:x val="-4.9872336306872989E-2"/>
                  <c:y val="-6.4815179352580923E-2"/>
                </c:manualLayout>
              </c:layout>
              <c:showLegendKey val="0"/>
              <c:showVal val="1"/>
              <c:showCatName val="0"/>
              <c:showSerName val="0"/>
              <c:showPercent val="0"/>
              <c:showBubbleSize val="0"/>
            </c:dLbl>
            <c:dLbl>
              <c:idx val="10"/>
              <c:layout>
                <c:manualLayout>
                  <c:x val="-3.0325997307433572E-2"/>
                  <c:y val="-5.555555555555555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прочие'!$C$16:$M$16</c:f>
              <c:numCache>
                <c:formatCode>General</c:formatCode>
                <c:ptCount val="11"/>
                <c:pt idx="0">
                  <c:v>3.2511399999999999</c:v>
                </c:pt>
                <c:pt idx="1">
                  <c:v>3.5727199999999999</c:v>
                </c:pt>
                <c:pt idx="2">
                  <c:v>4.2389000000000001</c:v>
                </c:pt>
                <c:pt idx="3">
                  <c:v>4.3681900000000002</c:v>
                </c:pt>
                <c:pt idx="4">
                  <c:v>4.4992299999999998</c:v>
                </c:pt>
                <c:pt idx="5">
                  <c:v>4.6342100000000004</c:v>
                </c:pt>
                <c:pt idx="6">
                  <c:v>4.7639699999999996</c:v>
                </c:pt>
                <c:pt idx="7" formatCode="0.0000">
                  <c:v>4.9307100000000004</c:v>
                </c:pt>
                <c:pt idx="8" formatCode="0.0000">
                  <c:v>5.3744699999999996</c:v>
                </c:pt>
                <c:pt idx="9" formatCode="0.0000">
                  <c:v>5.7423700000000002</c:v>
                </c:pt>
                <c:pt idx="10" formatCode="0.0000">
                  <c:v>6.6938800000000001</c:v>
                </c:pt>
              </c:numCache>
            </c:numRef>
          </c:val>
          <c:smooth val="0"/>
        </c:ser>
        <c:ser>
          <c:idx val="2"/>
          <c:order val="1"/>
          <c:tx>
            <c:strRef>
              <c:f>'[Котловые 2015-2025.xlsx]Гр котел прочие'!$B$17</c:f>
              <c:strCache>
                <c:ptCount val="1"/>
                <c:pt idx="0">
                  <c:v>Новосибирск НН</c:v>
                </c:pt>
              </c:strCache>
            </c:strRef>
          </c:tx>
          <c:spPr>
            <a:ln>
              <a:solidFill>
                <a:schemeClr val="accent2"/>
              </a:solidFill>
            </a:ln>
          </c:spPr>
          <c:marker>
            <c:symbol val="square"/>
            <c:size val="7"/>
            <c:spPr>
              <a:solidFill>
                <a:schemeClr val="accent2"/>
              </a:solidFill>
              <a:ln>
                <a:solidFill>
                  <a:schemeClr val="accent2"/>
                </a:solidFill>
              </a:ln>
            </c:spPr>
          </c:marker>
          <c:dLbls>
            <c:dLbl>
              <c:idx val="0"/>
              <c:layout>
                <c:manualLayout>
                  <c:x val="-3.888888888888889E-2"/>
                  <c:y val="6.0185185185185099E-2"/>
                </c:manualLayout>
              </c:layout>
              <c:tx>
                <c:rich>
                  <a:bodyPr/>
                  <a:lstStyle/>
                  <a:p>
                    <a:r>
                      <a:rPr lang="en-US"/>
                      <a:t>1,400</a:t>
                    </a:r>
                    <a:r>
                      <a:rPr lang="ru-RU"/>
                      <a:t>8</a:t>
                    </a:r>
                    <a:endParaRPr lang="en-US"/>
                  </a:p>
                </c:rich>
              </c:tx>
              <c:showLegendKey val="0"/>
              <c:showVal val="1"/>
              <c:showCatName val="0"/>
              <c:showSerName val="0"/>
              <c:showPercent val="0"/>
              <c:showBubbleSize val="0"/>
            </c:dLbl>
            <c:dLbl>
              <c:idx val="1"/>
              <c:layout>
                <c:manualLayout>
                  <c:x val="-1.944444444444442E-2"/>
                  <c:y val="2.3147783610382035E-2"/>
                </c:manualLayout>
              </c:layout>
              <c:showLegendKey val="0"/>
              <c:showVal val="1"/>
              <c:showCatName val="0"/>
              <c:showSerName val="0"/>
              <c:showPercent val="0"/>
              <c:showBubbleSize val="0"/>
            </c:dLbl>
            <c:dLbl>
              <c:idx val="2"/>
              <c:layout>
                <c:manualLayout>
                  <c:x val="-3.3333333333333333E-2"/>
                  <c:y val="-5.5555555555555552E-2"/>
                </c:manualLayout>
              </c:layout>
              <c:tx>
                <c:rich>
                  <a:bodyPr/>
                  <a:lstStyle/>
                  <a:p>
                    <a:r>
                      <a:rPr lang="en-US"/>
                      <a:t>1,7803</a:t>
                    </a:r>
                  </a:p>
                </c:rich>
              </c:tx>
              <c:showLegendKey val="0"/>
              <c:showVal val="1"/>
              <c:showCatName val="0"/>
              <c:showSerName val="0"/>
              <c:showPercent val="0"/>
              <c:showBubbleSize val="0"/>
            </c:dLbl>
            <c:dLbl>
              <c:idx val="3"/>
              <c:delete val="1"/>
            </c:dLbl>
            <c:dLbl>
              <c:idx val="4"/>
              <c:delete val="1"/>
            </c:dLbl>
            <c:dLbl>
              <c:idx val="5"/>
              <c:layout>
                <c:manualLayout>
                  <c:x val="-4.9111284074658181E-2"/>
                  <c:y val="5.1733930469762483E-2"/>
                </c:manualLayout>
              </c:layout>
              <c:tx>
                <c:rich>
                  <a:bodyPr/>
                  <a:lstStyle/>
                  <a:p>
                    <a:r>
                      <a:rPr lang="en-US"/>
                      <a:t>1,932</a:t>
                    </a:r>
                    <a:r>
                      <a:rPr lang="ru-RU"/>
                      <a:t>6</a:t>
                    </a:r>
                    <a:endParaRPr lang="en-US"/>
                  </a:p>
                </c:rich>
              </c:tx>
              <c:showLegendKey val="0"/>
              <c:showVal val="1"/>
              <c:showCatName val="0"/>
              <c:showSerName val="0"/>
              <c:showPercent val="0"/>
              <c:showBubbleSize val="0"/>
            </c:dLbl>
            <c:dLbl>
              <c:idx val="6"/>
              <c:delete val="1"/>
            </c:dLbl>
            <c:dLbl>
              <c:idx val="7"/>
              <c:layout>
                <c:manualLayout>
                  <c:x val="-5.2385401777568084E-2"/>
                  <c:y val="5.0925925925926013E-2"/>
                </c:manualLayout>
              </c:layout>
              <c:tx>
                <c:rich>
                  <a:bodyPr/>
                  <a:lstStyle/>
                  <a:p>
                    <a:r>
                      <a:rPr lang="en-US"/>
                      <a:t>2,157</a:t>
                    </a:r>
                    <a:r>
                      <a:rPr lang="ru-RU"/>
                      <a:t>3</a:t>
                    </a:r>
                    <a:endParaRPr lang="en-US"/>
                  </a:p>
                </c:rich>
              </c:tx>
              <c:showLegendKey val="0"/>
              <c:showVal val="1"/>
              <c:showCatName val="0"/>
              <c:showSerName val="0"/>
              <c:showPercent val="0"/>
              <c:showBubbleSize val="0"/>
            </c:dLbl>
            <c:dLbl>
              <c:idx val="8"/>
              <c:layout>
                <c:manualLayout>
                  <c:x val="-1.1405756835730517E-2"/>
                  <c:y val="1.3888888888888973E-2"/>
                </c:manualLayout>
              </c:layout>
              <c:tx>
                <c:rich>
                  <a:bodyPr/>
                  <a:lstStyle/>
                  <a:p>
                    <a:r>
                      <a:rPr lang="en-US"/>
                      <a:t>2,5003</a:t>
                    </a:r>
                  </a:p>
                </c:rich>
              </c:tx>
              <c:showLegendKey val="0"/>
              <c:showVal val="1"/>
              <c:showCatName val="0"/>
              <c:showSerName val="0"/>
              <c:showPercent val="0"/>
              <c:showBubbleSize val="0"/>
            </c:dLbl>
            <c:dLbl>
              <c:idx val="9"/>
              <c:layout>
                <c:manualLayout>
                  <c:x val="-4.1060724608629952E-2"/>
                  <c:y val="-6.0185185185185182E-2"/>
                </c:manualLayout>
              </c:layout>
              <c:showLegendKey val="0"/>
              <c:showVal val="1"/>
              <c:showCatName val="0"/>
              <c:showSerName val="0"/>
              <c:showPercent val="0"/>
              <c:showBubbleSize val="0"/>
            </c:dLbl>
            <c:dLbl>
              <c:idx val="10"/>
              <c:layout>
                <c:manualLayout>
                  <c:x val="-2.4260797845946799E-2"/>
                  <c:y val="-6.9444444444444448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'[Котловые 2015-2025.xlsx]Гр котел прочие'!$C$15:$M$15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прочие'!$C$17:$M$17</c:f>
              <c:numCache>
                <c:formatCode>General</c:formatCode>
                <c:ptCount val="11"/>
                <c:pt idx="0">
                  <c:v>1.4007700000000001</c:v>
                </c:pt>
                <c:pt idx="1">
                  <c:v>1.5251999999999999</c:v>
                </c:pt>
                <c:pt idx="2">
                  <c:v>1.78034</c:v>
                </c:pt>
                <c:pt idx="3">
                  <c:v>1.78034</c:v>
                </c:pt>
                <c:pt idx="4">
                  <c:v>1.8230599999999999</c:v>
                </c:pt>
                <c:pt idx="5">
                  <c:v>1.93255</c:v>
                </c:pt>
                <c:pt idx="6">
                  <c:v>1.9466699999999999</c:v>
                </c:pt>
                <c:pt idx="7" formatCode="0.0000">
                  <c:v>2.1572800000000001</c:v>
                </c:pt>
                <c:pt idx="8" formatCode="0.0000">
                  <c:v>2.50034</c:v>
                </c:pt>
                <c:pt idx="9" formatCode="0.0000">
                  <c:v>2.8863300000000001</c:v>
                </c:pt>
                <c:pt idx="10" formatCode="0.0000">
                  <c:v>3.5026700000000002</c:v>
                </c:pt>
              </c:numCache>
            </c:numRef>
          </c:val>
          <c:smooth val="0"/>
        </c:ser>
        <c:ser>
          <c:idx val="0"/>
          <c:order val="2"/>
          <c:tx>
            <c:strRef>
              <c:f>'[Котловые 2015-2025.xlsx]Гр котел прочие'!$B$18</c:f>
              <c:strCache>
                <c:ptCount val="1"/>
                <c:pt idx="0">
                  <c:v>Минимальный тариф на уровне НН</c:v>
                </c:pt>
              </c:strCache>
            </c:strRef>
          </c:tx>
          <c:spPr>
            <a:ln>
              <a:solidFill>
                <a:schemeClr val="accent3"/>
              </a:solidFill>
            </a:ln>
          </c:spPr>
          <c:marker>
            <c:symbol val="triangle"/>
            <c:size val="7"/>
            <c:spPr>
              <a:solidFill>
                <a:schemeClr val="accent3"/>
              </a:solidFill>
              <a:ln>
                <a:solidFill>
                  <a:schemeClr val="accent3"/>
                </a:solidFill>
              </a:ln>
            </c:spPr>
          </c:marker>
          <c:dLbls>
            <c:delete val="1"/>
          </c:dLbls>
          <c:cat>
            <c:strRef>
              <c:f>'[Котловые 2015-2025.xlsx]Гр котел прочие'!$C$15:$M$15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 2023 г</c:v>
                </c:pt>
                <c:pt idx="9">
                  <c:v>2 п/г 2024 г</c:v>
                </c:pt>
                <c:pt idx="10">
                  <c:v>2 п/г 2025 г</c:v>
                </c:pt>
              </c:strCache>
            </c:strRef>
          </c:cat>
          <c:val>
            <c:numRef>
              <c:f>'[Котловые 2015-2025.xlsx]Гр котел прочие'!$C$18:$M$18</c:f>
              <c:numCache>
                <c:formatCode>General</c:formatCode>
                <c:ptCount val="11"/>
                <c:pt idx="0">
                  <c:v>1.4007700000000001</c:v>
                </c:pt>
                <c:pt idx="1">
                  <c:v>1.5251999999999999</c:v>
                </c:pt>
                <c:pt idx="2">
                  <c:v>1.78034</c:v>
                </c:pt>
                <c:pt idx="3">
                  <c:v>1.78034</c:v>
                </c:pt>
                <c:pt idx="4">
                  <c:v>1.8230599999999999</c:v>
                </c:pt>
                <c:pt idx="5">
                  <c:v>1.93255</c:v>
                </c:pt>
                <c:pt idx="6">
                  <c:v>1.9466699999999999</c:v>
                </c:pt>
                <c:pt idx="7" formatCode="0.0000">
                  <c:v>2.1572800000000001</c:v>
                </c:pt>
                <c:pt idx="8" formatCode="0.0000">
                  <c:v>2.50034</c:v>
                </c:pt>
                <c:pt idx="9" formatCode="0.0000">
                  <c:v>2.8863300000000001</c:v>
                </c:pt>
                <c:pt idx="10" formatCode="0.0000">
                  <c:v>3.5026700000000002</c:v>
                </c:pt>
              </c:numCache>
            </c:numRef>
          </c:val>
          <c:smooth val="0"/>
        </c:ser>
        <c:dLbls>
          <c:showLegendKey val="0"/>
          <c:showVal val="1"/>
          <c:showCatName val="0"/>
          <c:showSerName val="0"/>
          <c:showPercent val="0"/>
          <c:showBubbleSize val="0"/>
        </c:dLbls>
        <c:marker val="1"/>
        <c:smooth val="0"/>
        <c:axId val="217888768"/>
        <c:axId val="217241216"/>
      </c:lineChart>
      <c:catAx>
        <c:axId val="217888768"/>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7241216"/>
        <c:crosses val="autoZero"/>
        <c:auto val="1"/>
        <c:lblAlgn val="ctr"/>
        <c:lblOffset val="100"/>
        <c:noMultiLvlLbl val="0"/>
      </c:catAx>
      <c:valAx>
        <c:axId val="217241216"/>
        <c:scaling>
          <c:orientation val="minMax"/>
        </c:scaling>
        <c:delete val="0"/>
        <c:axPos val="l"/>
        <c:majorGridlines/>
        <c:numFmt formatCode="General" sourceLinked="1"/>
        <c:majorTickMark val="none"/>
        <c:minorTickMark val="none"/>
        <c:tickLblPos val="nextTo"/>
        <c:crossAx val="217888768"/>
        <c:crosses val="autoZero"/>
        <c:crossBetween val="between"/>
      </c:valAx>
    </c:plotArea>
    <c:legend>
      <c:legendPos val="r"/>
      <c:layout>
        <c:manualLayout>
          <c:xMode val="edge"/>
          <c:yMode val="edge"/>
          <c:x val="0.74093532624364289"/>
          <c:y val="0.32418727352638899"/>
          <c:w val="0.24240029203732791"/>
          <c:h val="0.4781472408273508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Динамика ЭОТ по уровню напряжения НН, руб./кВт ч</a:t>
            </a:r>
          </a:p>
        </c:rich>
      </c:tx>
      <c:overlay val="0"/>
    </c:title>
    <c:autoTitleDeleted val="0"/>
    <c:plotArea>
      <c:layout>
        <c:manualLayout>
          <c:layoutTarget val="inner"/>
          <c:xMode val="edge"/>
          <c:yMode val="edge"/>
          <c:x val="9.049033532150666E-2"/>
          <c:y val="0.15551963071310629"/>
          <c:w val="0.66763277449344682"/>
          <c:h val="0.63765764905562849"/>
        </c:manualLayout>
      </c:layout>
      <c:lineChart>
        <c:grouping val="standard"/>
        <c:varyColors val="0"/>
        <c:ser>
          <c:idx val="0"/>
          <c:order val="0"/>
          <c:tx>
            <c:strRef>
              <c:f>'[Котловые 2015-2025.xlsx]Гр ЭОТ котел'!$B$16</c:f>
              <c:strCache>
                <c:ptCount val="1"/>
                <c:pt idx="0">
                  <c:v>Максимальный тариф на уровне НН</c:v>
                </c:pt>
              </c:strCache>
            </c:strRef>
          </c:tx>
          <c:dLbls>
            <c:dLbl>
              <c:idx val="0"/>
              <c:layout>
                <c:manualLayout>
                  <c:x val="-2.5591810620601431E-2"/>
                  <c:y val="-4.4176706827309273E-2"/>
                </c:manualLayout>
              </c:layout>
              <c:showLegendKey val="0"/>
              <c:showVal val="1"/>
              <c:showCatName val="0"/>
              <c:showSerName val="0"/>
              <c:showPercent val="0"/>
              <c:showBubbleSize val="0"/>
            </c:dLbl>
            <c:dLbl>
              <c:idx val="1"/>
              <c:layout>
                <c:manualLayout>
                  <c:x val="-1.5355086372360844E-2"/>
                  <c:y val="1.6064257028112448E-2"/>
                </c:manualLayout>
              </c:layout>
              <c:showLegendKey val="0"/>
              <c:showVal val="1"/>
              <c:showCatName val="0"/>
              <c:showSerName val="0"/>
              <c:showPercent val="0"/>
              <c:showBubbleSize val="0"/>
            </c:dLbl>
            <c:dLbl>
              <c:idx val="2"/>
              <c:layout>
                <c:manualLayout>
                  <c:x val="-3.0710172744721688E-2"/>
                  <c:y val="-4.8192771084337352E-2"/>
                </c:manualLayout>
              </c:layout>
              <c:showLegendKey val="0"/>
              <c:showVal val="1"/>
              <c:showCatName val="0"/>
              <c:showSerName val="0"/>
              <c:showPercent val="0"/>
              <c:showBubbleSize val="0"/>
            </c:dLbl>
            <c:dLbl>
              <c:idx val="4"/>
              <c:delete val="1"/>
            </c:dLbl>
            <c:dLbl>
              <c:idx val="5"/>
              <c:delete val="1"/>
            </c:dLbl>
            <c:dLbl>
              <c:idx val="6"/>
              <c:layout>
                <c:manualLayout>
                  <c:x val="-5.5361819886474928E-2"/>
                  <c:y val="-3.614457831325301E-2"/>
                </c:manualLayout>
              </c:layout>
              <c:showLegendKey val="0"/>
              <c:showVal val="1"/>
              <c:showCatName val="0"/>
              <c:showSerName val="0"/>
              <c:showPercent val="0"/>
              <c:showBubbleSize val="0"/>
            </c:dLbl>
            <c:dLbl>
              <c:idx val="7"/>
              <c:layout>
                <c:manualLayout>
                  <c:x val="-1.5873013038903525E-2"/>
                  <c:y val="2.4096385542168676E-2"/>
                </c:manualLayout>
              </c:layout>
              <c:tx>
                <c:rich>
                  <a:bodyPr/>
                  <a:lstStyle/>
                  <a:p>
                    <a:r>
                      <a:rPr lang="en-US"/>
                      <a:t>4,321</a:t>
                    </a:r>
                    <a:r>
                      <a:rPr lang="ru-RU"/>
                      <a:t>9</a:t>
                    </a:r>
                    <a:endParaRPr lang="en-US"/>
                  </a:p>
                </c:rich>
              </c:tx>
              <c:showLegendKey val="0"/>
              <c:showVal val="1"/>
              <c:showCatName val="0"/>
              <c:showSerName val="0"/>
              <c:showPercent val="0"/>
              <c:showBubbleSize val="0"/>
            </c:dLbl>
            <c:dLbl>
              <c:idx val="8"/>
              <c:tx>
                <c:rich>
                  <a:bodyPr/>
                  <a:lstStyle/>
                  <a:p>
                    <a:r>
                      <a:rPr lang="en-US"/>
                      <a:t>4,5033</a:t>
                    </a:r>
                  </a:p>
                </c:rich>
              </c:tx>
              <c:showLegendKey val="0"/>
              <c:showVal val="1"/>
              <c:showCatName val="0"/>
              <c:showSerName val="0"/>
              <c:showPercent val="0"/>
              <c:showBubbleSize val="0"/>
            </c:dLbl>
            <c:dLbl>
              <c:idx val="9"/>
              <c:layout>
                <c:manualLayout>
                  <c:x val="-5.788711132071344E-2"/>
                  <c:y val="-4.0160642570281159E-2"/>
                </c:manualLayout>
              </c:layout>
              <c:showLegendKey val="0"/>
              <c:showVal val="1"/>
              <c:showCatName val="0"/>
              <c:showSerName val="0"/>
              <c:showPercent val="0"/>
              <c:showBubbleSize val="0"/>
            </c:dLbl>
            <c:dLbl>
              <c:idx val="10"/>
              <c:layout>
                <c:manualLayout>
                  <c:x val="-3.7385514589208253E-2"/>
                  <c:y val="-3.614475284437537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strRef>
              <c:f>'[Котловые 2015-2025.xlsx]Гр ЭОТ котел'!$C$15:$M$15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котел'!$C$16:$M$16</c:f>
              <c:numCache>
                <c:formatCode>0.0000</c:formatCode>
                <c:ptCount val="11"/>
                <c:pt idx="0">
                  <c:v>3.4926300000000001</c:v>
                </c:pt>
                <c:pt idx="1">
                  <c:v>3.30057</c:v>
                </c:pt>
                <c:pt idx="2">
                  <c:v>3.7857500000000002</c:v>
                </c:pt>
                <c:pt idx="3">
                  <c:v>3.6166999999999998</c:v>
                </c:pt>
                <c:pt idx="4">
                  <c:v>3.8766600000000002</c:v>
                </c:pt>
                <c:pt idx="5">
                  <c:v>4.0569600000000001</c:v>
                </c:pt>
                <c:pt idx="6">
                  <c:v>4.1009599999999997</c:v>
                </c:pt>
                <c:pt idx="7">
                  <c:v>4.3218699999999997</c:v>
                </c:pt>
                <c:pt idx="8">
                  <c:v>4.5033099999999999</c:v>
                </c:pt>
                <c:pt idx="9">
                  <c:v>5.0188300000000003</c:v>
                </c:pt>
                <c:pt idx="10">
                  <c:v>5.3639000000000001</c:v>
                </c:pt>
              </c:numCache>
            </c:numRef>
          </c:val>
          <c:smooth val="0"/>
        </c:ser>
        <c:ser>
          <c:idx val="1"/>
          <c:order val="1"/>
          <c:tx>
            <c:strRef>
              <c:f>'[Котловые 2015-2025.xlsx]Гр ЭОТ котел'!$B$17</c:f>
              <c:strCache>
                <c:ptCount val="1"/>
                <c:pt idx="0">
                  <c:v>Новосибирск НН</c:v>
                </c:pt>
              </c:strCache>
            </c:strRef>
          </c:tx>
          <c:dLbls>
            <c:dLbl>
              <c:idx val="0"/>
              <c:delete val="1"/>
            </c:dLbl>
            <c:dLbl>
              <c:idx val="1"/>
              <c:layout>
                <c:manualLayout>
                  <c:x val="0"/>
                  <c:y val="1.2048192771084263E-2"/>
                </c:manualLayout>
              </c:layout>
              <c:showLegendKey val="0"/>
              <c:showVal val="1"/>
              <c:showCatName val="0"/>
              <c:showSerName val="0"/>
              <c:showPercent val="0"/>
              <c:showBubbleSize val="0"/>
            </c:dLbl>
            <c:dLbl>
              <c:idx val="2"/>
              <c:delete val="1"/>
            </c:dLbl>
            <c:dLbl>
              <c:idx val="3"/>
              <c:delete val="1"/>
            </c:dLbl>
            <c:dLbl>
              <c:idx val="4"/>
              <c:delete val="1"/>
            </c:dLbl>
            <c:dLbl>
              <c:idx val="5"/>
              <c:delete val="1"/>
            </c:dLbl>
            <c:dLbl>
              <c:idx val="6"/>
              <c:delete val="1"/>
            </c:dLbl>
            <c:dLbl>
              <c:idx val="7"/>
              <c:layout>
                <c:manualLayout>
                  <c:x val="-3.4013599369078981E-2"/>
                  <c:y val="4.8192771084337352E-2"/>
                </c:manualLayout>
              </c:layout>
              <c:tx>
                <c:rich>
                  <a:bodyPr/>
                  <a:lstStyle/>
                  <a:p>
                    <a:r>
                      <a:rPr lang="en-US"/>
                      <a:t>2,080</a:t>
                    </a:r>
                    <a:r>
                      <a:rPr lang="ru-RU"/>
                      <a:t>1</a:t>
                    </a:r>
                    <a:endParaRPr lang="en-US"/>
                  </a:p>
                </c:rich>
              </c:tx>
              <c:showLegendKey val="0"/>
              <c:showVal val="1"/>
              <c:showCatName val="0"/>
              <c:showSerName val="0"/>
              <c:showPercent val="0"/>
              <c:showBubbleSize val="0"/>
            </c:dLbl>
            <c:dLbl>
              <c:idx val="8"/>
              <c:layout>
                <c:manualLayout>
                  <c:x val="-4.3504215275633883E-2"/>
                  <c:y val="-5.2208835341365459E-2"/>
                </c:manualLayout>
              </c:layout>
              <c:tx>
                <c:rich>
                  <a:bodyPr/>
                  <a:lstStyle/>
                  <a:p>
                    <a:r>
                      <a:rPr lang="en-US"/>
                      <a:t>2,4199</a:t>
                    </a:r>
                  </a:p>
                </c:rich>
              </c:tx>
              <c:showLegendKey val="0"/>
              <c:showVal val="1"/>
              <c:showCatName val="0"/>
              <c:showSerName val="0"/>
              <c:showPercent val="0"/>
              <c:showBubbleSize val="0"/>
            </c:dLbl>
            <c:dLbl>
              <c:idx val="9"/>
              <c:delete val="1"/>
            </c:dLbl>
            <c:dLbl>
              <c:idx val="10"/>
              <c:layout>
                <c:manualLayout>
                  <c:x val="-3.4732266792428065E-2"/>
                  <c:y val="-4.8192771084337352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strRef>
              <c:f>'[Котловые 2015-2025.xlsx]Гр ЭОТ котел'!$C$15:$M$15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котел'!$C$17:$M$17</c:f>
              <c:numCache>
                <c:formatCode>0.0000</c:formatCode>
                <c:ptCount val="11"/>
                <c:pt idx="0">
                  <c:v>1.50153</c:v>
                </c:pt>
                <c:pt idx="1">
                  <c:v>1.72262</c:v>
                </c:pt>
                <c:pt idx="2">
                  <c:v>1.9016599999999999</c:v>
                </c:pt>
                <c:pt idx="3">
                  <c:v>2.0053899999999998</c:v>
                </c:pt>
                <c:pt idx="4">
                  <c:v>1.82613</c:v>
                </c:pt>
                <c:pt idx="5">
                  <c:v>1.8835900000000001</c:v>
                </c:pt>
                <c:pt idx="6">
                  <c:v>1.9171199999999999</c:v>
                </c:pt>
                <c:pt idx="7">
                  <c:v>2.0800800000000002</c:v>
                </c:pt>
                <c:pt idx="8">
                  <c:v>2.4198499999999998</c:v>
                </c:pt>
                <c:pt idx="9">
                  <c:v>2.6252800000000001</c:v>
                </c:pt>
                <c:pt idx="10">
                  <c:v>3.1522299999999999</c:v>
                </c:pt>
              </c:numCache>
            </c:numRef>
          </c:val>
          <c:smooth val="0"/>
        </c:ser>
        <c:ser>
          <c:idx val="2"/>
          <c:order val="2"/>
          <c:tx>
            <c:strRef>
              <c:f>'[Котловые 2015-2025.xlsx]Гр ЭОТ котел'!$B$18</c:f>
              <c:strCache>
                <c:ptCount val="1"/>
                <c:pt idx="0">
                  <c:v>Минимальный тариф на уровне НН</c:v>
                </c:pt>
              </c:strCache>
            </c:strRef>
          </c:tx>
          <c:dLbls>
            <c:dLbl>
              <c:idx val="0"/>
              <c:layout>
                <c:manualLayout>
                  <c:x val="-4.6065259117082535E-2"/>
                  <c:y val="4.0160642570281201E-2"/>
                </c:manualLayout>
              </c:layout>
              <c:showLegendKey val="0"/>
              <c:showVal val="1"/>
              <c:showCatName val="0"/>
              <c:showSerName val="0"/>
              <c:showPercent val="0"/>
              <c:showBubbleSize val="0"/>
            </c:dLbl>
            <c:dLbl>
              <c:idx val="1"/>
              <c:delete val="1"/>
            </c:dLbl>
            <c:dLbl>
              <c:idx val="2"/>
              <c:delete val="1"/>
            </c:dLbl>
            <c:dLbl>
              <c:idx val="3"/>
              <c:layout>
                <c:manualLayout>
                  <c:x val="-2.3032629558541268E-2"/>
                  <c:y val="-4.8192771084337352E-2"/>
                </c:manualLayout>
              </c:layout>
              <c:showLegendKey val="0"/>
              <c:showVal val="1"/>
              <c:showCatName val="0"/>
              <c:showSerName val="0"/>
              <c:showPercent val="0"/>
              <c:showBubbleSize val="0"/>
            </c:dLbl>
            <c:dLbl>
              <c:idx val="4"/>
              <c:layout>
                <c:manualLayout>
                  <c:x val="-2.0473448496481125E-2"/>
                  <c:y val="2.8112449799196786E-2"/>
                </c:manualLayout>
              </c:layout>
              <c:showLegendKey val="0"/>
              <c:showVal val="1"/>
              <c:showCatName val="0"/>
              <c:showSerName val="0"/>
              <c:showPercent val="0"/>
              <c:showBubbleSize val="0"/>
            </c:dLbl>
            <c:dLbl>
              <c:idx val="5"/>
              <c:delete val="1"/>
            </c:dLbl>
            <c:dLbl>
              <c:idx val="6"/>
              <c:delete val="1"/>
            </c:dLbl>
            <c:dLbl>
              <c:idx val="7"/>
              <c:delete val="1"/>
            </c:dLbl>
            <c:dLbl>
              <c:idx val="8"/>
              <c:layout>
                <c:manualLayout>
                  <c:x val="-2.4471966229175832E-2"/>
                  <c:y val="3.2128514056224897E-2"/>
                </c:manualLayout>
              </c:layout>
              <c:tx>
                <c:rich>
                  <a:bodyPr/>
                  <a:lstStyle/>
                  <a:p>
                    <a:r>
                      <a:rPr lang="en-US"/>
                      <a:t>2,3768</a:t>
                    </a:r>
                  </a:p>
                </c:rich>
              </c:tx>
              <c:showLegendKey val="0"/>
              <c:showVal val="1"/>
              <c:showCatName val="0"/>
              <c:showSerName val="0"/>
              <c:showPercent val="0"/>
              <c:showBubbleSize val="0"/>
            </c:dLbl>
            <c:dLbl>
              <c:idx val="9"/>
              <c:layout>
                <c:manualLayout>
                  <c:x val="-4.0907275698427358E-2"/>
                  <c:y val="-6.7890345618190309E-2"/>
                </c:manualLayout>
              </c:layout>
              <c:showLegendKey val="0"/>
              <c:showVal val="1"/>
              <c:showCatName val="0"/>
              <c:showSerName val="0"/>
              <c:showPercent val="0"/>
              <c:showBubbleSize val="0"/>
            </c:dLbl>
            <c:dLbl>
              <c:idx val="10"/>
              <c:layout>
                <c:manualLayout>
                  <c:x val="-3.8978000017966502E-2"/>
                  <c:y val="4.5497824124464424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strRef>
              <c:f>'[Котловые 2015-2025.xlsx]Гр ЭОТ котел'!$C$15:$M$15</c:f>
              <c:strCache>
                <c:ptCount val="11"/>
                <c:pt idx="0">
                  <c:v>2 п/г 2015 г</c:v>
                </c:pt>
                <c:pt idx="1">
                  <c:v>2 п/г 2016 г</c:v>
                </c:pt>
                <c:pt idx="2">
                  <c:v>2 п/г 2017 г</c:v>
                </c:pt>
                <c:pt idx="3">
                  <c:v>2 п/г 2018 г</c:v>
                </c:pt>
                <c:pt idx="4">
                  <c:v>2 п/г 2019 г</c:v>
                </c:pt>
                <c:pt idx="5">
                  <c:v>2 п/г 2020 г</c:v>
                </c:pt>
                <c:pt idx="6">
                  <c:v>2 п/г 2021 г</c:v>
                </c:pt>
                <c:pt idx="7">
                  <c:v>2 п/г 2022 г</c:v>
                </c:pt>
                <c:pt idx="8">
                  <c:v>2023 г</c:v>
                </c:pt>
                <c:pt idx="9">
                  <c:v>2 п/г 2024 г</c:v>
                </c:pt>
                <c:pt idx="10">
                  <c:v>2 п/г 2025 г</c:v>
                </c:pt>
              </c:strCache>
            </c:strRef>
          </c:cat>
          <c:val>
            <c:numRef>
              <c:f>'[Котловые 2015-2025.xlsx]Гр ЭОТ котел'!$C$18:$M$18</c:f>
              <c:numCache>
                <c:formatCode>0.0000</c:formatCode>
                <c:ptCount val="11"/>
                <c:pt idx="0">
                  <c:v>1.50153</c:v>
                </c:pt>
                <c:pt idx="1">
                  <c:v>1.72262</c:v>
                </c:pt>
                <c:pt idx="2">
                  <c:v>1.9016599999999999</c:v>
                </c:pt>
                <c:pt idx="3">
                  <c:v>2.0053899999999998</c:v>
                </c:pt>
                <c:pt idx="4">
                  <c:v>1.82613</c:v>
                </c:pt>
                <c:pt idx="5">
                  <c:v>1.8835900000000001</c:v>
                </c:pt>
                <c:pt idx="6">
                  <c:v>1.9171199999999999</c:v>
                </c:pt>
                <c:pt idx="7">
                  <c:v>2.0800800000000002</c:v>
                </c:pt>
                <c:pt idx="8">
                  <c:v>2.3768199999999999</c:v>
                </c:pt>
                <c:pt idx="9">
                  <c:v>2.6252800000000001</c:v>
                </c:pt>
                <c:pt idx="10">
                  <c:v>2.9369299999999998</c:v>
                </c:pt>
              </c:numCache>
            </c:numRef>
          </c:val>
          <c:smooth val="0"/>
        </c:ser>
        <c:dLbls>
          <c:showLegendKey val="0"/>
          <c:showVal val="1"/>
          <c:showCatName val="0"/>
          <c:showSerName val="0"/>
          <c:showPercent val="0"/>
          <c:showBubbleSize val="0"/>
        </c:dLbls>
        <c:marker val="1"/>
        <c:smooth val="0"/>
        <c:axId val="217890304"/>
        <c:axId val="217242944"/>
      </c:lineChart>
      <c:catAx>
        <c:axId val="217890304"/>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7242944"/>
        <c:crosses val="autoZero"/>
        <c:auto val="1"/>
        <c:lblAlgn val="ctr"/>
        <c:lblOffset val="100"/>
        <c:noMultiLvlLbl val="0"/>
      </c:catAx>
      <c:valAx>
        <c:axId val="217242944"/>
        <c:scaling>
          <c:orientation val="minMax"/>
        </c:scaling>
        <c:delete val="0"/>
        <c:axPos val="l"/>
        <c:majorGridlines/>
        <c:numFmt formatCode="0.0000" sourceLinked="1"/>
        <c:majorTickMark val="none"/>
        <c:minorTickMark val="none"/>
        <c:tickLblPos val="nextTo"/>
        <c:crossAx val="217890304"/>
        <c:crosses val="autoZero"/>
        <c:crossBetween val="between"/>
      </c:valAx>
    </c:plotArea>
    <c:legend>
      <c:legendPos val="r"/>
      <c:layout>
        <c:manualLayout>
          <c:xMode val="edge"/>
          <c:yMode val="edge"/>
          <c:x val="0.76800410942906538"/>
          <c:y val="0.21972866500614874"/>
          <c:w val="0.22876185044680974"/>
          <c:h val="0.5105508409720923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6593912636611938"/>
          <c:y val="2.5216137120240161E-2"/>
          <c:w val="0.79884306540890304"/>
          <c:h val="0.84357877789238012"/>
        </c:manualLayout>
      </c:layout>
      <c:barChart>
        <c:barDir val="col"/>
        <c:grouping val="clustered"/>
        <c:varyColors val="0"/>
        <c:ser>
          <c:idx val="0"/>
          <c:order val="0"/>
          <c:tx>
            <c:strRef>
              <c:f>'НВВ котел 2021-2025 '!$A$2</c:f>
              <c:strCache>
                <c:ptCount val="1"/>
                <c:pt idx="0">
                  <c:v>НВВ котел</c:v>
                </c:pt>
              </c:strCache>
            </c:strRef>
          </c:tx>
          <c:invertIfNegative val="0"/>
          <c:dLbls>
            <c:dLbl>
              <c:idx val="0"/>
              <c:layout>
                <c:manualLayout>
                  <c:x val="4.4000611851027788E-3"/>
                  <c:y val="7.0987653458397647E-3"/>
                </c:manualLayout>
              </c:layout>
              <c:tx>
                <c:rich>
                  <a:bodyPr/>
                  <a:lstStyle/>
                  <a:p>
                    <a:r>
                      <a:rPr lang="en-US" sz="900" b="0"/>
                      <a:t> </a:t>
                    </a:r>
                    <a:r>
                      <a:rPr lang="ru-RU" sz="900" b="0"/>
                      <a:t>14</a:t>
                    </a:r>
                    <a:r>
                      <a:rPr lang="ru-RU" sz="900" b="0" baseline="0"/>
                      <a:t> 067</a:t>
                    </a:r>
                    <a:endParaRPr lang="en-US"/>
                  </a:p>
                </c:rich>
              </c:tx>
              <c:showLegendKey val="0"/>
              <c:showVal val="1"/>
              <c:showCatName val="0"/>
              <c:showSerName val="0"/>
              <c:showPercent val="0"/>
              <c:showBubbleSize val="0"/>
            </c:dLbl>
            <c:dLbl>
              <c:idx val="1"/>
              <c:layout>
                <c:manualLayout>
                  <c:x val="0"/>
                  <c:y val="7.1563380096682947E-3"/>
                </c:manualLayout>
              </c:layout>
              <c:tx>
                <c:rich>
                  <a:bodyPr/>
                  <a:lstStyle/>
                  <a:p>
                    <a:r>
                      <a:rPr lang="en-US" sz="900" b="0"/>
                      <a:t> </a:t>
                    </a:r>
                    <a:r>
                      <a:rPr lang="ru-RU" sz="900" b="0"/>
                      <a:t>15</a:t>
                    </a:r>
                    <a:r>
                      <a:rPr lang="ru-RU" sz="900" b="0" baseline="0"/>
                      <a:t> 939</a:t>
                    </a:r>
                    <a:endParaRPr lang="ru-RU" sz="900" b="0"/>
                  </a:p>
                  <a:p>
                    <a:r>
                      <a:rPr lang="ru-RU" sz="900" b="0"/>
                      <a:t>(113%)</a:t>
                    </a:r>
                    <a:r>
                      <a:rPr lang="en-US" sz="900" b="0"/>
                      <a:t>   </a:t>
                    </a:r>
                    <a:endParaRPr lang="en-US"/>
                  </a:p>
                </c:rich>
              </c:tx>
              <c:showLegendKey val="0"/>
              <c:showVal val="1"/>
              <c:showCatName val="0"/>
              <c:showSerName val="0"/>
              <c:showPercent val="0"/>
              <c:showBubbleSize val="0"/>
            </c:dLbl>
            <c:dLbl>
              <c:idx val="2"/>
              <c:layout>
                <c:manualLayout>
                  <c:x val="1.4986192642647298E-3"/>
                  <c:y val="5.509983407334703E-2"/>
                </c:manualLayout>
              </c:layout>
              <c:tx>
                <c:rich>
                  <a:bodyPr/>
                  <a:lstStyle/>
                  <a:p>
                    <a:r>
                      <a:rPr lang="en-US" sz="900" b="0"/>
                      <a:t> </a:t>
                    </a:r>
                    <a:r>
                      <a:rPr lang="ru-RU" sz="900" b="0"/>
                      <a:t>19</a:t>
                    </a:r>
                    <a:r>
                      <a:rPr lang="ru-RU" sz="900" b="0" baseline="0"/>
                      <a:t> 463</a:t>
                    </a:r>
                    <a:endParaRPr lang="ru-RU" sz="900" b="0"/>
                  </a:p>
                  <a:p>
                    <a:r>
                      <a:rPr lang="ru-RU" sz="900" b="0"/>
                      <a:t>(122%)</a:t>
                    </a:r>
                  </a:p>
                  <a:p>
                    <a:endParaRPr lang="en-US" sz="800"/>
                  </a:p>
                </c:rich>
              </c:tx>
              <c:showLegendKey val="0"/>
              <c:showVal val="1"/>
              <c:showCatName val="0"/>
              <c:showSerName val="0"/>
              <c:showPercent val="0"/>
              <c:showBubbleSize val="0"/>
            </c:dLbl>
            <c:dLbl>
              <c:idx val="3"/>
              <c:layout>
                <c:manualLayout>
                  <c:x val="1.4935955723605592E-3"/>
                  <c:y val="-8.3843685186271221E-7"/>
                </c:manualLayout>
              </c:layout>
              <c:tx>
                <c:rich>
                  <a:bodyPr/>
                  <a:lstStyle/>
                  <a:p>
                    <a:r>
                      <a:rPr lang="en-US" sz="900" b="0"/>
                      <a:t> </a:t>
                    </a:r>
                    <a:r>
                      <a:rPr lang="ru-RU" sz="900" b="0"/>
                      <a:t>21 201</a:t>
                    </a:r>
                  </a:p>
                  <a:p>
                    <a:r>
                      <a:rPr lang="ru-RU" sz="900" b="0"/>
                      <a:t>(109%)</a:t>
                    </a:r>
                    <a:r>
                      <a:rPr lang="en-US" sz="900" b="0"/>
                      <a:t>   </a:t>
                    </a:r>
                    <a:endParaRPr lang="en-US"/>
                  </a:p>
                </c:rich>
              </c:tx>
              <c:showLegendKey val="0"/>
              <c:showVal val="1"/>
              <c:showCatName val="0"/>
              <c:showSerName val="0"/>
              <c:showPercent val="0"/>
              <c:showBubbleSize val="0"/>
            </c:dLbl>
            <c:dLbl>
              <c:idx val="4"/>
              <c:layout>
                <c:manualLayout>
                  <c:x val="4.6194233359246634E-2"/>
                  <c:y val="5.7102069950035689E-3"/>
                </c:manualLayout>
              </c:layout>
              <c:tx>
                <c:rich>
                  <a:bodyPr/>
                  <a:lstStyle/>
                  <a:p>
                    <a:r>
                      <a:rPr lang="ru-RU" sz="900" b="0"/>
                      <a:t>2</a:t>
                    </a:r>
                    <a:r>
                      <a:rPr lang="en-US" sz="900" b="0"/>
                      <a:t>5</a:t>
                    </a:r>
                    <a:r>
                      <a:rPr lang="ru-RU" sz="900" b="0" baseline="0"/>
                      <a:t> </a:t>
                    </a:r>
                    <a:r>
                      <a:rPr lang="en-US" sz="900" b="0" baseline="0"/>
                      <a:t>219</a:t>
                    </a:r>
                    <a:endParaRPr lang="ru-RU" sz="900" b="0"/>
                  </a:p>
                  <a:p>
                    <a:r>
                      <a:rPr lang="ru-RU" sz="900" b="0"/>
                      <a:t> (1</a:t>
                    </a:r>
                    <a:r>
                      <a:rPr lang="en-US" sz="900" b="0"/>
                      <a:t>19</a:t>
                    </a:r>
                    <a:r>
                      <a:rPr lang="ru-RU" sz="900" b="0"/>
                      <a:t>%)</a:t>
                    </a:r>
                    <a:endParaRPr lang="en-US"/>
                  </a:p>
                </c:rich>
              </c:tx>
              <c:showLegendKey val="0"/>
              <c:showVal val="1"/>
              <c:showCatName val="0"/>
              <c:showSerName val="0"/>
              <c:showPercent val="0"/>
              <c:showBubbleSize val="0"/>
            </c:dLbl>
            <c:dLbl>
              <c:idx val="5"/>
              <c:tx>
                <c:rich>
                  <a:bodyPr/>
                  <a:lstStyle/>
                  <a:p>
                    <a:r>
                      <a:rPr lang="en-US" sz="900" b="0"/>
                      <a:t>13139</a:t>
                    </a:r>
                    <a:r>
                      <a:rPr lang="ru-RU" sz="900" b="0"/>
                      <a:t> </a:t>
                    </a:r>
                  </a:p>
                  <a:p>
                    <a:r>
                      <a:rPr lang="ru-RU" sz="900" b="0"/>
                      <a:t>(109%</a:t>
                    </a:r>
                    <a:endParaRPr lang="en-US"/>
                  </a:p>
                </c:rich>
              </c:tx>
              <c:showLegendKey val="0"/>
              <c:showVal val="1"/>
              <c:showCatName val="0"/>
              <c:showSerName val="0"/>
              <c:showPercent val="0"/>
              <c:showBubbleSize val="0"/>
            </c:dLbl>
            <c:txPr>
              <a:bodyPr/>
              <a:lstStyle/>
              <a:p>
                <a:pPr>
                  <a:defRPr sz="900" b="0"/>
                </a:pPr>
                <a:endParaRPr lang="ru-RU"/>
              </a:p>
            </c:txPr>
            <c:showLegendKey val="0"/>
            <c:showVal val="1"/>
            <c:showCatName val="0"/>
            <c:showSerName val="0"/>
            <c:showPercent val="0"/>
            <c:showBubbleSize val="0"/>
            <c:showLeaderLines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'!$E$2:$I$2</c:f>
              <c:numCache>
                <c:formatCode>0</c:formatCode>
                <c:ptCount val="5"/>
                <c:pt idx="0" formatCode="_-* #,##0_р_._-;\-* #,##0_р_._-;_-* &quot;-&quot;??_р_._-;_-@_-">
                  <c:v>14066.7388793511</c:v>
                </c:pt>
                <c:pt idx="1">
                  <c:v>15939.198629028964</c:v>
                </c:pt>
                <c:pt idx="2">
                  <c:v>19463.373677995813</c:v>
                </c:pt>
                <c:pt idx="3">
                  <c:v>21200.869924956645</c:v>
                </c:pt>
                <c:pt idx="4">
                  <c:v>25219.329978511767</c:v>
                </c:pt>
              </c:numCache>
            </c:numRef>
          </c:val>
        </c:ser>
        <c:ser>
          <c:idx val="1"/>
          <c:order val="1"/>
          <c:tx>
            <c:strRef>
              <c:f>'НВВ котел 2021-2025 '!$A$3</c:f>
              <c:strCache>
                <c:ptCount val="1"/>
                <c:pt idx="0">
                  <c:v>Расходы АО "РЭС"</c:v>
                </c:pt>
              </c:strCache>
            </c:strRef>
          </c:tx>
          <c:invertIfNegative val="0"/>
          <c:dLbls>
            <c:dLbl>
              <c:idx val="0"/>
              <c:layout>
                <c:manualLayout>
                  <c:x val="2.135224966986549E-2"/>
                  <c:y val="1.0648148018759745E-2"/>
                </c:manualLayout>
              </c:layout>
              <c:tx>
                <c:rich>
                  <a:bodyPr/>
                  <a:lstStyle/>
                  <a:p>
                    <a:r>
                      <a:rPr lang="en-US" sz="900"/>
                      <a:t> </a:t>
                    </a:r>
                    <a:r>
                      <a:rPr lang="ru-RU" sz="900"/>
                      <a:t>9</a:t>
                    </a:r>
                    <a:r>
                      <a:rPr lang="ru-RU" sz="900" baseline="0"/>
                      <a:t> 619</a:t>
                    </a:r>
                    <a:endParaRPr lang="ru-RU"/>
                  </a:p>
                </c:rich>
              </c:tx>
              <c:showLegendKey val="0"/>
              <c:showVal val="1"/>
              <c:showCatName val="0"/>
              <c:showSerName val="0"/>
              <c:showPercent val="0"/>
              <c:showBubbleSize val="0"/>
            </c:dLbl>
            <c:dLbl>
              <c:idx val="1"/>
              <c:layout>
                <c:manualLayout>
                  <c:x val="2.9972212054539239E-2"/>
                  <c:y val="2.0015723485762086E-2"/>
                </c:manualLayout>
              </c:layout>
              <c:tx>
                <c:rich>
                  <a:bodyPr/>
                  <a:lstStyle/>
                  <a:p>
                    <a:r>
                      <a:rPr lang="en-US" sz="900"/>
                      <a:t> </a:t>
                    </a:r>
                    <a:r>
                      <a:rPr lang="ru-RU" sz="900"/>
                      <a:t>9</a:t>
                    </a:r>
                    <a:r>
                      <a:rPr lang="ru-RU" sz="900" baseline="0"/>
                      <a:t> 626</a:t>
                    </a:r>
                    <a:endParaRPr lang="ru-RU" sz="900"/>
                  </a:p>
                  <a:p>
                    <a:r>
                      <a:rPr lang="ru-RU" sz="900"/>
                      <a:t>(100,1%)</a:t>
                    </a:r>
                    <a:r>
                      <a:rPr lang="en-US" sz="900"/>
                      <a:t>   </a:t>
                    </a:r>
                    <a:endParaRPr lang="en-US" sz="800"/>
                  </a:p>
                </c:rich>
              </c:tx>
              <c:showLegendKey val="0"/>
              <c:showVal val="1"/>
              <c:showCatName val="0"/>
              <c:showSerName val="0"/>
              <c:showPercent val="0"/>
              <c:showBubbleSize val="0"/>
            </c:dLbl>
            <c:dLbl>
              <c:idx val="2"/>
              <c:layout>
                <c:manualLayout>
                  <c:x val="2.4358322966916299E-2"/>
                  <c:y val="2.0261385483360244E-2"/>
                </c:manualLayout>
              </c:layout>
              <c:tx>
                <c:rich>
                  <a:bodyPr/>
                  <a:lstStyle/>
                  <a:p>
                    <a:r>
                      <a:rPr lang="en-US" sz="900"/>
                      <a:t> </a:t>
                    </a:r>
                    <a:r>
                      <a:rPr lang="ru-RU" sz="900"/>
                      <a:t>10</a:t>
                    </a:r>
                    <a:r>
                      <a:rPr lang="ru-RU" sz="900" baseline="0"/>
                      <a:t> 760</a:t>
                    </a:r>
                    <a:endParaRPr lang="ru-RU" sz="900"/>
                  </a:p>
                  <a:p>
                    <a:r>
                      <a:rPr lang="ru-RU" sz="900"/>
                      <a:t>(112%)</a:t>
                    </a:r>
                    <a:r>
                      <a:rPr lang="en-US" sz="900"/>
                      <a:t>   </a:t>
                    </a:r>
                    <a:endParaRPr lang="en-US" sz="800"/>
                  </a:p>
                </c:rich>
              </c:tx>
              <c:showLegendKey val="0"/>
              <c:showVal val="1"/>
              <c:showCatName val="0"/>
              <c:showSerName val="0"/>
              <c:showPercent val="0"/>
              <c:showBubbleSize val="0"/>
            </c:dLbl>
            <c:dLbl>
              <c:idx val="3"/>
              <c:layout>
                <c:manualLayout>
                  <c:x val="2.5483629953468485E-2"/>
                  <c:y val="1.6021410323449375E-2"/>
                </c:manualLayout>
              </c:layout>
              <c:tx>
                <c:rich>
                  <a:bodyPr/>
                  <a:lstStyle/>
                  <a:p>
                    <a:r>
                      <a:rPr lang="en-US" sz="900"/>
                      <a:t> </a:t>
                    </a:r>
                    <a:r>
                      <a:rPr lang="ru-RU" sz="900"/>
                      <a:t>12</a:t>
                    </a:r>
                    <a:r>
                      <a:rPr lang="ru-RU" sz="900" baseline="0"/>
                      <a:t> 296</a:t>
                    </a:r>
                    <a:endParaRPr lang="ru-RU" sz="900"/>
                  </a:p>
                  <a:p>
                    <a:r>
                      <a:rPr lang="ru-RU" sz="900"/>
                      <a:t>  (114%)</a:t>
                    </a:r>
                    <a:r>
                      <a:rPr lang="en-US" sz="900"/>
                      <a:t>   </a:t>
                    </a:r>
                    <a:endParaRPr lang="en-US" sz="800"/>
                  </a:p>
                </c:rich>
              </c:tx>
              <c:showLegendKey val="0"/>
              <c:showVal val="1"/>
              <c:showCatName val="0"/>
              <c:showSerName val="0"/>
              <c:showPercent val="0"/>
              <c:showBubbleSize val="0"/>
            </c:dLbl>
            <c:dLbl>
              <c:idx val="4"/>
              <c:layout>
                <c:manualLayout>
                  <c:x val="3.2012350659931223E-2"/>
                  <c:y val="8.9525492253262704E-3"/>
                </c:manualLayout>
              </c:layout>
              <c:tx>
                <c:rich>
                  <a:bodyPr/>
                  <a:lstStyle/>
                  <a:p>
                    <a:r>
                      <a:rPr lang="ru-RU" sz="900"/>
                      <a:t>1</a:t>
                    </a:r>
                    <a:r>
                      <a:rPr lang="en-US" sz="900"/>
                      <a:t>5</a:t>
                    </a:r>
                    <a:r>
                      <a:rPr lang="ru-RU" sz="900" baseline="0"/>
                      <a:t> </a:t>
                    </a:r>
                    <a:r>
                      <a:rPr lang="en-US" sz="900" baseline="0"/>
                      <a:t>507</a:t>
                    </a:r>
                    <a:endParaRPr lang="ru-RU" sz="900"/>
                  </a:p>
                  <a:p>
                    <a:r>
                      <a:rPr lang="ru-RU" sz="900"/>
                      <a:t> (</a:t>
                    </a:r>
                    <a:r>
                      <a:rPr lang="en-US" sz="900"/>
                      <a:t>126</a:t>
                    </a:r>
                    <a:r>
                      <a:rPr lang="ru-RU" sz="900"/>
                      <a:t>%)</a:t>
                    </a:r>
                    <a:endParaRPr lang="en-US" sz="800"/>
                  </a:p>
                </c:rich>
              </c:tx>
              <c:showLegendKey val="0"/>
              <c:showVal val="1"/>
              <c:showCatName val="0"/>
              <c:showSerName val="0"/>
              <c:showPercent val="0"/>
              <c:showBubbleSize val="0"/>
            </c:dLbl>
            <c:dLbl>
              <c:idx val="5"/>
              <c:tx>
                <c:rich>
                  <a:bodyPr/>
                  <a:lstStyle/>
                  <a:p>
                    <a:r>
                      <a:rPr lang="en-US" sz="900"/>
                      <a:t>8688</a:t>
                    </a:r>
                    <a:r>
                      <a:rPr lang="ru-RU" sz="900"/>
                      <a:t> </a:t>
                    </a:r>
                  </a:p>
                  <a:p>
                    <a:r>
                      <a:rPr lang="ru-RU" sz="900"/>
                      <a:t>(110%)</a:t>
                    </a:r>
                    <a:endParaRPr lang="en-US"/>
                  </a:p>
                </c:rich>
              </c:tx>
              <c:showLegendKey val="0"/>
              <c:showVal val="1"/>
              <c:showCatName val="0"/>
              <c:showSerName val="0"/>
              <c:showPercent val="0"/>
              <c:showBubbleSize val="0"/>
            </c:dLbl>
            <c:txPr>
              <a:bodyPr/>
              <a:lstStyle/>
              <a:p>
                <a:pPr>
                  <a:defRPr sz="900"/>
                </a:pPr>
                <a:endParaRPr lang="ru-RU"/>
              </a:p>
            </c:txPr>
            <c:showLegendKey val="0"/>
            <c:showVal val="1"/>
            <c:showCatName val="0"/>
            <c:showSerName val="0"/>
            <c:showPercent val="0"/>
            <c:showBubbleSize val="0"/>
            <c:showLeaderLines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'!$E$3:$I$3</c:f>
              <c:numCache>
                <c:formatCode>0</c:formatCode>
                <c:ptCount val="5"/>
                <c:pt idx="0" formatCode="_-* #,##0_р_._-;\-* #,##0_р_._-;_-* &quot;-&quot;??_р_._-;_-@_-">
                  <c:v>9618.5926914555694</c:v>
                </c:pt>
                <c:pt idx="1">
                  <c:v>9625.6194947260628</c:v>
                </c:pt>
                <c:pt idx="2">
                  <c:v>10759.850495423289</c:v>
                </c:pt>
                <c:pt idx="3">
                  <c:v>12295.938304189163</c:v>
                </c:pt>
                <c:pt idx="4">
                  <c:v>15506.853809321718</c:v>
                </c:pt>
              </c:numCache>
            </c:numRef>
          </c:val>
        </c:ser>
        <c:ser>
          <c:idx val="2"/>
          <c:order val="2"/>
          <c:tx>
            <c:strRef>
              <c:f>'НВВ котел 2021-2025 '!$A$4</c:f>
              <c:strCache>
                <c:ptCount val="1"/>
                <c:pt idx="0">
                  <c:v>Потери котел</c:v>
                </c:pt>
              </c:strCache>
            </c:strRef>
          </c:tx>
          <c:invertIfNegative val="0"/>
          <c:dLbls>
            <c:dLbl>
              <c:idx val="0"/>
              <c:layout>
                <c:manualLayout>
                  <c:x val="1.5269424927593875E-2"/>
                  <c:y val="1.0648148018759875E-2"/>
                </c:manualLayout>
              </c:layout>
              <c:tx>
                <c:rich>
                  <a:bodyPr/>
                  <a:lstStyle/>
                  <a:p>
                    <a:r>
                      <a:rPr lang="en-US" sz="900"/>
                      <a:t> </a:t>
                    </a:r>
                    <a:r>
                      <a:rPr lang="ru-RU" sz="900"/>
                      <a:t>4</a:t>
                    </a:r>
                    <a:r>
                      <a:rPr lang="ru-RU" sz="900" baseline="0"/>
                      <a:t> 194</a:t>
                    </a:r>
                    <a:endParaRPr lang="ru-RU"/>
                  </a:p>
                </c:rich>
              </c:tx>
              <c:showLegendKey val="0"/>
              <c:showVal val="1"/>
              <c:showCatName val="0"/>
              <c:showSerName val="0"/>
              <c:showPercent val="0"/>
              <c:showBubbleSize val="0"/>
            </c:dLbl>
            <c:dLbl>
              <c:idx val="1"/>
              <c:layout>
                <c:manualLayout>
                  <c:x val="2.1629418878375981E-2"/>
                  <c:y val="2.8336370803727709E-3"/>
                </c:manualLayout>
              </c:layout>
              <c:tx>
                <c:rich>
                  <a:bodyPr/>
                  <a:lstStyle/>
                  <a:p>
                    <a:r>
                      <a:rPr lang="en-US" sz="900"/>
                      <a:t> </a:t>
                    </a:r>
                    <a:r>
                      <a:rPr lang="ru-RU" sz="900"/>
                      <a:t>4 511</a:t>
                    </a:r>
                    <a:r>
                      <a:rPr lang="ru-RU" sz="900" baseline="0"/>
                      <a:t> </a:t>
                    </a:r>
                    <a:endParaRPr lang="ru-RU" sz="900"/>
                  </a:p>
                  <a:p>
                    <a:r>
                      <a:rPr lang="ru-RU" sz="900"/>
                      <a:t>(108%)</a:t>
                    </a:r>
                    <a:r>
                      <a:rPr lang="en-US" sz="900"/>
                      <a:t>   </a:t>
                    </a:r>
                    <a:endParaRPr lang="en-US" sz="800"/>
                  </a:p>
                </c:rich>
              </c:tx>
              <c:showLegendKey val="0"/>
              <c:showVal val="1"/>
              <c:showCatName val="0"/>
              <c:showSerName val="0"/>
              <c:showPercent val="0"/>
              <c:showBubbleSize val="0"/>
            </c:dLbl>
            <c:dLbl>
              <c:idx val="2"/>
              <c:layout>
                <c:manualLayout>
                  <c:x val="4.276700970179094E-2"/>
                  <c:y val="9.6411077812898465E-3"/>
                </c:manualLayout>
              </c:layout>
              <c:tx>
                <c:rich>
                  <a:bodyPr/>
                  <a:lstStyle/>
                  <a:p>
                    <a:r>
                      <a:rPr lang="en-US" sz="900"/>
                      <a:t> </a:t>
                    </a:r>
                    <a:r>
                      <a:rPr lang="ru-RU" sz="900"/>
                      <a:t>5 690</a:t>
                    </a:r>
                  </a:p>
                  <a:p>
                    <a:r>
                      <a:rPr lang="ru-RU" sz="900"/>
                      <a:t>(126%)</a:t>
                    </a:r>
                    <a:r>
                      <a:rPr lang="en-US" sz="900"/>
                      <a:t>   </a:t>
                    </a:r>
                    <a:endParaRPr lang="en-US" sz="800"/>
                  </a:p>
                </c:rich>
              </c:tx>
              <c:showLegendKey val="0"/>
              <c:showVal val="1"/>
              <c:showCatName val="0"/>
              <c:showSerName val="0"/>
              <c:showPercent val="0"/>
              <c:showBubbleSize val="0"/>
            </c:dLbl>
            <c:dLbl>
              <c:idx val="3"/>
              <c:layout>
                <c:manualLayout>
                  <c:x val="2.55721508694365E-2"/>
                  <c:y val="5.3495065938865567E-3"/>
                </c:manualLayout>
              </c:layout>
              <c:tx>
                <c:rich>
                  <a:bodyPr/>
                  <a:lstStyle/>
                  <a:p>
                    <a:r>
                      <a:rPr lang="en-US" sz="900"/>
                      <a:t> </a:t>
                    </a:r>
                    <a:r>
                      <a:rPr lang="ru-RU" sz="900"/>
                      <a:t>6</a:t>
                    </a:r>
                    <a:r>
                      <a:rPr lang="ru-RU" sz="900" baseline="0"/>
                      <a:t> 256</a:t>
                    </a:r>
                    <a:endParaRPr lang="ru-RU" sz="900"/>
                  </a:p>
                  <a:p>
                    <a:r>
                      <a:rPr lang="ru-RU" sz="900"/>
                      <a:t>(110%)</a:t>
                    </a:r>
                    <a:r>
                      <a:rPr lang="en-US" sz="900"/>
                      <a:t>   </a:t>
                    </a:r>
                    <a:endParaRPr lang="en-US" sz="800"/>
                  </a:p>
                </c:rich>
              </c:tx>
              <c:showLegendKey val="0"/>
              <c:showVal val="1"/>
              <c:showCatName val="0"/>
              <c:showSerName val="0"/>
              <c:showPercent val="0"/>
              <c:showBubbleSize val="0"/>
            </c:dLbl>
            <c:dLbl>
              <c:idx val="4"/>
              <c:layout>
                <c:manualLayout>
                  <c:x val="2.5557253024479063E-2"/>
                  <c:y val="1.6281605226479895E-2"/>
                </c:manualLayout>
              </c:layout>
              <c:tx>
                <c:rich>
                  <a:bodyPr/>
                  <a:lstStyle/>
                  <a:p>
                    <a:r>
                      <a:rPr lang="en-US" sz="900"/>
                      <a:t>7 223</a:t>
                    </a:r>
                    <a:endParaRPr lang="ru-RU" sz="900"/>
                  </a:p>
                  <a:p>
                    <a:r>
                      <a:rPr lang="ru-RU" sz="900"/>
                      <a:t>(1</a:t>
                    </a:r>
                    <a:r>
                      <a:rPr lang="en-US" sz="900"/>
                      <a:t>15</a:t>
                    </a:r>
                    <a:r>
                      <a:rPr lang="ru-RU" sz="900"/>
                      <a:t>%)</a:t>
                    </a:r>
                    <a:endParaRPr lang="en-US" sz="800"/>
                  </a:p>
                </c:rich>
              </c:tx>
              <c:showLegendKey val="0"/>
              <c:showVal val="1"/>
              <c:showCatName val="0"/>
              <c:showSerName val="0"/>
              <c:showPercent val="0"/>
              <c:showBubbleSize val="0"/>
            </c:dLbl>
            <c:dLbl>
              <c:idx val="5"/>
              <c:tx>
                <c:rich>
                  <a:bodyPr/>
                  <a:lstStyle/>
                  <a:p>
                    <a:r>
                      <a:rPr lang="en-US" sz="900"/>
                      <a:t>3735</a:t>
                    </a:r>
                    <a:endParaRPr lang="ru-RU" sz="900"/>
                  </a:p>
                  <a:p>
                    <a:r>
                      <a:rPr lang="ru-RU" sz="900"/>
                      <a:t>(108%)</a:t>
                    </a:r>
                    <a:endParaRPr lang="en-US"/>
                  </a:p>
                </c:rich>
              </c:tx>
              <c:showLegendKey val="0"/>
              <c:showVal val="1"/>
              <c:showCatName val="0"/>
              <c:showSerName val="0"/>
              <c:showPercent val="0"/>
              <c:showBubbleSize val="0"/>
            </c:dLbl>
            <c:txPr>
              <a:bodyPr/>
              <a:lstStyle/>
              <a:p>
                <a:pPr>
                  <a:defRPr sz="900"/>
                </a:pPr>
                <a:endParaRPr lang="ru-RU"/>
              </a:p>
            </c:txPr>
            <c:showLegendKey val="0"/>
            <c:showVal val="1"/>
            <c:showCatName val="0"/>
            <c:showSerName val="0"/>
            <c:showPercent val="0"/>
            <c:showBubbleSize val="0"/>
            <c:showLeaderLines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'!$E$4:$I$4</c:f>
              <c:numCache>
                <c:formatCode>0</c:formatCode>
                <c:ptCount val="5"/>
                <c:pt idx="0" formatCode="_-* #,##0_р_._-;\-* #,##0_р_._-;_-* &quot;-&quot;??_р_._-;_-@_-">
                  <c:v>4193.9455669932704</c:v>
                </c:pt>
                <c:pt idx="1">
                  <c:v>4510.7202588390146</c:v>
                </c:pt>
                <c:pt idx="2">
                  <c:v>5690.1779833647488</c:v>
                </c:pt>
                <c:pt idx="3" formatCode="#,##0">
                  <c:v>6255.6474196464897</c:v>
                </c:pt>
                <c:pt idx="4" formatCode="#,##0">
                  <c:v>7222.7124817992308</c:v>
                </c:pt>
              </c:numCache>
            </c:numRef>
          </c:val>
        </c:ser>
        <c:ser>
          <c:idx val="3"/>
          <c:order val="3"/>
          <c:tx>
            <c:strRef>
              <c:f>'НВВ котел 2021-2025 '!$A$5</c:f>
              <c:strCache>
                <c:ptCount val="1"/>
                <c:pt idx="0">
                  <c:v>НВВ смежных ТСО (содерж)</c:v>
                </c:pt>
              </c:strCache>
            </c:strRef>
          </c:tx>
          <c:invertIfNegative val="0"/>
          <c:dLbls>
            <c:dLbl>
              <c:idx val="0"/>
              <c:layout>
                <c:manualLayout>
                  <c:x val="1.8685881883995333E-2"/>
                  <c:y val="0"/>
                </c:manualLayout>
              </c:layout>
              <c:tx>
                <c:rich>
                  <a:bodyPr/>
                  <a:lstStyle/>
                  <a:p>
                    <a:r>
                      <a:rPr lang="ru-RU" sz="900"/>
                      <a:t>1</a:t>
                    </a:r>
                    <a:r>
                      <a:rPr lang="ru-RU" sz="900" baseline="0"/>
                      <a:t> 341</a:t>
                    </a:r>
                    <a:r>
                      <a:rPr lang="ru-RU" sz="900"/>
                      <a:t> </a:t>
                    </a:r>
                    <a:endParaRPr lang="en-US"/>
                  </a:p>
                </c:rich>
              </c:tx>
              <c:showLegendKey val="0"/>
              <c:showVal val="1"/>
              <c:showCatName val="0"/>
              <c:showSerName val="0"/>
              <c:showPercent val="0"/>
              <c:showBubbleSize val="0"/>
            </c:dLbl>
            <c:dLbl>
              <c:idx val="1"/>
              <c:layout>
                <c:manualLayout>
                  <c:x val="2.7347246419190365E-2"/>
                  <c:y val="1.4263487724026833E-2"/>
                </c:manualLayout>
              </c:layout>
              <c:tx>
                <c:rich>
                  <a:bodyPr/>
                  <a:lstStyle/>
                  <a:p>
                    <a:r>
                      <a:rPr lang="ru-RU" sz="900"/>
                      <a:t>1</a:t>
                    </a:r>
                    <a:r>
                      <a:rPr lang="ru-RU" sz="900" baseline="0"/>
                      <a:t> 337</a:t>
                    </a:r>
                    <a:endParaRPr lang="ru-RU" sz="900"/>
                  </a:p>
                  <a:p>
                    <a:r>
                      <a:rPr lang="ru-RU" sz="900"/>
                      <a:t>(99,7%)</a:t>
                    </a:r>
                    <a:r>
                      <a:rPr lang="en-US" sz="900"/>
                      <a:t>   </a:t>
                    </a:r>
                    <a:endParaRPr lang="en-US" sz="800"/>
                  </a:p>
                </c:rich>
              </c:tx>
              <c:showLegendKey val="0"/>
              <c:showVal val="1"/>
              <c:showCatName val="0"/>
              <c:showSerName val="0"/>
              <c:showPercent val="0"/>
              <c:showBubbleSize val="0"/>
            </c:dLbl>
            <c:dLbl>
              <c:idx val="2"/>
              <c:layout>
                <c:manualLayout>
                  <c:x val="1.2660742983244948E-2"/>
                  <c:y val="-5.0163676847432724E-3"/>
                </c:manualLayout>
              </c:layout>
              <c:tx>
                <c:rich>
                  <a:bodyPr/>
                  <a:lstStyle/>
                  <a:p>
                    <a:r>
                      <a:rPr lang="en-US" sz="900"/>
                      <a:t> </a:t>
                    </a:r>
                    <a:r>
                      <a:rPr lang="ru-RU" sz="900"/>
                      <a:t>1</a:t>
                    </a:r>
                    <a:r>
                      <a:rPr lang="ru-RU" sz="900" baseline="0"/>
                      <a:t> 573</a:t>
                    </a:r>
                    <a:endParaRPr lang="ru-RU" sz="900"/>
                  </a:p>
                  <a:p>
                    <a:r>
                      <a:rPr lang="ru-RU" sz="900"/>
                      <a:t>(118%)</a:t>
                    </a:r>
                    <a:r>
                      <a:rPr lang="en-US" sz="900"/>
                      <a:t>   </a:t>
                    </a:r>
                    <a:endParaRPr lang="en-US" sz="800"/>
                  </a:p>
                </c:rich>
              </c:tx>
              <c:showLegendKey val="0"/>
              <c:showVal val="1"/>
              <c:showCatName val="0"/>
              <c:showSerName val="0"/>
              <c:showPercent val="0"/>
              <c:showBubbleSize val="0"/>
            </c:dLbl>
            <c:dLbl>
              <c:idx val="3"/>
              <c:layout>
                <c:manualLayout>
                  <c:x val="1.3836806581105606E-2"/>
                  <c:y val="5.0748067333186701E-2"/>
                </c:manualLayout>
              </c:layout>
              <c:tx>
                <c:rich>
                  <a:bodyPr/>
                  <a:lstStyle/>
                  <a:p>
                    <a:r>
                      <a:rPr lang="en-US" sz="900"/>
                      <a:t>1</a:t>
                    </a:r>
                    <a:r>
                      <a:rPr lang="en-US" sz="900" baseline="0"/>
                      <a:t> </a:t>
                    </a:r>
                    <a:r>
                      <a:rPr lang="ru-RU" sz="900" baseline="0"/>
                      <a:t>756</a:t>
                    </a:r>
                    <a:endParaRPr lang="ru-RU" sz="900"/>
                  </a:p>
                  <a:p>
                    <a:r>
                      <a:rPr lang="ru-RU" sz="900"/>
                      <a:t>(112%)</a:t>
                    </a:r>
                  </a:p>
                  <a:p>
                    <a:r>
                      <a:rPr lang="en-US" sz="900"/>
                      <a:t>   </a:t>
                    </a:r>
                    <a:endParaRPr lang="en-US" sz="800"/>
                  </a:p>
                </c:rich>
              </c:tx>
              <c:showLegendKey val="0"/>
              <c:showVal val="1"/>
              <c:showCatName val="0"/>
              <c:showSerName val="0"/>
              <c:showPercent val="0"/>
              <c:showBubbleSize val="0"/>
            </c:dLbl>
            <c:dLbl>
              <c:idx val="4"/>
              <c:layout>
                <c:manualLayout>
                  <c:x val="1.2197177482011285E-2"/>
                  <c:y val="-6.6387429931133593E-3"/>
                </c:manualLayout>
              </c:layout>
              <c:tx>
                <c:rich>
                  <a:bodyPr/>
                  <a:lstStyle/>
                  <a:p>
                    <a:r>
                      <a:rPr lang="en-US" sz="900"/>
                      <a:t>1</a:t>
                    </a:r>
                    <a:r>
                      <a:rPr lang="en-US" sz="900" baseline="0"/>
                      <a:t> </a:t>
                    </a:r>
                    <a:r>
                      <a:rPr lang="ru-RU" sz="900" baseline="0"/>
                      <a:t>3</a:t>
                    </a:r>
                    <a:r>
                      <a:rPr lang="en-US" sz="900" baseline="0"/>
                      <a:t>81</a:t>
                    </a:r>
                    <a:endParaRPr lang="ru-RU" sz="900"/>
                  </a:p>
                  <a:p>
                    <a:r>
                      <a:rPr lang="ru-RU" sz="900"/>
                      <a:t> (</a:t>
                    </a:r>
                    <a:r>
                      <a:rPr lang="en-US" sz="900"/>
                      <a:t>79</a:t>
                    </a:r>
                    <a:r>
                      <a:rPr lang="ru-RU" sz="900"/>
                      <a:t>%)</a:t>
                    </a:r>
                    <a:endParaRPr lang="en-US" sz="800"/>
                  </a:p>
                </c:rich>
              </c:tx>
              <c:showLegendKey val="0"/>
              <c:showVal val="1"/>
              <c:showCatName val="0"/>
              <c:showSerName val="0"/>
              <c:showPercent val="0"/>
              <c:showBubbleSize val="0"/>
            </c:dLbl>
            <c:dLbl>
              <c:idx val="5"/>
              <c:tx>
                <c:rich>
                  <a:bodyPr/>
                  <a:lstStyle/>
                  <a:p>
                    <a:r>
                      <a:rPr lang="en-US" sz="900"/>
                      <a:t>716</a:t>
                    </a:r>
                    <a:r>
                      <a:rPr lang="ru-RU" sz="900"/>
                      <a:t> </a:t>
                    </a:r>
                  </a:p>
                  <a:p>
                    <a:r>
                      <a:rPr lang="ru-RU" sz="900"/>
                      <a:t>(110%)  </a:t>
                    </a:r>
                    <a:endParaRPr lang="en-US"/>
                  </a:p>
                </c:rich>
              </c:tx>
              <c:showLegendKey val="0"/>
              <c:showVal val="1"/>
              <c:showCatName val="0"/>
              <c:showSerName val="0"/>
              <c:showPercent val="0"/>
              <c:showBubbleSize val="0"/>
            </c:dLbl>
            <c:txPr>
              <a:bodyPr/>
              <a:lstStyle/>
              <a:p>
                <a:pPr>
                  <a:defRPr sz="900"/>
                </a:pPr>
                <a:endParaRPr lang="ru-RU"/>
              </a:p>
            </c:txPr>
            <c:showLegendKey val="0"/>
            <c:showVal val="1"/>
            <c:showCatName val="0"/>
            <c:showSerName val="0"/>
            <c:showPercent val="0"/>
            <c:showBubbleSize val="0"/>
            <c:showLeaderLines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'!$E$5:$I$5</c:f>
              <c:numCache>
                <c:formatCode>0</c:formatCode>
                <c:ptCount val="5"/>
                <c:pt idx="0" formatCode="_-* #,##0_р_._-;\-* #,##0_р_._-;_-* &quot;-&quot;??_р_._-;_-@_-">
                  <c:v>1340.950902144725</c:v>
                </c:pt>
                <c:pt idx="1">
                  <c:v>1336.5938583026189</c:v>
                </c:pt>
                <c:pt idx="2">
                  <c:v>1572.6067639133344</c:v>
                </c:pt>
                <c:pt idx="3">
                  <c:v>1755.7410150079745</c:v>
                </c:pt>
                <c:pt idx="4">
                  <c:v>1380.6468233368466</c:v>
                </c:pt>
              </c:numCache>
            </c:numRef>
          </c:val>
        </c:ser>
        <c:ser>
          <c:idx val="4"/>
          <c:order val="4"/>
          <c:tx>
            <c:strRef>
              <c:f>'НВВ котел 2021-2025 '!$A$6</c:f>
              <c:strCache>
                <c:ptCount val="1"/>
                <c:pt idx="0">
                  <c:v>Сглаживание</c:v>
                </c:pt>
              </c:strCache>
            </c:strRef>
          </c:tx>
          <c:invertIfNegative val="0"/>
          <c:dLbls>
            <c:dLbl>
              <c:idx val="0"/>
              <c:layout>
                <c:manualLayout>
                  <c:x val="2.860039770316802E-2"/>
                  <c:y val="3.9043488881069822E-2"/>
                </c:manualLayout>
              </c:layout>
              <c:showLegendKey val="0"/>
              <c:showVal val="1"/>
              <c:showCatName val="0"/>
              <c:showSerName val="0"/>
              <c:showPercent val="0"/>
              <c:showBubbleSize val="0"/>
            </c:dLbl>
            <c:dLbl>
              <c:idx val="1"/>
              <c:layout>
                <c:manualLayout>
                  <c:x val="1.9303103065196954E-2"/>
                  <c:y val="1.936900919401904E-2"/>
                </c:manualLayout>
              </c:layout>
              <c:showLegendKey val="0"/>
              <c:showVal val="1"/>
              <c:showCatName val="0"/>
              <c:showSerName val="0"/>
              <c:showPercent val="0"/>
              <c:showBubbleSize val="0"/>
            </c:dLbl>
            <c:dLbl>
              <c:idx val="2"/>
              <c:layout>
                <c:manualLayout>
                  <c:x val="1.8908136943069618E-3"/>
                  <c:y val="0"/>
                </c:manualLayout>
              </c:layout>
              <c:showLegendKey val="0"/>
              <c:showVal val="1"/>
              <c:showCatName val="0"/>
              <c:showSerName val="0"/>
              <c:showPercent val="0"/>
              <c:showBubbleSize val="0"/>
            </c:dLbl>
            <c:txPr>
              <a:bodyPr/>
              <a:lstStyle/>
              <a:p>
                <a:pPr>
                  <a:defRPr sz="900"/>
                </a:pPr>
                <a:endParaRPr lang="ru-RU"/>
              </a:p>
            </c:txPr>
            <c:showLegendKey val="0"/>
            <c:showVal val="0"/>
            <c:showCatName val="0"/>
            <c:showSerName val="0"/>
            <c:showPercent val="0"/>
            <c:showBubbleSize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'!$E$6:$I$6</c:f>
              <c:numCache>
                <c:formatCode>0</c:formatCode>
                <c:ptCount val="5"/>
                <c:pt idx="0" formatCode="_-* #,##0_р_._-;\-* #,##0_р_._-;_-* &quot;-&quot;??_р_._-;_-@_-">
                  <c:v>-1086.7502812324401</c:v>
                </c:pt>
                <c:pt idx="1">
                  <c:v>466.26501716126876</c:v>
                </c:pt>
                <c:pt idx="2">
                  <c:v>620.48526409402439</c:v>
                </c:pt>
                <c:pt idx="3">
                  <c:v>0</c:v>
                </c:pt>
                <c:pt idx="4">
                  <c:v>0</c:v>
                </c:pt>
              </c:numCache>
            </c:numRef>
          </c:val>
        </c:ser>
        <c:ser>
          <c:idx val="5"/>
          <c:order val="5"/>
          <c:tx>
            <c:strRef>
              <c:f>'НВВ котел 2021-2025 '!$A$7</c:f>
              <c:strCache>
                <c:ptCount val="1"/>
                <c:pt idx="0">
                  <c:v>РПП</c:v>
                </c:pt>
              </c:strCache>
            </c:strRef>
          </c:tx>
          <c:invertIfNegative val="0"/>
          <c:dLbls>
            <c:dLbl>
              <c:idx val="1"/>
              <c:delete val="1"/>
            </c:dLbl>
            <c:dLbl>
              <c:idx val="2"/>
              <c:layout>
                <c:manualLayout>
                  <c:x val="2.0544994350078914E-2"/>
                  <c:y val="7.0987653458398298E-3"/>
                </c:manualLayout>
              </c:layout>
              <c:showLegendKey val="0"/>
              <c:showVal val="1"/>
              <c:showCatName val="0"/>
              <c:showSerName val="0"/>
              <c:showPercent val="0"/>
              <c:showBubbleSize val="0"/>
            </c:dLbl>
            <c:dLbl>
              <c:idx val="3"/>
              <c:layout>
                <c:manualLayout>
                  <c:x val="8.8001223702055577E-3"/>
                  <c:y val="1.5486487611955774E-2"/>
                </c:manualLayout>
              </c:layout>
              <c:tx>
                <c:rich>
                  <a:bodyPr/>
                  <a:lstStyle/>
                  <a:p>
                    <a:r>
                      <a:rPr lang="ru-RU" sz="900"/>
                      <a:t>    89</a:t>
                    </a:r>
                    <a:r>
                      <a:rPr lang="en-US" sz="900"/>
                      <a:t>4</a:t>
                    </a:r>
                    <a:endParaRPr lang="ru-RU" sz="900"/>
                  </a:p>
                  <a:p>
                    <a:r>
                      <a:rPr lang="ru-RU" sz="900"/>
                      <a:t>(109%)</a:t>
                    </a:r>
                    <a:endParaRPr lang="en-US"/>
                  </a:p>
                </c:rich>
              </c:tx>
              <c:showLegendKey val="0"/>
              <c:showVal val="1"/>
              <c:showCatName val="0"/>
              <c:showSerName val="0"/>
              <c:showPercent val="0"/>
              <c:showBubbleSize val="0"/>
            </c:dLbl>
            <c:dLbl>
              <c:idx val="4"/>
              <c:layout>
                <c:manualLayout>
                  <c:x val="1.3339461082584818E-2"/>
                  <c:y val="5.8334523447864738E-2"/>
                </c:manualLayout>
              </c:layout>
              <c:tx>
                <c:rich>
                  <a:bodyPr/>
                  <a:lstStyle/>
                  <a:p>
                    <a:endParaRPr lang="en-US" sz="900"/>
                  </a:p>
                  <a:p>
                    <a:endParaRPr lang="en-US" sz="900"/>
                  </a:p>
                  <a:p>
                    <a:r>
                      <a:rPr lang="en-US" sz="900"/>
                      <a:t>1109</a:t>
                    </a:r>
                  </a:p>
                  <a:p>
                    <a:endParaRPr lang="en-US"/>
                  </a:p>
                </c:rich>
              </c:tx>
              <c:showLegendKey val="0"/>
              <c:showVal val="1"/>
              <c:showCatName val="0"/>
              <c:showSerName val="0"/>
              <c:showPercent val="0"/>
              <c:showBubbleSize val="0"/>
            </c:dLbl>
            <c:txPr>
              <a:bodyPr/>
              <a:lstStyle/>
              <a:p>
                <a:pPr>
                  <a:defRPr sz="900"/>
                </a:pPr>
                <a:endParaRPr lang="ru-RU"/>
              </a:p>
            </c:txPr>
            <c:showLegendKey val="0"/>
            <c:showVal val="1"/>
            <c:showCatName val="0"/>
            <c:showSerName val="0"/>
            <c:showPercent val="0"/>
            <c:showBubbleSize val="0"/>
            <c:showLeaderLines val="0"/>
          </c:dLbls>
          <c:cat>
            <c:numRef>
              <c:f>'НВВ котел 2021-2025 '!$E$1:$I$1</c:f>
              <c:numCache>
                <c:formatCode>General</c:formatCode>
                <c:ptCount val="5"/>
                <c:pt idx="0">
                  <c:v>2021</c:v>
                </c:pt>
                <c:pt idx="1">
                  <c:v>2022</c:v>
                </c:pt>
                <c:pt idx="2">
                  <c:v>2023</c:v>
                </c:pt>
                <c:pt idx="3">
                  <c:v>2024</c:v>
                </c:pt>
                <c:pt idx="4">
                  <c:v>2025</c:v>
                </c:pt>
              </c:numCache>
            </c:numRef>
          </c:cat>
          <c:val>
            <c:numRef>
              <c:f>'НВВ котел 2021-2025 '!$E$7:$I$7</c:f>
              <c:numCache>
                <c:formatCode>0</c:formatCode>
                <c:ptCount val="5"/>
                <c:pt idx="1">
                  <c:v>0</c:v>
                </c:pt>
                <c:pt idx="2">
                  <c:v>820.25317120041677</c:v>
                </c:pt>
                <c:pt idx="3">
                  <c:v>893.54318611301824</c:v>
                </c:pt>
                <c:pt idx="4">
                  <c:v>1109.1168640539729</c:v>
                </c:pt>
              </c:numCache>
            </c:numRef>
          </c:val>
        </c:ser>
        <c:dLbls>
          <c:showLegendKey val="0"/>
          <c:showVal val="0"/>
          <c:showCatName val="0"/>
          <c:showSerName val="0"/>
          <c:showPercent val="0"/>
          <c:showBubbleSize val="0"/>
        </c:dLbls>
        <c:gapWidth val="150"/>
        <c:axId val="218343424"/>
        <c:axId val="218512128"/>
      </c:barChart>
      <c:catAx>
        <c:axId val="218343424"/>
        <c:scaling>
          <c:orientation val="minMax"/>
        </c:scaling>
        <c:delete val="0"/>
        <c:axPos val="b"/>
        <c:title>
          <c:tx>
            <c:rich>
              <a:bodyPr/>
              <a:lstStyle/>
              <a:p>
                <a:pPr>
                  <a:defRPr/>
                </a:pPr>
                <a:r>
                  <a:rPr lang="ru-RU"/>
                  <a:t>год</a:t>
                </a:r>
              </a:p>
            </c:rich>
          </c:tx>
          <c:layout>
            <c:manualLayout>
              <c:xMode val="edge"/>
              <c:yMode val="edge"/>
              <c:x val="0.50996518581510364"/>
              <c:y val="0.88127119094138795"/>
            </c:manualLayout>
          </c:layout>
          <c:overlay val="0"/>
        </c:title>
        <c:numFmt formatCode="General" sourceLinked="1"/>
        <c:majorTickMark val="out"/>
        <c:minorTickMark val="none"/>
        <c:tickLblPos val="nextTo"/>
        <c:crossAx val="218512128"/>
        <c:crosses val="autoZero"/>
        <c:auto val="1"/>
        <c:lblAlgn val="ctr"/>
        <c:lblOffset val="100"/>
        <c:noMultiLvlLbl val="0"/>
      </c:catAx>
      <c:valAx>
        <c:axId val="218512128"/>
        <c:scaling>
          <c:orientation val="minMax"/>
          <c:max val="26000"/>
          <c:min val="-2000"/>
        </c:scaling>
        <c:delete val="0"/>
        <c:axPos val="l"/>
        <c:majorGridlines/>
        <c:title>
          <c:tx>
            <c:rich>
              <a:bodyPr rot="-5400000" vert="horz"/>
              <a:lstStyle/>
              <a:p>
                <a:pPr>
                  <a:defRPr/>
                </a:pPr>
                <a:r>
                  <a:rPr lang="ru-RU"/>
                  <a:t>млн.руб.</a:t>
                </a:r>
              </a:p>
            </c:rich>
          </c:tx>
          <c:layout>
            <c:manualLayout>
              <c:xMode val="edge"/>
              <c:yMode val="edge"/>
              <c:x val="2.1070230000206143E-2"/>
              <c:y val="0.43174790850824157"/>
            </c:manualLayout>
          </c:layout>
          <c:overlay val="0"/>
        </c:title>
        <c:numFmt formatCode="_-* #,##0_р_._-;\-* #,##0_р_._-;_-* &quot;-&quot;??_р_._-;_-@_-" sourceLinked="1"/>
        <c:majorTickMark val="out"/>
        <c:minorTickMark val="none"/>
        <c:tickLblPos val="nextTo"/>
        <c:crossAx val="218343424"/>
        <c:crosses val="autoZero"/>
        <c:crossBetween val="between"/>
        <c:majorUnit val="3000"/>
      </c:valAx>
      <c:spPr>
        <a:ln>
          <a:noFill/>
        </a:ln>
      </c:spPr>
    </c:plotArea>
    <c:legend>
      <c:legendPos val="b"/>
      <c:layout>
        <c:manualLayout>
          <c:xMode val="edge"/>
          <c:yMode val="edge"/>
          <c:x val="6.3200122924543981E-2"/>
          <c:y val="0.94010381290198153"/>
          <c:w val="0.89999994803077343"/>
          <c:h val="5.9896251823949503E-2"/>
        </c:manualLayout>
      </c:layout>
      <c:overlay val="0"/>
      <c:txPr>
        <a:bodyPr/>
        <a:lstStyle/>
        <a:p>
          <a:pPr>
            <a:defRPr sz="900"/>
          </a:pPr>
          <a:endParaRPr lang="ru-RU"/>
        </a:p>
      </c:txPr>
    </c:legend>
    <c:plotVisOnly val="1"/>
    <c:dispBlanksAs val="gap"/>
    <c:showDLblsOverMax val="0"/>
  </c:chart>
  <c:spPr>
    <a:ln>
      <a:no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Структура котловых затрат АО "РЭС" и сетевых организаций в 2023 году</a:t>
            </a:r>
          </a:p>
        </c:rich>
      </c:tx>
      <c:layout>
        <c:manualLayout>
          <c:xMode val="edge"/>
          <c:yMode val="edge"/>
          <c:x val="0.13872943244420355"/>
          <c:y val="1.3075112261806684E-2"/>
        </c:manualLayout>
      </c:layout>
      <c:overlay val="0"/>
    </c:title>
    <c:autoTitleDeleted val="0"/>
    <c:plotArea>
      <c:layout>
        <c:manualLayout>
          <c:layoutTarget val="inner"/>
          <c:xMode val="edge"/>
          <c:yMode val="edge"/>
          <c:x val="0.32034841514975965"/>
          <c:y val="0.27871959450888545"/>
          <c:w val="0.42201542801006198"/>
          <c:h val="0.60572131298578336"/>
        </c:manualLayout>
      </c:layout>
      <c:pieChart>
        <c:varyColors val="1"/>
        <c:ser>
          <c:idx val="0"/>
          <c:order val="0"/>
          <c:explosion val="22"/>
          <c:dLbls>
            <c:dLbl>
              <c:idx val="0"/>
              <c:layout>
                <c:manualLayout>
                  <c:x val="0.12772679560981581"/>
                  <c:y val="-4.6226179312289454E-3"/>
                </c:manualLayout>
              </c:layout>
              <c:tx>
                <c:rich>
                  <a:bodyPr/>
                  <a:lstStyle/>
                  <a:p>
                    <a:r>
                      <a:rPr lang="ru-RU" sz="1000">
                        <a:latin typeface="Times New Roman" panose="02020603050405020304" pitchFamily="18" charset="0"/>
                        <a:cs typeface="Times New Roman" panose="02020603050405020304" pitchFamily="18" charset="0"/>
                      </a:rPr>
                      <a:t>Услуги ТСО </a:t>
                    </a:r>
                  </a:p>
                  <a:p>
                    <a:r>
                      <a:rPr lang="ru-RU" sz="1000">
                        <a:latin typeface="Times New Roman" panose="02020603050405020304" pitchFamily="18" charset="0"/>
                        <a:cs typeface="Times New Roman" panose="02020603050405020304" pitchFamily="18" charset="0"/>
                      </a:rPr>
                      <a:t>(Содерж)
8%</a:t>
                    </a:r>
                    <a:endParaRPr lang="ru-RU"/>
                  </a:p>
                </c:rich>
              </c:tx>
              <c:dLblPos val="bestFit"/>
              <c:showLegendKey val="0"/>
              <c:showVal val="0"/>
              <c:showCatName val="1"/>
              <c:showSerName val="0"/>
              <c:showPercent val="1"/>
              <c:showBubbleSize val="0"/>
            </c:dLbl>
            <c:dLbl>
              <c:idx val="1"/>
              <c:layout>
                <c:manualLayout>
                  <c:x val="5.3197700053692204E-2"/>
                  <c:y val="-2.860725477588634E-2"/>
                </c:manualLayout>
              </c:layout>
              <c:tx>
                <c:rich>
                  <a:bodyPr/>
                  <a:lstStyle/>
                  <a:p>
                    <a:r>
                      <a:rPr lang="ru-RU" sz="1000">
                        <a:latin typeface="Times New Roman" panose="02020603050405020304" pitchFamily="18" charset="0"/>
                        <a:cs typeface="Times New Roman" panose="02020603050405020304" pitchFamily="18" charset="0"/>
                      </a:rPr>
                      <a:t>Услуги ПАО "ФСК ЕЭС"
18%</a:t>
                    </a:r>
                    <a:endParaRPr lang="ru-RU"/>
                  </a:p>
                </c:rich>
              </c:tx>
              <c:dLblPos val="bestFit"/>
              <c:showLegendKey val="0"/>
              <c:showVal val="0"/>
              <c:showCatName val="1"/>
              <c:showSerName val="0"/>
              <c:showPercent val="1"/>
              <c:showBubbleSize val="0"/>
            </c:dLbl>
            <c:dLbl>
              <c:idx val="2"/>
              <c:layout>
                <c:manualLayout>
                  <c:x val="9.88394223567194E-2"/>
                  <c:y val="-2.4476751265131918E-2"/>
                </c:manualLayout>
              </c:layout>
              <c:tx>
                <c:rich>
                  <a:bodyPr/>
                  <a:lstStyle/>
                  <a:p>
                    <a:r>
                      <a:rPr lang="ru-RU" sz="1000">
                        <a:latin typeface="Times New Roman" panose="02020603050405020304" pitchFamily="18" charset="0"/>
                        <a:cs typeface="Times New Roman" panose="02020603050405020304" pitchFamily="18" charset="0"/>
                      </a:rPr>
                      <a:t>ФОТ
12%</a:t>
                    </a:r>
                    <a:endParaRPr lang="ru-RU"/>
                  </a:p>
                </c:rich>
              </c:tx>
              <c:dLblPos val="bestFit"/>
              <c:showLegendKey val="0"/>
              <c:showVal val="0"/>
              <c:showCatName val="1"/>
              <c:showSerName val="0"/>
              <c:showPercent val="1"/>
              <c:showBubbleSize val="0"/>
            </c:dLbl>
            <c:dLbl>
              <c:idx val="3"/>
              <c:layout>
                <c:manualLayout>
                  <c:x val="0.10868671398873525"/>
                  <c:y val="-2.0346781790645092E-2"/>
                </c:manualLayout>
              </c:layout>
              <c:tx>
                <c:rich>
                  <a:bodyPr/>
                  <a:lstStyle/>
                  <a:p>
                    <a:r>
                      <a:rPr lang="ru-RU" sz="1000">
                        <a:latin typeface="Times New Roman" panose="02020603050405020304" pitchFamily="18" charset="0"/>
                        <a:cs typeface="Times New Roman" panose="02020603050405020304" pitchFamily="18" charset="0"/>
                      </a:rPr>
                      <a:t>Амортизация
10%</a:t>
                    </a:r>
                    <a:endParaRPr lang="ru-RU"/>
                  </a:p>
                </c:rich>
              </c:tx>
              <c:dLblPos val="bestFit"/>
              <c:showLegendKey val="0"/>
              <c:showVal val="0"/>
              <c:showCatName val="1"/>
              <c:showSerName val="0"/>
              <c:showPercent val="1"/>
              <c:showBubbleSize val="0"/>
            </c:dLbl>
            <c:dLbl>
              <c:idx val="4"/>
              <c:layout>
                <c:manualLayout>
                  <c:x val="-0.33206823635434773"/>
                  <c:y val="-3.2683019569224986E-3"/>
                </c:manualLayout>
              </c:layout>
              <c:tx>
                <c:rich>
                  <a:bodyPr/>
                  <a:lstStyle/>
                  <a:p>
                    <a:r>
                      <a:rPr lang="ru-RU" sz="1000">
                        <a:latin typeface="Times New Roman" panose="02020603050405020304" pitchFamily="18" charset="0"/>
                        <a:cs typeface="Times New Roman" panose="02020603050405020304" pitchFamily="18" charset="0"/>
                      </a:rPr>
                      <a:t>Выпадающие доходы АО "РЭС"</a:t>
                    </a:r>
                  </a:p>
                  <a:p>
                    <a:r>
                      <a:rPr lang="ru-RU" sz="1000">
                        <a:latin typeface="Times New Roman" panose="02020603050405020304" pitchFamily="18" charset="0"/>
                        <a:cs typeface="Times New Roman" panose="02020603050405020304" pitchFamily="18" charset="0"/>
                      </a:rPr>
                      <a:t>1%</a:t>
                    </a:r>
                    <a:endParaRPr lang="ru-RU"/>
                  </a:p>
                </c:rich>
              </c:tx>
              <c:dLblPos val="bestFit"/>
              <c:showLegendKey val="0"/>
              <c:showVal val="0"/>
              <c:showCatName val="1"/>
              <c:showSerName val="0"/>
              <c:showPercent val="1"/>
              <c:showBubbleSize val="0"/>
            </c:dLbl>
            <c:dLbl>
              <c:idx val="5"/>
              <c:layout>
                <c:manualLayout>
                  <c:x val="-0.13467701515995478"/>
                  <c:y val="-0.1356452119376331"/>
                </c:manualLayout>
              </c:layout>
              <c:tx>
                <c:rich>
                  <a:bodyPr/>
                  <a:lstStyle/>
                  <a:p>
                    <a:r>
                      <a:rPr lang="ru-RU" sz="1000">
                        <a:latin typeface="Times New Roman" panose="02020603050405020304" pitchFamily="18" charset="0"/>
                        <a:cs typeface="Times New Roman" panose="02020603050405020304" pitchFamily="18" charset="0"/>
                      </a:rPr>
                      <a:t>Оплата потерь
29%</a:t>
                    </a:r>
                    <a:endParaRPr lang="ru-RU"/>
                  </a:p>
                </c:rich>
              </c:tx>
              <c:dLblPos val="bestFit"/>
              <c:showLegendKey val="0"/>
              <c:showVal val="0"/>
              <c:showCatName val="1"/>
              <c:showSerName val="0"/>
              <c:showPercent val="1"/>
              <c:showBubbleSize val="0"/>
            </c:dLbl>
            <c:dLbl>
              <c:idx val="6"/>
              <c:layout>
                <c:manualLayout>
                  <c:x val="-0.13467701515995478"/>
                  <c:y val="1.0173390895322421E-2"/>
                </c:manualLayout>
              </c:layout>
              <c:tx>
                <c:rich>
                  <a:bodyPr/>
                  <a:lstStyle/>
                  <a:p>
                    <a:r>
                      <a:rPr lang="ru-RU" sz="1000">
                        <a:latin typeface="Times New Roman" panose="02020603050405020304" pitchFamily="18" charset="0"/>
                        <a:cs typeface="Times New Roman" panose="02020603050405020304" pitchFamily="18" charset="0"/>
                      </a:rPr>
                      <a:t>Прочие
13%</a:t>
                    </a:r>
                    <a:endParaRPr lang="ru-RU"/>
                  </a:p>
                </c:rich>
              </c:tx>
              <c:dLblPos val="bestFit"/>
              <c:showLegendKey val="0"/>
              <c:showVal val="0"/>
              <c:showCatName val="1"/>
              <c:showSerName val="0"/>
              <c:showPercent val="1"/>
              <c:showBubbleSize val="0"/>
            </c:dLbl>
            <c:dLbl>
              <c:idx val="7"/>
              <c:layout>
                <c:manualLayout>
                  <c:x val="-4.7685129102451936E-2"/>
                  <c:y val="1.3071898788507742E-2"/>
                </c:manualLayout>
              </c:layout>
              <c:tx>
                <c:rich>
                  <a:bodyPr/>
                  <a:lstStyle/>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Предприниматель-ская</a:t>
                    </a:r>
                    <a:r>
                      <a:rPr lang="ru-RU" sz="1000" baseline="0">
                        <a:latin typeface="Times New Roman" panose="02020603050405020304" pitchFamily="18" charset="0"/>
                        <a:cs typeface="Times New Roman" panose="02020603050405020304" pitchFamily="18" charset="0"/>
                      </a:rPr>
                      <a:t> прибыль</a:t>
                    </a:r>
                    <a:r>
                      <a:rPr lang="en-US" sz="1000">
                        <a:latin typeface="Times New Roman" panose="02020603050405020304" pitchFamily="18" charset="0"/>
                        <a:cs typeface="Times New Roman" panose="02020603050405020304" pitchFamily="18" charset="0"/>
                      </a:rPr>
                      <a:t>
</a:t>
                    </a:r>
                    <a:r>
                      <a:rPr lang="ru-RU" sz="1000">
                        <a:latin typeface="Times New Roman" panose="02020603050405020304" pitchFamily="18" charset="0"/>
                        <a:cs typeface="Times New Roman" panose="02020603050405020304" pitchFamily="18" charset="0"/>
                      </a:rPr>
                      <a:t>4</a:t>
                    </a:r>
                    <a:r>
                      <a:rPr lang="en-US" sz="1000">
                        <a:latin typeface="Times New Roman" panose="02020603050405020304" pitchFamily="18" charset="0"/>
                        <a:cs typeface="Times New Roman" panose="02020603050405020304" pitchFamily="18" charset="0"/>
                      </a:rPr>
                      <a:t>%</a:t>
                    </a:r>
                    <a:endParaRPr lang="en-US"/>
                  </a:p>
                </c:rich>
              </c:tx>
              <c:dLblPos val="bestFit"/>
              <c:showLegendKey val="0"/>
              <c:showVal val="0"/>
              <c:showCatName val="1"/>
              <c:showSerName val="0"/>
              <c:showPercent val="1"/>
              <c:showBubbleSize val="0"/>
            </c:dLbl>
            <c:dLbl>
              <c:idx val="8"/>
              <c:layout>
                <c:manualLayout>
                  <c:x val="2.7280886133458058E-2"/>
                  <c:y val="-1.7294497503914503E-2"/>
                </c:manualLayout>
              </c:layout>
              <c:tx>
                <c:rich>
                  <a:bodyPr/>
                  <a:lstStyle/>
                  <a:p>
                    <a:r>
                      <a:rPr lang="ru-RU" sz="1000">
                        <a:latin typeface="Times New Roman" panose="02020603050405020304" pitchFamily="18" charset="0"/>
                        <a:cs typeface="Times New Roman" panose="02020603050405020304" pitchFamily="18" charset="0"/>
                      </a:rPr>
                      <a:t>Возврат НДД за 2021 год 3%
</a:t>
                    </a:r>
                    <a:endParaRPr lang="ru-RU"/>
                  </a:p>
                </c:rich>
              </c:tx>
              <c:dLblPos val="bestFit"/>
              <c:showLegendKey val="0"/>
              <c:showVal val="0"/>
              <c:showCatName val="1"/>
              <c:showSerName val="0"/>
              <c:showPercent val="1"/>
              <c:showBubbleSize val="0"/>
            </c:dLbl>
            <c:txPr>
              <a:bodyPr/>
              <a:lstStyle/>
              <a:p>
                <a:pPr>
                  <a:defRPr sz="1000">
                    <a:latin typeface="Times New Roman" panose="02020603050405020304" pitchFamily="18" charset="0"/>
                    <a:cs typeface="Times New Roman" panose="02020603050405020304" pitchFamily="18" charset="0"/>
                  </a:defRPr>
                </a:pPr>
                <a:endParaRPr lang="ru-RU"/>
              </a:p>
            </c:txPr>
            <c:dLblPos val="outEnd"/>
            <c:showLegendKey val="0"/>
            <c:showVal val="0"/>
            <c:showCatName val="1"/>
            <c:showSerName val="0"/>
            <c:showPercent val="1"/>
            <c:showBubbleSize val="0"/>
            <c:showLeaderLines val="1"/>
          </c:dLbls>
          <c:cat>
            <c:strRef>
              <c:f>'Структура затрат 2023  '!$B$2:$B$10</c:f>
              <c:strCache>
                <c:ptCount val="9"/>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pt idx="7">
                  <c:v>Предпринимательская прибыль</c:v>
                </c:pt>
                <c:pt idx="8">
                  <c:v>Возврат недополученного дохода</c:v>
                </c:pt>
              </c:strCache>
            </c:strRef>
          </c:cat>
          <c:val>
            <c:numRef>
              <c:f>'Структура затрат 2023  '!$C$2:$C$10</c:f>
              <c:numCache>
                <c:formatCode>_-* #,##0.00_р_._-;\-* #,##0.00_р_._-;_-* "-"??_р_._-;_-@_-</c:formatCode>
                <c:ptCount val="9"/>
                <c:pt idx="0">
                  <c:v>1572.6067639133344</c:v>
                </c:pt>
                <c:pt idx="1">
                  <c:v>3597.2042671938102</c:v>
                </c:pt>
                <c:pt idx="2">
                  <c:v>2310.8546928453402</c:v>
                </c:pt>
                <c:pt idx="3">
                  <c:v>1952.8864353300039</c:v>
                </c:pt>
                <c:pt idx="4">
                  <c:v>248.13722195020935</c:v>
                </c:pt>
                <c:pt idx="5">
                  <c:v>5690.1779833647488</c:v>
                </c:pt>
                <c:pt idx="6">
                  <c:v>2650.7678781039281</c:v>
                </c:pt>
                <c:pt idx="7">
                  <c:v>820.25317120041677</c:v>
                </c:pt>
                <c:pt idx="8">
                  <c:v>620.48526409402439</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spPr>
    <a:ln>
      <a:no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Структура котловых затрат АО "РЭС" и сетевых организаций </a:t>
            </a:r>
          </a:p>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в 2024 году</a:t>
            </a:r>
          </a:p>
        </c:rich>
      </c:tx>
      <c:layout>
        <c:manualLayout>
          <c:xMode val="edge"/>
          <c:yMode val="edge"/>
          <c:x val="0.18403238536418953"/>
          <c:y val="3.4781715855200252E-4"/>
        </c:manualLayout>
      </c:layout>
      <c:overlay val="0"/>
    </c:title>
    <c:autoTitleDeleted val="0"/>
    <c:plotArea>
      <c:layout>
        <c:manualLayout>
          <c:layoutTarget val="inner"/>
          <c:xMode val="edge"/>
          <c:yMode val="edge"/>
          <c:x val="0.32231612984926783"/>
          <c:y val="0.27213520283784204"/>
          <c:w val="0.4083286993189057"/>
          <c:h val="0.53790454400506649"/>
        </c:manualLayout>
      </c:layout>
      <c:pieChart>
        <c:varyColors val="1"/>
        <c:ser>
          <c:idx val="0"/>
          <c:order val="0"/>
          <c:explosion val="17"/>
          <c:dLbls>
            <c:dLbl>
              <c:idx val="0"/>
              <c:layout>
                <c:manualLayout>
                  <c:x val="0.1777715636343801"/>
                  <c:y val="7.1895179885005822E-2"/>
                </c:manualLayout>
              </c:layout>
              <c:tx>
                <c:rich>
                  <a:bodyPr/>
                  <a:lstStyle/>
                  <a:p>
                    <a:r>
                      <a:rPr lang="ru-RU" sz="1000">
                        <a:latin typeface="Times New Roman" panose="02020603050405020304" pitchFamily="18" charset="0"/>
                        <a:cs typeface="Times New Roman" panose="02020603050405020304" pitchFamily="18" charset="0"/>
                      </a:rPr>
                      <a:t>Услуги ТСО </a:t>
                    </a:r>
                  </a:p>
                  <a:p>
                    <a:r>
                      <a:rPr lang="ru-RU" sz="1000">
                        <a:latin typeface="Times New Roman" panose="02020603050405020304" pitchFamily="18" charset="0"/>
                        <a:cs typeface="Times New Roman" panose="02020603050405020304" pitchFamily="18" charset="0"/>
                      </a:rPr>
                      <a:t>(Содерж)
8%</a:t>
                    </a:r>
                    <a:endParaRPr lang="ru-RU"/>
                  </a:p>
                </c:rich>
              </c:tx>
              <c:dLblPos val="bestFit"/>
              <c:showLegendKey val="0"/>
              <c:showVal val="0"/>
              <c:showCatName val="1"/>
              <c:showSerName val="0"/>
              <c:showPercent val="1"/>
              <c:showBubbleSize val="0"/>
            </c:dLbl>
            <c:dLbl>
              <c:idx val="1"/>
              <c:layout>
                <c:manualLayout>
                  <c:x val="2.4844720496894412E-2"/>
                  <c:y val="3.9215696365523231E-2"/>
                </c:manualLayout>
              </c:layout>
              <c:tx>
                <c:rich>
                  <a:bodyPr/>
                  <a:lstStyle/>
                  <a:p>
                    <a:r>
                      <a:rPr lang="ru-RU" sz="1000">
                        <a:latin typeface="Times New Roman" panose="02020603050405020304" pitchFamily="18" charset="0"/>
                        <a:cs typeface="Times New Roman" panose="02020603050405020304" pitchFamily="18" charset="0"/>
                      </a:rPr>
                      <a:t>Услуги ПАО "ФСК ЕЭС"
19%</a:t>
                    </a:r>
                    <a:endParaRPr lang="ru-RU"/>
                  </a:p>
                </c:rich>
              </c:tx>
              <c:dLblPos val="bestFit"/>
              <c:showLegendKey val="0"/>
              <c:showVal val="0"/>
              <c:showCatName val="1"/>
              <c:showSerName val="0"/>
              <c:showPercent val="1"/>
              <c:showBubbleSize val="0"/>
            </c:dLbl>
            <c:dLbl>
              <c:idx val="2"/>
              <c:layout>
                <c:manualLayout>
                  <c:x val="0.1361869497229565"/>
                  <c:y val="-2.9286686126957995E-2"/>
                </c:manualLayout>
              </c:layout>
              <c:tx>
                <c:rich>
                  <a:bodyPr/>
                  <a:lstStyle/>
                  <a:p>
                    <a:r>
                      <a:rPr lang="ru-RU" sz="1000">
                        <a:latin typeface="Times New Roman" panose="02020603050405020304" pitchFamily="18" charset="0"/>
                        <a:cs typeface="Times New Roman" panose="02020603050405020304" pitchFamily="18" charset="0"/>
                      </a:rPr>
                      <a:t>ФОТ
13%</a:t>
                    </a:r>
                    <a:endParaRPr lang="ru-RU"/>
                  </a:p>
                </c:rich>
              </c:tx>
              <c:dLblPos val="bestFit"/>
              <c:showLegendKey val="0"/>
              <c:showVal val="0"/>
              <c:showCatName val="1"/>
              <c:showSerName val="0"/>
              <c:showPercent val="1"/>
              <c:showBubbleSize val="0"/>
            </c:dLbl>
            <c:dLbl>
              <c:idx val="3"/>
              <c:layout>
                <c:manualLayout>
                  <c:x val="9.3954250092897401E-2"/>
                  <c:y val="-1.9557823784007826E-2"/>
                </c:manualLayout>
              </c:layout>
              <c:tx>
                <c:rich>
                  <a:bodyPr/>
                  <a:lstStyle/>
                  <a:p>
                    <a:r>
                      <a:rPr lang="ru-RU" sz="1000">
                        <a:latin typeface="Times New Roman" panose="02020603050405020304" pitchFamily="18" charset="0"/>
                        <a:cs typeface="Times New Roman" panose="02020603050405020304" pitchFamily="18" charset="0"/>
                      </a:rPr>
                      <a:t>Амортизация
9%</a:t>
                    </a:r>
                    <a:endParaRPr lang="ru-RU"/>
                  </a:p>
                </c:rich>
              </c:tx>
              <c:dLblPos val="bestFit"/>
              <c:showLegendKey val="0"/>
              <c:showVal val="0"/>
              <c:showCatName val="1"/>
              <c:showSerName val="0"/>
              <c:showPercent val="1"/>
              <c:showBubbleSize val="0"/>
            </c:dLbl>
            <c:dLbl>
              <c:idx val="4"/>
              <c:layout>
                <c:manualLayout>
                  <c:x val="-0.34192119341585997"/>
                  <c:y val="-8.6901337290884598E-6"/>
                </c:manualLayout>
              </c:layout>
              <c:tx>
                <c:rich>
                  <a:bodyPr/>
                  <a:lstStyle/>
                  <a:p>
                    <a:r>
                      <a:rPr lang="ru-RU" sz="1000">
                        <a:latin typeface="Times New Roman" panose="02020603050405020304" pitchFamily="18" charset="0"/>
                        <a:cs typeface="Times New Roman" panose="02020603050405020304" pitchFamily="18" charset="0"/>
                      </a:rPr>
                      <a:t>Выпадающие доходы </a:t>
                    </a:r>
                  </a:p>
                  <a:p>
                    <a:r>
                      <a:rPr lang="ru-RU" sz="1000">
                        <a:latin typeface="Times New Roman" panose="02020603050405020304" pitchFamily="18" charset="0"/>
                        <a:cs typeface="Times New Roman" panose="02020603050405020304" pitchFamily="18" charset="0"/>
                      </a:rPr>
                      <a:t>АО "РЭС" 
-3%</a:t>
                    </a:r>
                    <a:endParaRPr lang="ru-RU"/>
                  </a:p>
                </c:rich>
              </c:tx>
              <c:dLblPos val="bestFit"/>
              <c:showLegendKey val="0"/>
              <c:showVal val="0"/>
              <c:showCatName val="1"/>
              <c:showSerName val="0"/>
              <c:showPercent val="1"/>
              <c:showBubbleSize val="0"/>
            </c:dLbl>
            <c:dLbl>
              <c:idx val="5"/>
              <c:layout>
                <c:manualLayout>
                  <c:x val="-0.12616713583903363"/>
                  <c:y val="-0.21187642432675016"/>
                </c:manualLayout>
              </c:layout>
              <c:tx>
                <c:rich>
                  <a:bodyPr/>
                  <a:lstStyle/>
                  <a:p>
                    <a:r>
                      <a:rPr lang="ru-RU" sz="1000">
                        <a:latin typeface="Times New Roman" panose="02020603050405020304" pitchFamily="18" charset="0"/>
                        <a:cs typeface="Times New Roman" panose="02020603050405020304" pitchFamily="18" charset="0"/>
                      </a:rPr>
                      <a:t>Оплата потерь
30%</a:t>
                    </a:r>
                    <a:endParaRPr lang="ru-RU"/>
                  </a:p>
                </c:rich>
              </c:tx>
              <c:dLblPos val="bestFit"/>
              <c:showLegendKey val="0"/>
              <c:showVal val="0"/>
              <c:showCatName val="1"/>
              <c:showSerName val="0"/>
              <c:showPercent val="1"/>
              <c:showBubbleSize val="0"/>
            </c:dLbl>
            <c:dLbl>
              <c:idx val="6"/>
              <c:layout>
                <c:manualLayout>
                  <c:x val="-0.14227357871210178"/>
                  <c:y val="0"/>
                </c:manualLayout>
              </c:layout>
              <c:tx>
                <c:rich>
                  <a:bodyPr/>
                  <a:lstStyle/>
                  <a:p>
                    <a:r>
                      <a:rPr lang="ru-RU" sz="1000">
                        <a:latin typeface="Times New Roman" panose="02020603050405020304" pitchFamily="18" charset="0"/>
                        <a:cs typeface="Times New Roman" panose="02020603050405020304" pitchFamily="18" charset="0"/>
                      </a:rPr>
                      <a:t>Прочие
19%</a:t>
                    </a:r>
                    <a:endParaRPr lang="ru-RU"/>
                  </a:p>
                </c:rich>
              </c:tx>
              <c:dLblPos val="bestFit"/>
              <c:showLegendKey val="0"/>
              <c:showVal val="0"/>
              <c:showCatName val="1"/>
              <c:showSerName val="0"/>
              <c:showPercent val="1"/>
              <c:showBubbleSize val="0"/>
            </c:dLbl>
            <c:dLbl>
              <c:idx val="7"/>
              <c:layout>
                <c:manualLayout>
                  <c:x val="-0.27586003543417431"/>
                  <c:y val="-1.9524457417971996E-2"/>
                </c:manualLayout>
              </c:layout>
              <c:tx>
                <c:rich>
                  <a:bodyPr/>
                  <a:lstStyle/>
                  <a:p>
                    <a:r>
                      <a:rPr lang="ru-RU" sz="1000">
                        <a:latin typeface="Times New Roman" panose="02020603050405020304" pitchFamily="18" charset="0"/>
                        <a:cs typeface="Times New Roman" panose="02020603050405020304" pitchFamily="18" charset="0"/>
                      </a:rPr>
                      <a:t>Предпринима-тельская</a:t>
                    </a:r>
                    <a:r>
                      <a:rPr lang="ru-RU" sz="1000" baseline="0">
                        <a:latin typeface="Times New Roman" panose="02020603050405020304" pitchFamily="18" charset="0"/>
                        <a:cs typeface="Times New Roman" panose="02020603050405020304" pitchFamily="18" charset="0"/>
                      </a:rPr>
                      <a:t> прибыль</a:t>
                    </a:r>
                    <a:r>
                      <a:rPr lang="en-US" sz="1000">
                        <a:latin typeface="Times New Roman" panose="02020603050405020304" pitchFamily="18" charset="0"/>
                        <a:cs typeface="Times New Roman" panose="02020603050405020304" pitchFamily="18" charset="0"/>
                      </a:rPr>
                      <a:t>
</a:t>
                    </a:r>
                    <a:r>
                      <a:rPr lang="ru-RU" sz="1000">
                        <a:latin typeface="Times New Roman" panose="02020603050405020304" pitchFamily="18" charset="0"/>
                        <a:cs typeface="Times New Roman" panose="02020603050405020304" pitchFamily="18" charset="0"/>
                      </a:rPr>
                      <a:t>4</a:t>
                    </a:r>
                    <a:r>
                      <a:rPr lang="en-US" sz="1000">
                        <a:latin typeface="Times New Roman" panose="02020603050405020304" pitchFamily="18" charset="0"/>
                        <a:cs typeface="Times New Roman" panose="02020603050405020304" pitchFamily="18" charset="0"/>
                      </a:rPr>
                      <a:t>%</a:t>
                    </a:r>
                    <a:endParaRPr lang="en-US"/>
                  </a:p>
                </c:rich>
              </c:tx>
              <c:dLblPos val="bestFit"/>
              <c:showLegendKey val="0"/>
              <c:showVal val="0"/>
              <c:showCatName val="1"/>
              <c:showSerName val="0"/>
              <c:showPercent val="1"/>
              <c:showBubbleSize val="0"/>
            </c:dLbl>
            <c:dLbl>
              <c:idx val="8"/>
              <c:layout>
                <c:manualLayout>
                  <c:x val="6.9397843089427216E-2"/>
                  <c:y val="-3.906662467637833E-2"/>
                </c:manualLayout>
              </c:layout>
              <c:tx>
                <c:rich>
                  <a:bodyPr/>
                  <a:lstStyle/>
                  <a:p>
                    <a:r>
                      <a:rPr lang="ru-RU" sz="1000">
                        <a:latin typeface="Times New Roman" panose="02020603050405020304" pitchFamily="18" charset="0"/>
                        <a:cs typeface="Times New Roman" panose="02020603050405020304" pitchFamily="18" charset="0"/>
                      </a:rPr>
                      <a:t>Возврат недополученного дохода 0%</a:t>
                    </a:r>
                    <a:endParaRPr lang="ru-RU"/>
                  </a:p>
                </c:rich>
              </c:tx>
              <c:dLblPos val="bestFit"/>
              <c:showLegendKey val="0"/>
              <c:showVal val="0"/>
              <c:showCatName val="1"/>
              <c:showSerName val="0"/>
              <c:showPercent val="1"/>
              <c:showBubbleSize val="0"/>
            </c:dLbl>
            <c:txPr>
              <a:bodyPr/>
              <a:lstStyle/>
              <a:p>
                <a:pPr>
                  <a:defRPr sz="1000">
                    <a:latin typeface="Times New Roman" panose="02020603050405020304" pitchFamily="18" charset="0"/>
                    <a:cs typeface="Times New Roman" panose="02020603050405020304" pitchFamily="18" charset="0"/>
                  </a:defRPr>
                </a:pPr>
                <a:endParaRPr lang="ru-RU"/>
              </a:p>
            </c:txPr>
            <c:dLblPos val="outEnd"/>
            <c:showLegendKey val="0"/>
            <c:showVal val="0"/>
            <c:showCatName val="1"/>
            <c:showSerName val="0"/>
            <c:showPercent val="1"/>
            <c:showBubbleSize val="0"/>
            <c:showLeaderLines val="1"/>
          </c:dLbls>
          <c:cat>
            <c:strRef>
              <c:f>'Структура затрат 2024  '!$B$2:$B$10</c:f>
              <c:strCache>
                <c:ptCount val="9"/>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pt idx="7">
                  <c:v>Предпринимательская прибыль</c:v>
                </c:pt>
                <c:pt idx="8">
                  <c:v>Возврат недополученного дохода</c:v>
                </c:pt>
              </c:strCache>
            </c:strRef>
          </c:cat>
          <c:val>
            <c:numRef>
              <c:f>'Структура затрат 2024  '!$C$2:$C$10</c:f>
              <c:numCache>
                <c:formatCode>_-* #,##0.00_р_._-;\-* #,##0.00_р_._-;_-* "-"??_р_._-;_-@_-</c:formatCode>
                <c:ptCount val="9"/>
                <c:pt idx="0">
                  <c:v>1755.7410150079745</c:v>
                </c:pt>
                <c:pt idx="1">
                  <c:v>4072.6325539624863</c:v>
                </c:pt>
                <c:pt idx="2">
                  <c:v>2791.9201307712106</c:v>
                </c:pt>
                <c:pt idx="3">
                  <c:v>1952.8864353300039</c:v>
                </c:pt>
                <c:pt idx="4">
                  <c:v>-599.95009518346774</c:v>
                </c:pt>
                <c:pt idx="5">
                  <c:v>6255.6474196464897</c:v>
                </c:pt>
                <c:pt idx="6">
                  <c:v>4078.4492793089312</c:v>
                </c:pt>
                <c:pt idx="7">
                  <c:v>893.54318611301824</c:v>
                </c:pt>
                <c:pt idx="8">
                  <c:v>0</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spPr>
    <a:ln>
      <a:noFill/>
    </a:ln>
  </c:sp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Структура котловых затрат АО "РЭС" и сетевых организаций</a:t>
            </a:r>
          </a:p>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 в 2025 году</a:t>
            </a:r>
          </a:p>
        </c:rich>
      </c:tx>
      <c:layout>
        <c:manualLayout>
          <c:xMode val="edge"/>
          <c:yMode val="edge"/>
          <c:x val="0.15374943223338042"/>
          <c:y val="2.332516243277398E-2"/>
        </c:manualLayout>
      </c:layout>
      <c:overlay val="0"/>
    </c:title>
    <c:autoTitleDeleted val="0"/>
    <c:plotArea>
      <c:layout>
        <c:manualLayout>
          <c:layoutTarget val="inner"/>
          <c:xMode val="edge"/>
          <c:yMode val="edge"/>
          <c:x val="0.28776207089560096"/>
          <c:y val="0.21848331270903448"/>
          <c:w val="0.40631183795772186"/>
          <c:h val="0.63414201603177978"/>
        </c:manualLayout>
      </c:layout>
      <c:pieChart>
        <c:varyColors val="1"/>
        <c:ser>
          <c:idx val="0"/>
          <c:order val="0"/>
          <c:explosion val="15"/>
          <c:dLbls>
            <c:dLbl>
              <c:idx val="0"/>
              <c:layout>
                <c:manualLayout>
                  <c:x val="0.20807463740947069"/>
                  <c:y val="7.189517988500585E-2"/>
                </c:manualLayout>
              </c:layout>
              <c:tx>
                <c:rich>
                  <a:bodyPr/>
                  <a:lstStyle/>
                  <a:p>
                    <a:r>
                      <a:rPr lang="ru-RU" sz="1000">
                        <a:latin typeface="Times New Roman" panose="02020603050405020304" pitchFamily="18" charset="0"/>
                        <a:cs typeface="Times New Roman" panose="02020603050405020304" pitchFamily="18" charset="0"/>
                      </a:rPr>
                      <a:t>Услуги ТСО </a:t>
                    </a:r>
                  </a:p>
                  <a:p>
                    <a:r>
                      <a:rPr lang="ru-RU" sz="1000">
                        <a:latin typeface="Times New Roman" panose="02020603050405020304" pitchFamily="18" charset="0"/>
                        <a:cs typeface="Times New Roman" panose="02020603050405020304" pitchFamily="18" charset="0"/>
                      </a:rPr>
                      <a:t>(Содерж)
5%</a:t>
                    </a:r>
                    <a:endParaRPr lang="ru-RU"/>
                  </a:p>
                </c:rich>
              </c:tx>
              <c:dLblPos val="bestFit"/>
              <c:showLegendKey val="0"/>
              <c:showVal val="0"/>
              <c:showCatName val="1"/>
              <c:showSerName val="0"/>
              <c:showPercent val="1"/>
              <c:showBubbleSize val="0"/>
            </c:dLbl>
            <c:dLbl>
              <c:idx val="1"/>
              <c:layout>
                <c:manualLayout>
                  <c:x val="7.3329527293331309E-2"/>
                  <c:y val="9.2801224301166968E-2"/>
                </c:manualLayout>
              </c:layout>
              <c:tx>
                <c:rich>
                  <a:bodyPr/>
                  <a:lstStyle/>
                  <a:p>
                    <a:r>
                      <a:rPr lang="ru-RU" sz="1000">
                        <a:latin typeface="Times New Roman" panose="02020603050405020304" pitchFamily="18" charset="0"/>
                        <a:cs typeface="Times New Roman" panose="02020603050405020304" pitchFamily="18" charset="0"/>
                      </a:rPr>
                      <a:t>Услуги ПАО "ФСК-Россети"
20%</a:t>
                    </a:r>
                    <a:endParaRPr lang="ru-RU"/>
                  </a:p>
                </c:rich>
              </c:tx>
              <c:dLblPos val="bestFit"/>
              <c:showLegendKey val="0"/>
              <c:showVal val="0"/>
              <c:showCatName val="1"/>
              <c:showSerName val="0"/>
              <c:showPercent val="1"/>
              <c:showBubbleSize val="0"/>
            </c:dLbl>
            <c:dLbl>
              <c:idx val="2"/>
              <c:layout>
                <c:manualLayout>
                  <c:x val="1.9665683382497543E-3"/>
                  <c:y val="1.9607848182761612E-2"/>
                </c:manualLayout>
              </c:layout>
              <c:tx>
                <c:rich>
                  <a:bodyPr/>
                  <a:lstStyle/>
                  <a:p>
                    <a:r>
                      <a:rPr lang="ru-RU" sz="1000">
                        <a:latin typeface="Times New Roman" panose="02020603050405020304" pitchFamily="18" charset="0"/>
                        <a:cs typeface="Times New Roman" panose="02020603050405020304" pitchFamily="18" charset="0"/>
                      </a:rPr>
                      <a:t>ФОТ
12%</a:t>
                    </a:r>
                    <a:endParaRPr lang="ru-RU"/>
                  </a:p>
                </c:rich>
              </c:tx>
              <c:dLblPos val="bestFit"/>
              <c:showLegendKey val="0"/>
              <c:showVal val="0"/>
              <c:showCatName val="1"/>
              <c:showSerName val="0"/>
              <c:showPercent val="1"/>
              <c:showBubbleSize val="0"/>
            </c:dLbl>
            <c:dLbl>
              <c:idx val="3"/>
              <c:layout>
                <c:manualLayout>
                  <c:x val="0.16228460132329542"/>
                  <c:y val="-5.3351887467426334E-2"/>
                </c:manualLayout>
              </c:layout>
              <c:tx>
                <c:rich>
                  <a:bodyPr/>
                  <a:lstStyle/>
                  <a:p>
                    <a:r>
                      <a:rPr lang="ru-RU" sz="1000">
                        <a:latin typeface="Times New Roman" panose="02020603050405020304" pitchFamily="18" charset="0"/>
                        <a:cs typeface="Times New Roman" panose="02020603050405020304" pitchFamily="18" charset="0"/>
                      </a:rPr>
                      <a:t>Амортизация
9%</a:t>
                    </a:r>
                    <a:endParaRPr lang="ru-RU"/>
                  </a:p>
                </c:rich>
              </c:tx>
              <c:dLblPos val="bestFit"/>
              <c:showLegendKey val="0"/>
              <c:showVal val="0"/>
              <c:showCatName val="1"/>
              <c:showSerName val="0"/>
              <c:showPercent val="1"/>
              <c:showBubbleSize val="0"/>
            </c:dLbl>
            <c:dLbl>
              <c:idx val="4"/>
              <c:layout>
                <c:manualLayout>
                  <c:x val="0.11509142548157435"/>
                  <c:y val="-1.3272069683026249E-2"/>
                </c:manualLayout>
              </c:layout>
              <c:tx>
                <c:rich>
                  <a:bodyPr/>
                  <a:lstStyle/>
                  <a:p>
                    <a:r>
                      <a:rPr lang="ru-RU" sz="1000">
                        <a:latin typeface="Times New Roman" panose="02020603050405020304" pitchFamily="18" charset="0"/>
                        <a:cs typeface="Times New Roman" panose="02020603050405020304" pitchFamily="18" charset="0"/>
                      </a:rPr>
                      <a:t>КВЛ из прибыли </a:t>
                    </a:r>
                  </a:p>
                  <a:p>
                    <a:r>
                      <a:rPr lang="ru-RU" sz="1000">
                        <a:latin typeface="Times New Roman" panose="02020603050405020304" pitchFamily="18" charset="0"/>
                        <a:cs typeface="Times New Roman" panose="02020603050405020304" pitchFamily="18" charset="0"/>
                      </a:rPr>
                      <a:t>4%</a:t>
                    </a:r>
                    <a:endParaRPr lang="ru-RU"/>
                  </a:p>
                </c:rich>
              </c:tx>
              <c:dLblPos val="bestFit"/>
              <c:showLegendKey val="0"/>
              <c:showVal val="0"/>
              <c:showCatName val="1"/>
              <c:showSerName val="0"/>
              <c:showPercent val="1"/>
              <c:showBubbleSize val="0"/>
            </c:dLbl>
            <c:dLbl>
              <c:idx val="5"/>
              <c:layout>
                <c:manualLayout>
                  <c:x val="-0.28523317734821718"/>
                  <c:y val="-2.6255850131607448E-7"/>
                </c:manualLayout>
              </c:layout>
              <c:tx>
                <c:rich>
                  <a:bodyPr/>
                  <a:lstStyle/>
                  <a:p>
                    <a:r>
                      <a:rPr lang="ru-RU" sz="1000">
                        <a:latin typeface="Times New Roman" panose="02020603050405020304" pitchFamily="18" charset="0"/>
                        <a:cs typeface="Times New Roman" panose="02020603050405020304" pitchFamily="18" charset="0"/>
                      </a:rPr>
                      <a:t>Выпадающие доходы АО "РЭС
-3%</a:t>
                    </a:r>
                    <a:endParaRPr lang="ru-RU"/>
                  </a:p>
                </c:rich>
              </c:tx>
              <c:dLblPos val="bestFit"/>
              <c:showLegendKey val="0"/>
              <c:showVal val="0"/>
              <c:showCatName val="1"/>
              <c:showSerName val="0"/>
              <c:showPercent val="1"/>
              <c:showBubbleSize val="0"/>
            </c:dLbl>
            <c:dLbl>
              <c:idx val="6"/>
              <c:layout>
                <c:manualLayout>
                  <c:x val="-0.13038101572808822"/>
                  <c:y val="-0.20999297656008981"/>
                </c:manualLayout>
              </c:layout>
              <c:tx>
                <c:rich>
                  <a:bodyPr/>
                  <a:lstStyle/>
                  <a:p>
                    <a:r>
                      <a:rPr lang="ru-RU" sz="1000">
                        <a:latin typeface="Times New Roman" panose="02020603050405020304" pitchFamily="18" charset="0"/>
                        <a:cs typeface="Times New Roman" panose="02020603050405020304" pitchFamily="18" charset="0"/>
                      </a:rPr>
                      <a:t>Оплата</a:t>
                    </a:r>
                    <a:r>
                      <a:rPr lang="ru-RU" sz="1000" baseline="0">
                        <a:latin typeface="Times New Roman" panose="02020603050405020304" pitchFamily="18" charset="0"/>
                        <a:cs typeface="Times New Roman" panose="02020603050405020304" pitchFamily="18" charset="0"/>
                      </a:rPr>
                      <a:t> потерь</a:t>
                    </a:r>
                    <a:r>
                      <a:rPr lang="ru-RU" sz="1000">
                        <a:latin typeface="Times New Roman" panose="02020603050405020304" pitchFamily="18" charset="0"/>
                        <a:cs typeface="Times New Roman" panose="02020603050405020304" pitchFamily="18" charset="0"/>
                      </a:rPr>
                      <a:t>
29%</a:t>
                    </a:r>
                    <a:endParaRPr lang="ru-RU"/>
                  </a:p>
                </c:rich>
              </c:tx>
              <c:dLblPos val="bestFit"/>
              <c:showLegendKey val="0"/>
              <c:showVal val="0"/>
              <c:showCatName val="1"/>
              <c:showSerName val="0"/>
              <c:showPercent val="1"/>
              <c:showBubbleSize val="0"/>
            </c:dLbl>
            <c:dLbl>
              <c:idx val="7"/>
              <c:layout>
                <c:manualLayout>
                  <c:x val="-4.7685154231265472E-2"/>
                  <c:y val="1.3071814673438589E-2"/>
                </c:manualLayout>
              </c:layout>
              <c:tx>
                <c:rich>
                  <a:bodyPr/>
                  <a:lstStyle/>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Прочие</a:t>
                    </a:r>
                    <a:r>
                      <a:rPr lang="en-US" sz="1000">
                        <a:latin typeface="Times New Roman" panose="02020603050405020304" pitchFamily="18" charset="0"/>
                        <a:cs typeface="Times New Roman" panose="02020603050405020304" pitchFamily="18" charset="0"/>
                      </a:rPr>
                      <a:t>
</a:t>
                    </a:r>
                    <a:r>
                      <a:rPr lang="ru-RU" sz="1000">
                        <a:latin typeface="Times New Roman" panose="02020603050405020304" pitchFamily="18" charset="0"/>
                        <a:cs typeface="Times New Roman" panose="02020603050405020304" pitchFamily="18" charset="0"/>
                      </a:rPr>
                      <a:t>21</a:t>
                    </a:r>
                    <a:r>
                      <a:rPr lang="en-US" sz="1000">
                        <a:latin typeface="Times New Roman" panose="02020603050405020304" pitchFamily="18" charset="0"/>
                        <a:cs typeface="Times New Roman" panose="02020603050405020304" pitchFamily="18" charset="0"/>
                      </a:rPr>
                      <a:t>%</a:t>
                    </a:r>
                    <a:endParaRPr lang="en-US"/>
                  </a:p>
                </c:rich>
              </c:tx>
              <c:dLblPos val="bestFit"/>
              <c:showLegendKey val="0"/>
              <c:showVal val="0"/>
              <c:showCatName val="1"/>
              <c:showSerName val="0"/>
              <c:showPercent val="1"/>
              <c:showBubbleSize val="0"/>
            </c:dLbl>
            <c:dLbl>
              <c:idx val="8"/>
              <c:layout>
                <c:manualLayout>
                  <c:x val="-0.12834565480227406"/>
                  <c:y val="2.2431882746660938E-2"/>
                </c:manualLayout>
              </c:layout>
              <c:tx>
                <c:rich>
                  <a:bodyPr/>
                  <a:lstStyle/>
                  <a:p>
                    <a:r>
                      <a:rPr lang="ru-RU"/>
                      <a:t>Предприниматель-</a:t>
                    </a:r>
                  </a:p>
                  <a:p>
                    <a:r>
                      <a:rPr lang="ru-RU"/>
                      <a:t>ская прибыль
4%</a:t>
                    </a:r>
                  </a:p>
                </c:rich>
              </c:tx>
              <c:dLblPos val="bestFit"/>
              <c:showLegendKey val="0"/>
              <c:showVal val="0"/>
              <c:showCatName val="1"/>
              <c:showSerName val="0"/>
              <c:showPercent val="1"/>
              <c:showBubbleSize val="0"/>
            </c:dLbl>
            <c:dLbl>
              <c:idx val="9"/>
              <c:delete val="1"/>
            </c:dLbl>
            <c:txPr>
              <a:bodyPr/>
              <a:lstStyle/>
              <a:p>
                <a:pPr>
                  <a:defRPr sz="1000">
                    <a:latin typeface="Times New Roman" panose="02020603050405020304" pitchFamily="18" charset="0"/>
                    <a:cs typeface="Times New Roman" panose="02020603050405020304" pitchFamily="18" charset="0"/>
                  </a:defRPr>
                </a:pPr>
                <a:endParaRPr lang="ru-RU"/>
              </a:p>
            </c:txPr>
            <c:dLblPos val="outEnd"/>
            <c:showLegendKey val="0"/>
            <c:showVal val="0"/>
            <c:showCatName val="1"/>
            <c:showSerName val="0"/>
            <c:showPercent val="1"/>
            <c:showBubbleSize val="0"/>
            <c:showLeaderLines val="1"/>
          </c:dLbls>
          <c:cat>
            <c:strRef>
              <c:f>'Структура затрат 2025'!$B$2:$B$11</c:f>
              <c:strCache>
                <c:ptCount val="10"/>
                <c:pt idx="0">
                  <c:v>Услуги ТСО (Содерж)</c:v>
                </c:pt>
                <c:pt idx="1">
                  <c:v>Услуги ПАО "ФСК-Россети"</c:v>
                </c:pt>
                <c:pt idx="2">
                  <c:v>ФОТ</c:v>
                </c:pt>
                <c:pt idx="3">
                  <c:v>Амортизация</c:v>
                </c:pt>
                <c:pt idx="4">
                  <c:v>КВЛ из прибыли</c:v>
                </c:pt>
                <c:pt idx="5">
                  <c:v>Выпадающие доходы АО "РЭС"</c:v>
                </c:pt>
                <c:pt idx="6">
                  <c:v>Оплата потерь</c:v>
                </c:pt>
                <c:pt idx="7">
                  <c:v>Прочие</c:v>
                </c:pt>
                <c:pt idx="8">
                  <c:v>Предпринимательская прибыль</c:v>
                </c:pt>
                <c:pt idx="9">
                  <c:v>Возврат недополученного дохода</c:v>
                </c:pt>
              </c:strCache>
            </c:strRef>
          </c:cat>
          <c:val>
            <c:numRef>
              <c:f>'Структура затрат 2025'!$C$2:$C$11</c:f>
              <c:numCache>
                <c:formatCode>_-* #,##0.00_р_._-;\-* #,##0.00_р_._-;_-* "-"??_р_._-;_-@_-</c:formatCode>
                <c:ptCount val="10"/>
                <c:pt idx="0">
                  <c:v>1380.6468233368466</c:v>
                </c:pt>
                <c:pt idx="1">
                  <c:v>4940.5388571238163</c:v>
                </c:pt>
                <c:pt idx="2">
                  <c:v>2996.7500209627929</c:v>
                </c:pt>
                <c:pt idx="3">
                  <c:v>2310.1419498904902</c:v>
                </c:pt>
                <c:pt idx="4">
                  <c:v>893.91670263337994</c:v>
                </c:pt>
                <c:pt idx="5">
                  <c:v>-851.25017860824471</c:v>
                </c:pt>
                <c:pt idx="6">
                  <c:v>7222.7124817992308</c:v>
                </c:pt>
                <c:pt idx="7">
                  <c:v>5216.756457319485</c:v>
                </c:pt>
                <c:pt idx="8">
                  <c:v>1109.1168640539729</c:v>
                </c:pt>
                <c:pt idx="9">
                  <c:v>0</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spPr>
    <a:ln>
      <a:noFill/>
    </a:ln>
  </c:sp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Times New Roman" panose="02020603050405020304" pitchFamily="18" charset="0"/>
                <a:cs typeface="Times New Roman" panose="02020603050405020304" pitchFamily="18" charset="0"/>
              </a:defRPr>
            </a:pPr>
            <a:r>
              <a:rPr lang="ru-RU" sz="1000">
                <a:latin typeface="Times New Roman" panose="02020603050405020304" pitchFamily="18" charset="0"/>
                <a:cs typeface="Times New Roman" panose="02020603050405020304" pitchFamily="18" charset="0"/>
              </a:rPr>
              <a:t>Объем НВВ на содержание сетей, учтенный при расчете котловых тарифов, млн.руб.</a:t>
            </a:r>
          </a:p>
        </c:rich>
      </c:tx>
      <c:layout>
        <c:manualLayout>
          <c:xMode val="edge"/>
          <c:yMode val="edge"/>
          <c:x val="8.861538461538461E-2"/>
          <c:y val="2.0408163265306121E-2"/>
        </c:manualLayout>
      </c:layout>
      <c:overlay val="0"/>
    </c:title>
    <c:autoTitleDeleted val="0"/>
    <c:plotArea>
      <c:layout/>
      <c:barChart>
        <c:barDir val="col"/>
        <c:grouping val="clustered"/>
        <c:varyColors val="0"/>
        <c:ser>
          <c:idx val="0"/>
          <c:order val="0"/>
          <c:tx>
            <c:strRef>
              <c:f>'[Котловые 2015-2025.xlsx]Лист2'!$B$6</c:f>
              <c:strCache>
                <c:ptCount val="1"/>
                <c:pt idx="0">
                  <c:v>Новосибирск</c:v>
                </c:pt>
              </c:strCache>
            </c:strRef>
          </c:tx>
          <c:invertIfNegative val="0"/>
          <c:cat>
            <c:numRef>
              <c:f>'[Котловые 2015-2025.xlsx]Лист2'!$C$4:$L$5</c:f>
              <c:numCache>
                <c:formatCode>General</c:formatCode>
                <c:ptCount val="10"/>
                <c:pt idx="0">
                  <c:v>2016</c:v>
                </c:pt>
                <c:pt idx="1">
                  <c:v>2017</c:v>
                </c:pt>
                <c:pt idx="2">
                  <c:v>2018</c:v>
                </c:pt>
                <c:pt idx="3">
                  <c:v>2019</c:v>
                </c:pt>
                <c:pt idx="4">
                  <c:v>2020</c:v>
                </c:pt>
                <c:pt idx="5">
                  <c:v>2021</c:v>
                </c:pt>
                <c:pt idx="6">
                  <c:v>2022</c:v>
                </c:pt>
                <c:pt idx="7">
                  <c:v>2023</c:v>
                </c:pt>
                <c:pt idx="8">
                  <c:v>2024</c:v>
                </c:pt>
                <c:pt idx="9">
                  <c:v>2025</c:v>
                </c:pt>
              </c:numCache>
            </c:numRef>
          </c:cat>
          <c:val>
            <c:numRef>
              <c:f>'[Котловые 2015-2025.xlsx]Лист2'!$C$6:$L$6</c:f>
              <c:numCache>
                <c:formatCode>#,##0</c:formatCode>
                <c:ptCount val="10"/>
                <c:pt idx="0">
                  <c:v>8545.0779999999995</c:v>
                </c:pt>
                <c:pt idx="1">
                  <c:v>9403.6926000000003</c:v>
                </c:pt>
                <c:pt idx="2">
                  <c:v>10537.036410000001</c:v>
                </c:pt>
                <c:pt idx="3">
                  <c:v>9991.5722999999998</c:v>
                </c:pt>
                <c:pt idx="4">
                  <c:v>9580.0223999999998</c:v>
                </c:pt>
                <c:pt idx="5">
                  <c:v>9872.7932999999994</c:v>
                </c:pt>
                <c:pt idx="6">
                  <c:v>11428.4784</c:v>
                </c:pt>
                <c:pt idx="7">
                  <c:v>13773.195699999998</c:v>
                </c:pt>
                <c:pt idx="8">
                  <c:v>14945.2225</c:v>
                </c:pt>
                <c:pt idx="9">
                  <c:v>17996.6175</c:v>
                </c:pt>
              </c:numCache>
            </c:numRef>
          </c:val>
        </c:ser>
        <c:dLbls>
          <c:showLegendKey val="0"/>
          <c:showVal val="1"/>
          <c:showCatName val="0"/>
          <c:showSerName val="0"/>
          <c:showPercent val="0"/>
          <c:showBubbleSize val="0"/>
        </c:dLbls>
        <c:gapWidth val="150"/>
        <c:axId val="221872640"/>
        <c:axId val="218505792"/>
      </c:barChart>
      <c:catAx>
        <c:axId val="221872640"/>
        <c:scaling>
          <c:orientation val="minMax"/>
        </c:scaling>
        <c:delete val="0"/>
        <c:axPos val="b"/>
        <c:numFmt formatCode="General" sourceLinked="1"/>
        <c:majorTickMark val="none"/>
        <c:minorTickMark val="none"/>
        <c:tickLblPos val="nextTo"/>
        <c:crossAx val="218505792"/>
        <c:crosses val="autoZero"/>
        <c:auto val="1"/>
        <c:lblAlgn val="ctr"/>
        <c:lblOffset val="100"/>
        <c:noMultiLvlLbl val="0"/>
      </c:catAx>
      <c:valAx>
        <c:axId val="218505792"/>
        <c:scaling>
          <c:orientation val="minMax"/>
        </c:scaling>
        <c:delete val="1"/>
        <c:axPos val="l"/>
        <c:numFmt formatCode="#,##0" sourceLinked="1"/>
        <c:majorTickMark val="none"/>
        <c:minorTickMark val="none"/>
        <c:tickLblPos val="nextTo"/>
        <c:crossAx val="221872640"/>
        <c:crosses val="autoZero"/>
        <c:crossBetween val="between"/>
      </c:valAx>
    </c:plotArea>
    <c:legend>
      <c:legendPos val="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2817129107395179E-2"/>
          <c:y val="2.4569880715792372E-2"/>
          <c:w val="0.80552623995450301"/>
          <c:h val="0.56479701555947504"/>
        </c:manualLayout>
      </c:layout>
      <c:barChart>
        <c:barDir val="col"/>
        <c:grouping val="clustered"/>
        <c:varyColors val="0"/>
        <c:ser>
          <c:idx val="0"/>
          <c:order val="0"/>
          <c:tx>
            <c:strRef>
              <c:f>'[Котловые 2015-2025.xlsx]Лист7'!$C$4</c:f>
              <c:strCache>
                <c:ptCount val="1"/>
                <c:pt idx="0">
                  <c:v>НВВ сетевых организаций на содержание сетей, учтенная в котловом тарифе на 2025 год, млн. руб.</c:v>
                </c:pt>
              </c:strCache>
            </c:strRef>
          </c:tx>
          <c:invertIfNegative val="0"/>
          <c:dLbls>
            <c:dLbl>
              <c:idx val="0"/>
              <c:layout>
                <c:manualLayout>
                  <c:x val="-8.967379430781247E-4"/>
                  <c:y val="-4.6906896284337448E-3"/>
                </c:manualLayout>
              </c:layout>
              <c:showLegendKey val="0"/>
              <c:showVal val="1"/>
              <c:showCatName val="0"/>
              <c:showSerName val="0"/>
              <c:showPercent val="0"/>
              <c:showBubbleSize val="0"/>
            </c:dLbl>
            <c:dLbl>
              <c:idx val="2"/>
              <c:layout>
                <c:manualLayout>
                  <c:x val="5.0600882155326645E-3"/>
                  <c:y val="-1.3278002514456381E-2"/>
                </c:manualLayout>
              </c:layout>
              <c:showLegendKey val="0"/>
              <c:showVal val="1"/>
              <c:showCatName val="0"/>
              <c:showSerName val="0"/>
              <c:showPercent val="0"/>
              <c:showBubbleSize val="0"/>
            </c:dLbl>
            <c:dLbl>
              <c:idx val="3"/>
              <c:layout>
                <c:manualLayout>
                  <c:x val="0"/>
                  <c:y val="4.7678274511982824E-3"/>
                </c:manualLayout>
              </c:layout>
              <c:showLegendKey val="0"/>
              <c:showVal val="1"/>
              <c:showCatName val="0"/>
              <c:showSerName val="0"/>
              <c:showPercent val="0"/>
              <c:showBubbleSize val="0"/>
            </c:dLbl>
            <c:dLbl>
              <c:idx val="5"/>
              <c:layout>
                <c:manualLayout>
                  <c:x val="-1.5420158905545254E-3"/>
                  <c:y val="-8.7409160180557864E-17"/>
                </c:manualLayout>
              </c:layout>
              <c:showLegendKey val="0"/>
              <c:showVal val="1"/>
              <c:showCatName val="0"/>
              <c:showSerName val="0"/>
              <c:showPercent val="0"/>
              <c:showBubbleSize val="0"/>
            </c:dLbl>
            <c:dLbl>
              <c:idx val="6"/>
              <c:layout>
                <c:manualLayout>
                  <c:x val="-7.6063153397152954E-17"/>
                  <c:y val="-1.1920371915603767E-2"/>
                </c:manualLayout>
              </c:layout>
              <c:showLegendKey val="0"/>
              <c:showVal val="1"/>
              <c:showCatName val="0"/>
              <c:showSerName val="0"/>
              <c:showPercent val="0"/>
              <c:showBubbleSize val="0"/>
            </c:dLbl>
            <c:dLbl>
              <c:idx val="8"/>
              <c:layout>
                <c:manualLayout>
                  <c:x val="1.8969359763693016E-3"/>
                  <c:y val="-8.2948935066319725E-4"/>
                </c:manualLayout>
              </c:layout>
              <c:showLegendKey val="0"/>
              <c:showVal val="1"/>
              <c:showCatName val="0"/>
              <c:showSerName val="0"/>
              <c:showPercent val="0"/>
              <c:showBubbleSize val="0"/>
            </c:dLbl>
            <c:dLbl>
              <c:idx val="9"/>
              <c:layout>
                <c:manualLayout>
                  <c:x val="0"/>
                  <c:y val="-1.2765201016485796E-2"/>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strRef>
              <c:f>'[Котловые 2015-2025.xlsx]Лист7'!$B$5:$B$14</c:f>
              <c:strCache>
                <c:ptCount val="10"/>
                <c:pt idx="0">
                  <c:v>Новосибирская обл.</c:v>
                </c:pt>
                <c:pt idx="1">
                  <c:v>Свердловская обл.</c:v>
                </c:pt>
                <c:pt idx="2">
                  <c:v>Респ. Татарстан</c:v>
                </c:pt>
                <c:pt idx="3">
                  <c:v>Красноярский край</c:v>
                </c:pt>
                <c:pt idx="4">
                  <c:v>г. Москва</c:v>
                </c:pt>
                <c:pt idx="5">
                  <c:v>Нижегородская обл.</c:v>
                </c:pt>
                <c:pt idx="6">
                  <c:v>Омская обл.</c:v>
                </c:pt>
                <c:pt idx="7">
                  <c:v>Самарская обл.</c:v>
                </c:pt>
                <c:pt idx="8">
                  <c:v>г. Санкт-Петербург</c:v>
                </c:pt>
                <c:pt idx="9">
                  <c:v>Челябинская обл.</c:v>
                </c:pt>
              </c:strCache>
            </c:strRef>
          </c:cat>
          <c:val>
            <c:numRef>
              <c:f>'[Котловые 2015-2025.xlsx]Лист7'!$C$5:$C$14</c:f>
              <c:numCache>
                <c:formatCode>#,##0</c:formatCode>
                <c:ptCount val="10"/>
                <c:pt idx="0">
                  <c:v>17996.6175</c:v>
                </c:pt>
                <c:pt idx="1">
                  <c:v>44740.833200000001</c:v>
                </c:pt>
                <c:pt idx="2">
                  <c:v>38876.690381</c:v>
                </c:pt>
                <c:pt idx="3">
                  <c:v>23617.19584</c:v>
                </c:pt>
                <c:pt idx="4">
                  <c:v>121181.19203000001</c:v>
                </c:pt>
                <c:pt idx="5">
                  <c:v>29990.316170000002</c:v>
                </c:pt>
                <c:pt idx="6">
                  <c:v>11710.921619999999</c:v>
                </c:pt>
                <c:pt idx="7">
                  <c:v>31760.034899999999</c:v>
                </c:pt>
                <c:pt idx="8">
                  <c:v>59456.86105</c:v>
                </c:pt>
                <c:pt idx="9">
                  <c:v>23279.005209999999</c:v>
                </c:pt>
              </c:numCache>
            </c:numRef>
          </c:val>
        </c:ser>
        <c:ser>
          <c:idx val="1"/>
          <c:order val="1"/>
          <c:tx>
            <c:strRef>
              <c:f>'[Котловые 2015-2025.xlsx]Лист7'!$D$4</c:f>
              <c:strCache>
                <c:ptCount val="1"/>
                <c:pt idx="0">
                  <c:v>Котловой объем полезного отпуска, млн.кВтч</c:v>
                </c:pt>
              </c:strCache>
            </c:strRef>
          </c:tx>
          <c:invertIfNegative val="0"/>
          <c:dLbls>
            <c:dLbl>
              <c:idx val="0"/>
              <c:layout>
                <c:manualLayout>
                  <c:x val="9.8064436043743541E-3"/>
                  <c:y val="4.5142315895223429E-3"/>
                </c:manualLayout>
              </c:layout>
              <c:showLegendKey val="0"/>
              <c:showVal val="1"/>
              <c:showCatName val="0"/>
              <c:showSerName val="0"/>
              <c:showPercent val="0"/>
              <c:showBubbleSize val="0"/>
            </c:dLbl>
            <c:dLbl>
              <c:idx val="1"/>
              <c:layout>
                <c:manualLayout>
                  <c:x val="7.587580573637751E-3"/>
                  <c:y val="4.249560853058186E-3"/>
                </c:manualLayout>
              </c:layout>
              <c:showLegendKey val="0"/>
              <c:showVal val="1"/>
              <c:showCatName val="0"/>
              <c:showSerName val="0"/>
              <c:showPercent val="0"/>
              <c:showBubbleSize val="0"/>
            </c:dLbl>
            <c:dLbl>
              <c:idx val="2"/>
              <c:layout>
                <c:manualLayout>
                  <c:x val="1.3493568574753772E-2"/>
                  <c:y val="-3.7206287360717384E-3"/>
                </c:manualLayout>
              </c:layout>
              <c:showLegendKey val="0"/>
              <c:showVal val="1"/>
              <c:showCatName val="0"/>
              <c:showSerName val="0"/>
              <c:showPercent val="0"/>
              <c:showBubbleSize val="0"/>
            </c:dLbl>
            <c:dLbl>
              <c:idx val="3"/>
              <c:layout>
                <c:manualLayout>
                  <c:x val="1.1647356760018979E-2"/>
                  <c:y val="0"/>
                </c:manualLayout>
              </c:layout>
              <c:showLegendKey val="0"/>
              <c:showVal val="1"/>
              <c:showCatName val="0"/>
              <c:showSerName val="0"/>
              <c:showPercent val="0"/>
              <c:showBubbleSize val="0"/>
            </c:dLbl>
            <c:dLbl>
              <c:idx val="4"/>
              <c:layout>
                <c:manualLayout>
                  <c:x val="1.1913625278649064E-2"/>
                  <c:y val="0"/>
                </c:manualLayout>
              </c:layout>
              <c:showLegendKey val="0"/>
              <c:showVal val="1"/>
              <c:showCatName val="0"/>
              <c:showSerName val="0"/>
              <c:showPercent val="0"/>
              <c:showBubbleSize val="0"/>
            </c:dLbl>
            <c:dLbl>
              <c:idx val="5"/>
              <c:layout>
                <c:manualLayout>
                  <c:x val="1.1913424325500755E-2"/>
                  <c:y val="7.1517411767974244E-3"/>
                </c:manualLayout>
              </c:layout>
              <c:showLegendKey val="0"/>
              <c:showVal val="1"/>
              <c:showCatName val="0"/>
              <c:showSerName val="0"/>
              <c:showPercent val="0"/>
              <c:showBubbleSize val="0"/>
            </c:dLbl>
            <c:dLbl>
              <c:idx val="6"/>
              <c:layout>
                <c:manualLayout>
                  <c:x val="1.1913625278649064E-2"/>
                  <c:y val="0"/>
                </c:manualLayout>
              </c:layout>
              <c:showLegendKey val="0"/>
              <c:showVal val="1"/>
              <c:showCatName val="0"/>
              <c:showSerName val="0"/>
              <c:showPercent val="0"/>
              <c:showBubbleSize val="0"/>
            </c:dLbl>
            <c:dLbl>
              <c:idx val="7"/>
              <c:layout>
                <c:manualLayout>
                  <c:x val="1.1913625278649064E-2"/>
                  <c:y val="-8.4993338563435234E-3"/>
                </c:manualLayout>
              </c:layout>
              <c:showLegendKey val="0"/>
              <c:showVal val="1"/>
              <c:showCatName val="0"/>
              <c:showSerName val="0"/>
              <c:showPercent val="0"/>
              <c:showBubbleSize val="0"/>
            </c:dLbl>
            <c:dLbl>
              <c:idx val="8"/>
              <c:layout>
                <c:manualLayout>
                  <c:x val="1.5884833704865417E-2"/>
                  <c:y val="6.3743330825360607E-3"/>
                </c:manualLayout>
              </c:layout>
              <c:showLegendKey val="0"/>
              <c:showVal val="1"/>
              <c:showCatName val="0"/>
              <c:showSerName val="0"/>
              <c:showPercent val="0"/>
              <c:showBubbleSize val="0"/>
            </c:dLbl>
            <c:dLbl>
              <c:idx val="9"/>
              <c:layout>
                <c:manualLayout>
                  <c:x val="5.7688805480763184E-3"/>
                  <c:y val="-1.4132478778475099E-2"/>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strRef>
              <c:f>'[Котловые 2015-2025.xlsx]Лист7'!$B$5:$B$14</c:f>
              <c:strCache>
                <c:ptCount val="10"/>
                <c:pt idx="0">
                  <c:v>Новосибирская обл.</c:v>
                </c:pt>
                <c:pt idx="1">
                  <c:v>Свердловская обл.</c:v>
                </c:pt>
                <c:pt idx="2">
                  <c:v>Респ. Татарстан</c:v>
                </c:pt>
                <c:pt idx="3">
                  <c:v>Красноярский край</c:v>
                </c:pt>
                <c:pt idx="4">
                  <c:v>г. Москва</c:v>
                </c:pt>
                <c:pt idx="5">
                  <c:v>Нижегородская обл.</c:v>
                </c:pt>
                <c:pt idx="6">
                  <c:v>Омская обл.</c:v>
                </c:pt>
                <c:pt idx="7">
                  <c:v>Самарская обл.</c:v>
                </c:pt>
                <c:pt idx="8">
                  <c:v>г. Санкт-Петербург</c:v>
                </c:pt>
                <c:pt idx="9">
                  <c:v>Челябинская обл.</c:v>
                </c:pt>
              </c:strCache>
            </c:strRef>
          </c:cat>
          <c:val>
            <c:numRef>
              <c:f>'[Котловые 2015-2025.xlsx]Лист7'!$D$5:$D$14</c:f>
              <c:numCache>
                <c:formatCode>#,##0</c:formatCode>
                <c:ptCount val="10"/>
                <c:pt idx="0">
                  <c:v>13235.552</c:v>
                </c:pt>
                <c:pt idx="1">
                  <c:v>27181.258000000002</c:v>
                </c:pt>
                <c:pt idx="2">
                  <c:v>27495.71</c:v>
                </c:pt>
                <c:pt idx="3">
                  <c:v>14086.87</c:v>
                </c:pt>
                <c:pt idx="4">
                  <c:v>47417.79</c:v>
                </c:pt>
                <c:pt idx="5">
                  <c:v>11437.34</c:v>
                </c:pt>
                <c:pt idx="6">
                  <c:v>6720.28</c:v>
                </c:pt>
                <c:pt idx="7">
                  <c:v>16922.519999999997</c:v>
                </c:pt>
                <c:pt idx="8">
                  <c:v>20476.099999999999</c:v>
                </c:pt>
                <c:pt idx="9">
                  <c:v>15616.34</c:v>
                </c:pt>
              </c:numCache>
            </c:numRef>
          </c:val>
        </c:ser>
        <c:dLbls>
          <c:showLegendKey val="0"/>
          <c:showVal val="1"/>
          <c:showCatName val="0"/>
          <c:showSerName val="0"/>
          <c:showPercent val="0"/>
          <c:showBubbleSize val="0"/>
        </c:dLbls>
        <c:gapWidth val="75"/>
        <c:axId val="218344448"/>
        <c:axId val="209248832"/>
      </c:barChart>
      <c:catAx>
        <c:axId val="218344448"/>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09248832"/>
        <c:crosses val="autoZero"/>
        <c:auto val="1"/>
        <c:lblAlgn val="ctr"/>
        <c:lblOffset val="100"/>
        <c:noMultiLvlLbl val="0"/>
      </c:catAx>
      <c:valAx>
        <c:axId val="209248832"/>
        <c:scaling>
          <c:orientation val="minMax"/>
        </c:scaling>
        <c:delete val="0"/>
        <c:axPos val="l"/>
        <c:numFmt formatCode="#,##0" sourceLinked="1"/>
        <c:majorTickMark val="none"/>
        <c:minorTickMark val="none"/>
        <c:tickLblPos val="nextTo"/>
        <c:crossAx val="218344448"/>
        <c:crosses val="autoZero"/>
        <c:crossBetween val="between"/>
      </c:valAx>
    </c:plotArea>
    <c:legend>
      <c:legendPos val="b"/>
      <c:legendEntry>
        <c:idx val="0"/>
        <c:txPr>
          <a:bodyPr/>
          <a:lstStyle/>
          <a:p>
            <a:pPr>
              <a:defRPr sz="900" b="0" i="1">
                <a:latin typeface="Times New Roman" panose="02020603050405020304" pitchFamily="18" charset="0"/>
                <a:cs typeface="Times New Roman" panose="02020603050405020304" pitchFamily="18" charset="0"/>
              </a:defRPr>
            </a:pPr>
            <a:endParaRPr lang="ru-RU"/>
          </a:p>
        </c:txPr>
      </c:legendEntry>
      <c:legendEntry>
        <c:idx val="1"/>
        <c:txPr>
          <a:bodyPr/>
          <a:lstStyle/>
          <a:p>
            <a:pPr>
              <a:defRPr sz="900" b="0" i="1">
                <a:latin typeface="Times New Roman" panose="02020603050405020304" pitchFamily="18" charset="0"/>
                <a:cs typeface="Times New Roman" panose="02020603050405020304" pitchFamily="18" charset="0"/>
              </a:defRPr>
            </a:pPr>
            <a:endParaRPr lang="ru-RU"/>
          </a:p>
        </c:txPr>
      </c:legendEntry>
      <c:layout>
        <c:manualLayout>
          <c:xMode val="edge"/>
          <c:yMode val="edge"/>
          <c:x val="7.3610599871069812E-2"/>
          <c:y val="0.83033849322551778"/>
          <c:w val="0.85277880025786035"/>
          <c:h val="0.15638350426002581"/>
        </c:manualLayout>
      </c:layout>
      <c:overlay val="0"/>
      <c:txPr>
        <a:bodyPr/>
        <a:lstStyle/>
        <a:p>
          <a:pPr>
            <a:defRPr sz="900" b="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Times New Roman" panose="02020603050405020304" pitchFamily="18" charset="0"/>
                <a:cs typeface="Times New Roman" panose="02020603050405020304" pitchFamily="18" charset="0"/>
              </a:defRPr>
            </a:pPr>
            <a:r>
              <a:rPr lang="ru-RU" sz="1000">
                <a:latin typeface="Times New Roman" panose="02020603050405020304" pitchFamily="18" charset="0"/>
                <a:cs typeface="Times New Roman" panose="02020603050405020304" pitchFamily="18" charset="0"/>
              </a:rPr>
              <a:t>Удельный размер</a:t>
            </a:r>
            <a:r>
              <a:rPr lang="ru-RU" sz="1000" baseline="0">
                <a:latin typeface="Times New Roman" panose="02020603050405020304" pitchFamily="18" charset="0"/>
                <a:cs typeface="Times New Roman" panose="02020603050405020304" pitchFamily="18" charset="0"/>
              </a:rPr>
              <a:t> НВВ на содержание сетей в отношении на 1 кВтч котлового объема ПО, на 2025 год</a:t>
            </a:r>
            <a:endParaRPr lang="ru-RU" sz="1000">
              <a:latin typeface="Times New Roman" panose="02020603050405020304" pitchFamily="18" charset="0"/>
              <a:cs typeface="Times New Roman" panose="02020603050405020304" pitchFamily="18" charset="0"/>
            </a:endParaRPr>
          </a:p>
        </c:rich>
      </c:tx>
      <c:overlay val="0"/>
    </c:title>
    <c:autoTitleDeleted val="0"/>
    <c:plotArea>
      <c:layout>
        <c:manualLayout>
          <c:layoutTarget val="inner"/>
          <c:xMode val="edge"/>
          <c:yMode val="edge"/>
          <c:x val="0.10726173550603683"/>
          <c:y val="0.12225072333614247"/>
          <c:w val="0.77768937598296839"/>
          <c:h val="0.50253697800769515"/>
        </c:manualLayout>
      </c:layout>
      <c:barChart>
        <c:barDir val="col"/>
        <c:grouping val="clustered"/>
        <c:varyColors val="0"/>
        <c:ser>
          <c:idx val="0"/>
          <c:order val="0"/>
          <c:invertIfNegative val="0"/>
          <c:cat>
            <c:strRef>
              <c:f>'[Котловые 2015-2025.xlsx]Лист7'!$B$5:$B$14</c:f>
              <c:strCache>
                <c:ptCount val="10"/>
                <c:pt idx="0">
                  <c:v>Новосибирская обл.</c:v>
                </c:pt>
                <c:pt idx="1">
                  <c:v>Свердловская обл.</c:v>
                </c:pt>
                <c:pt idx="2">
                  <c:v>Респ. Татарстан</c:v>
                </c:pt>
                <c:pt idx="3">
                  <c:v>Красноярский край</c:v>
                </c:pt>
                <c:pt idx="4">
                  <c:v>г. Москва</c:v>
                </c:pt>
                <c:pt idx="5">
                  <c:v>Нижегородская обл.</c:v>
                </c:pt>
                <c:pt idx="6">
                  <c:v>Омская обл.</c:v>
                </c:pt>
                <c:pt idx="7">
                  <c:v>Самарская обл.</c:v>
                </c:pt>
                <c:pt idx="8">
                  <c:v>г. Санкт-Петербург</c:v>
                </c:pt>
                <c:pt idx="9">
                  <c:v>Челябинская обл.</c:v>
                </c:pt>
              </c:strCache>
            </c:strRef>
          </c:cat>
          <c:val>
            <c:numRef>
              <c:f>'[Котловые 2015-2025.xlsx]Лист7'!$F$5:$F$14</c:f>
              <c:numCache>
                <c:formatCode>#,##0.000</c:formatCode>
                <c:ptCount val="10"/>
                <c:pt idx="0">
                  <c:v>1.3597179399846717</c:v>
                </c:pt>
                <c:pt idx="1">
                  <c:v>1.6460177523792312</c:v>
                </c:pt>
                <c:pt idx="2">
                  <c:v>1.4139184033072796</c:v>
                </c:pt>
                <c:pt idx="3">
                  <c:v>1.6765396315860088</c:v>
                </c:pt>
                <c:pt idx="4">
                  <c:v>2.5556060716874405</c:v>
                </c:pt>
                <c:pt idx="5">
                  <c:v>2.6221408273252349</c:v>
                </c:pt>
                <c:pt idx="6">
                  <c:v>1.7426240603070109</c:v>
                </c:pt>
                <c:pt idx="7">
                  <c:v>1.8767910984888778</c:v>
                </c:pt>
                <c:pt idx="8">
                  <c:v>2.9037199979488282</c:v>
                </c:pt>
                <c:pt idx="9">
                  <c:v>1.490682529325053</c:v>
                </c:pt>
              </c:numCache>
            </c:numRef>
          </c:val>
        </c:ser>
        <c:dLbls>
          <c:showLegendKey val="0"/>
          <c:showVal val="1"/>
          <c:showCatName val="0"/>
          <c:showSerName val="0"/>
          <c:showPercent val="0"/>
          <c:showBubbleSize val="0"/>
        </c:dLbls>
        <c:gapWidth val="150"/>
        <c:overlap val="-25"/>
        <c:axId val="218344960"/>
        <c:axId val="218506368"/>
      </c:barChart>
      <c:catAx>
        <c:axId val="218344960"/>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218506368"/>
        <c:crosses val="autoZero"/>
        <c:auto val="1"/>
        <c:lblAlgn val="ctr"/>
        <c:lblOffset val="100"/>
        <c:noMultiLvlLbl val="0"/>
      </c:catAx>
      <c:valAx>
        <c:axId val="218506368"/>
        <c:scaling>
          <c:orientation val="minMax"/>
        </c:scaling>
        <c:delete val="1"/>
        <c:axPos val="l"/>
        <c:numFmt formatCode="#,##0.000" sourceLinked="1"/>
        <c:majorTickMark val="none"/>
        <c:minorTickMark val="none"/>
        <c:tickLblPos val="nextTo"/>
        <c:crossAx val="218344960"/>
        <c:crosses val="autoZero"/>
        <c:crossBetween val="between"/>
      </c:valAx>
      <c:spPr>
        <a:noFill/>
        <a:ln>
          <a:noFill/>
        </a:ln>
      </c:spPr>
    </c:plotArea>
    <c:plotVisOnly val="1"/>
    <c:dispBlanksAs val="gap"/>
    <c:showDLblsOverMax val="0"/>
  </c:chart>
  <c:spPr>
    <a:ln>
      <a:noFill/>
    </a:ln>
  </c:sp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Средневзвешенная сбытовая надбавка по всем группам потребителей, руб. кВтч</a:t>
            </a:r>
          </a:p>
        </c:rich>
      </c:tx>
      <c:layout>
        <c:manualLayout>
          <c:xMode val="edge"/>
          <c:yMode val="edge"/>
          <c:x val="0.13675000000000001"/>
          <c:y val="2.2792022792022793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25153018372703412"/>
          <c:y val="0.17034610311016823"/>
          <c:w val="0.61043924387500348"/>
          <c:h val="0.64366719704078446"/>
        </c:manualLayout>
      </c:layout>
      <c:bar3DChart>
        <c:barDir val="col"/>
        <c:grouping val="stacked"/>
        <c:varyColors val="0"/>
        <c:ser>
          <c:idx val="0"/>
          <c:order val="0"/>
          <c:tx>
            <c:strRef>
              <c:f>'[СН_свод_2012-2025.xlsx]средняя СН по всем группам'!$A$14</c:f>
              <c:strCache>
                <c:ptCount val="1"/>
                <c:pt idx="0">
                  <c:v>Средняя сбытовая надбавка по всем группам потребителей, руб. кВтч</c:v>
                </c:pt>
              </c:strCache>
            </c:strRef>
          </c:tx>
          <c:spPr>
            <a:solidFill>
              <a:schemeClr val="accent3">
                <a:lumMod val="75000"/>
              </a:schemeClr>
            </a:solidFill>
          </c:spPr>
          <c:invertIfNegative val="0"/>
          <c:dLbls>
            <c:dLbl>
              <c:idx val="0"/>
              <c:layout>
                <c:manualLayout>
                  <c:x val="0"/>
                  <c:y val="-0.1101402091577931"/>
                </c:manualLayout>
              </c:layout>
              <c:showLegendKey val="0"/>
              <c:showVal val="1"/>
              <c:showCatName val="0"/>
              <c:showSerName val="0"/>
              <c:showPercent val="0"/>
              <c:showBubbleSize val="0"/>
            </c:dLbl>
            <c:dLbl>
              <c:idx val="1"/>
              <c:layout>
                <c:manualLayout>
                  <c:x val="8.637993530972143E-3"/>
                  <c:y val="-2.2142561127227355E-2"/>
                </c:manualLayout>
              </c:layout>
              <c:showLegendKey val="0"/>
              <c:showVal val="1"/>
              <c:showCatName val="0"/>
              <c:showSerName val="0"/>
              <c:showPercent val="0"/>
              <c:showBubbleSize val="0"/>
            </c:dLbl>
            <c:dLbl>
              <c:idx val="2"/>
              <c:layout>
                <c:manualLayout>
                  <c:x val="-2.0433796990149168E-3"/>
                  <c:y val="-0.19770203066721923"/>
                </c:manualLayout>
              </c:layout>
              <c:showLegendKey val="0"/>
              <c:showVal val="1"/>
              <c:showCatName val="0"/>
              <c:showSerName val="0"/>
              <c:showPercent val="0"/>
              <c:showBubbleSize val="0"/>
            </c:dLbl>
            <c:dLbl>
              <c:idx val="3"/>
              <c:layout>
                <c:manualLayout>
                  <c:x val="1.6874112083317957E-2"/>
                  <c:y val="-7.9471266749551045E-2"/>
                </c:manualLayout>
              </c:layout>
              <c:showLegendKey val="0"/>
              <c:showVal val="1"/>
              <c:showCatName val="0"/>
              <c:showSerName val="0"/>
              <c:showPercent val="0"/>
              <c:showBubbleSize val="0"/>
            </c:dLbl>
            <c:dLbl>
              <c:idx val="4"/>
              <c:layout>
                <c:manualLayout>
                  <c:x val="5.3059659677371787E-3"/>
                  <c:y val="-0.2317457468075558"/>
                </c:manualLayout>
              </c:layout>
              <c:showLegendKey val="0"/>
              <c:showVal val="1"/>
              <c:showCatName val="0"/>
              <c:showSerName val="0"/>
              <c:showPercent val="0"/>
              <c:showBubbleSize val="0"/>
            </c:dLbl>
            <c:dLbl>
              <c:idx val="5"/>
              <c:layout>
                <c:manualLayout>
                  <c:x val="1.0330515434037003E-2"/>
                  <c:y val="-8.5929686420776433E-2"/>
                </c:manualLayout>
              </c:layout>
              <c:showLegendKey val="0"/>
              <c:showVal val="1"/>
              <c:showCatName val="0"/>
              <c:showSerName val="0"/>
              <c:showPercent val="0"/>
              <c:showBubbleSize val="0"/>
            </c:dLbl>
            <c:dLbl>
              <c:idx val="6"/>
              <c:layout>
                <c:manualLayout>
                  <c:x val="-4.864426123496567E-3"/>
                  <c:y val="-0.19366418013537787"/>
                </c:manualLayout>
              </c:layout>
              <c:showLegendKey val="0"/>
              <c:showVal val="1"/>
              <c:showCatName val="0"/>
              <c:showSerName val="0"/>
              <c:showPercent val="0"/>
              <c:showBubbleSize val="0"/>
            </c:dLbl>
            <c:dLbl>
              <c:idx val="7"/>
              <c:layout>
                <c:manualLayout>
                  <c:x val="2.3244989749289908E-3"/>
                  <c:y val="-0.31274416355850254"/>
                </c:manualLayout>
              </c:layout>
              <c:showLegendKey val="0"/>
              <c:showVal val="1"/>
              <c:showCatName val="0"/>
              <c:showSerName val="0"/>
              <c:showPercent val="0"/>
              <c:showBubbleSize val="0"/>
            </c:dLbl>
            <c:dLbl>
              <c:idx val="8"/>
              <c:layout>
                <c:manualLayout>
                  <c:x val="6.9686411149824934E-3"/>
                  <c:y val="-0.33851468048359246"/>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'[СН_свод_2012-2025.xlsx]средняя СН по всем группам'!$B$13:$J$13</c:f>
              <c:numCache>
                <c:formatCode>General</c:formatCode>
                <c:ptCount val="9"/>
                <c:pt idx="0">
                  <c:v>2017</c:v>
                </c:pt>
                <c:pt idx="1">
                  <c:v>2018</c:v>
                </c:pt>
                <c:pt idx="2">
                  <c:v>2019</c:v>
                </c:pt>
                <c:pt idx="3">
                  <c:v>2020</c:v>
                </c:pt>
                <c:pt idx="4">
                  <c:v>2021</c:v>
                </c:pt>
                <c:pt idx="5">
                  <c:v>2022</c:v>
                </c:pt>
                <c:pt idx="6">
                  <c:v>2023</c:v>
                </c:pt>
                <c:pt idx="7">
                  <c:v>2024</c:v>
                </c:pt>
                <c:pt idx="8">
                  <c:v>2025</c:v>
                </c:pt>
              </c:numCache>
            </c:numRef>
          </c:cat>
          <c:val>
            <c:numRef>
              <c:f>'[СН_свод_2012-2025.xlsx]средняя СН по всем группам'!$B$14:$J$14</c:f>
              <c:numCache>
                <c:formatCode>0.00000</c:formatCode>
                <c:ptCount val="9"/>
                <c:pt idx="0">
                  <c:v>0.11758081925925368</c:v>
                </c:pt>
                <c:pt idx="1">
                  <c:v>0.12278813097090666</c:v>
                </c:pt>
                <c:pt idx="2">
                  <c:v>0.16936789028576035</c:v>
                </c:pt>
                <c:pt idx="3">
                  <c:v>0.25370871099919717</c:v>
                </c:pt>
                <c:pt idx="4">
                  <c:v>0.25610586920184236</c:v>
                </c:pt>
                <c:pt idx="5">
                  <c:v>0.27164694977589354</c:v>
                </c:pt>
                <c:pt idx="6">
                  <c:v>0.35697727430188469</c:v>
                </c:pt>
                <c:pt idx="7">
                  <c:v>0.3785610409842694</c:v>
                </c:pt>
                <c:pt idx="8">
                  <c:v>0.44910013919650377</c:v>
                </c:pt>
              </c:numCache>
            </c:numRef>
          </c:val>
        </c:ser>
        <c:dLbls>
          <c:showLegendKey val="0"/>
          <c:showVal val="0"/>
          <c:showCatName val="0"/>
          <c:showSerName val="0"/>
          <c:showPercent val="0"/>
          <c:showBubbleSize val="0"/>
        </c:dLbls>
        <c:gapWidth val="150"/>
        <c:shape val="box"/>
        <c:axId val="218756608"/>
        <c:axId val="218509248"/>
        <c:axId val="0"/>
      </c:bar3DChart>
      <c:catAx>
        <c:axId val="218756608"/>
        <c:scaling>
          <c:orientation val="minMax"/>
        </c:scaling>
        <c:delete val="0"/>
        <c:axPos val="b"/>
        <c:numFmt formatCode="General" sourceLinked="1"/>
        <c:majorTickMark val="out"/>
        <c:minorTickMark val="none"/>
        <c:tickLblPos val="nextTo"/>
        <c:crossAx val="218509248"/>
        <c:crosses val="autoZero"/>
        <c:auto val="1"/>
        <c:lblAlgn val="ctr"/>
        <c:lblOffset val="100"/>
        <c:noMultiLvlLbl val="0"/>
      </c:catAx>
      <c:valAx>
        <c:axId val="218509248"/>
        <c:scaling>
          <c:orientation val="minMax"/>
        </c:scaling>
        <c:delete val="0"/>
        <c:axPos val="l"/>
        <c:majorGridlines/>
        <c:numFmt formatCode="0.000" sourceLinked="0"/>
        <c:majorTickMark val="out"/>
        <c:minorTickMark val="none"/>
        <c:tickLblPos val="nextTo"/>
        <c:crossAx val="218756608"/>
        <c:crosses val="autoZero"/>
        <c:crossBetween val="between"/>
      </c:valAx>
    </c:plotArea>
    <c:plotVisOnly val="1"/>
    <c:dispBlanksAs val="gap"/>
    <c:showDLblsOverMax val="0"/>
  </c:chart>
  <c:spPr>
    <a:ln>
      <a:noFill/>
    </a:ln>
  </c:spPr>
  <c:externalData r:id="rId2">
    <c:autoUpdate val="0"/>
  </c:externalData>
  <c:userShapes r:id="rId3"/>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4.0887075350399017E-2"/>
          <c:y val="0.1370246927000757"/>
          <c:w val="0.40949897457149842"/>
          <c:h val="0.79041088866236076"/>
        </c:manualLayout>
      </c:layout>
      <c:pieChart>
        <c:varyColors val="1"/>
        <c:ser>
          <c:idx val="1"/>
          <c:order val="1"/>
          <c:tx>
            <c:strRef>
              <c:f>'[СН_свод_2012-2024.xlsx]структура НВВ'!$C$2:$C$3</c:f>
              <c:strCache>
                <c:ptCount val="1"/>
                <c:pt idx="0">
                  <c:v>2017 год, %</c:v>
                </c:pt>
              </c:strCache>
            </c:strRef>
          </c:tx>
          <c:explosion val="25"/>
          <c:dPt>
            <c:idx val="0"/>
            <c:bubble3D val="0"/>
            <c:explosion val="30"/>
          </c:dPt>
          <c:dPt>
            <c:idx val="1"/>
            <c:bubble3D val="0"/>
            <c:explosion val="9"/>
          </c:dPt>
          <c:dPt>
            <c:idx val="2"/>
            <c:bubble3D val="0"/>
            <c:explosion val="7"/>
          </c:dPt>
          <c:dLbls>
            <c:dLbl>
              <c:idx val="3"/>
              <c:layout>
                <c:manualLayout>
                  <c:x val="8.6351924759405077E-2"/>
                  <c:y val="0.1022528433945757"/>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'[СН_свод_2012-2024.xlsx]структура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'[СН_свод_2012-2024.xlsx]структура НВВ'!$C$4:$C$7</c:f>
              <c:numCache>
                <c:formatCode>0.0%</c:formatCode>
                <c:ptCount val="4"/>
                <c:pt idx="0">
                  <c:v>0.83200000000000007</c:v>
                </c:pt>
                <c:pt idx="1">
                  <c:v>7.8E-2</c:v>
                </c:pt>
                <c:pt idx="2">
                  <c:v>8.8000000000000009E-2</c:v>
                </c:pt>
                <c:pt idx="3">
                  <c:v>2E-3</c:v>
                </c:pt>
              </c:numCache>
            </c:numRef>
          </c:val>
        </c:ser>
        <c:ser>
          <c:idx val="2"/>
          <c:order val="2"/>
          <c:tx>
            <c:strRef>
              <c:f>'[СН_свод_2012-2024.xlsx]структура НВВ'!$D$2:$D$3</c:f>
              <c:strCache>
                <c:ptCount val="1"/>
                <c:pt idx="0">
                  <c:v>2020 год, тыс. руб.</c:v>
                </c:pt>
              </c:strCache>
            </c:strRef>
          </c:tx>
          <c:explosion val="25"/>
          <c:cat>
            <c:strRef>
              <c:f>'[СН_свод_2012-2024.xlsx]структура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'[СН_свод_2012-2024.xlsx]структура НВВ'!$D$4:$D$7</c:f>
            </c:numRef>
          </c:val>
        </c:ser>
        <c:ser>
          <c:idx val="0"/>
          <c:order val="0"/>
          <c:tx>
            <c:strRef>
              <c:f>'[СН_свод_2012-2024.xlsx]структура НВВ'!$B$2:$B$3</c:f>
              <c:strCache>
                <c:ptCount val="1"/>
                <c:pt idx="0">
                  <c:v>2017 год,  тыс. руб.</c:v>
                </c:pt>
              </c:strCache>
            </c:strRef>
          </c:tx>
          <c:explosion val="25"/>
          <c:cat>
            <c:strRef>
              <c:f>'[СН_свод_2012-2024.xlsx]структура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'[СН_свод_2012-2024.xlsx]структура НВВ'!$B$4:$B$7</c:f>
              <c:numCache>
                <c:formatCode>#,##0.0</c:formatCode>
                <c:ptCount val="4"/>
                <c:pt idx="0">
                  <c:v>1239954.2</c:v>
                </c:pt>
                <c:pt idx="1">
                  <c:v>116392</c:v>
                </c:pt>
                <c:pt idx="2">
                  <c:v>130522.7</c:v>
                </c:pt>
                <c:pt idx="3">
                  <c:v>3657.6</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47317641503657176"/>
          <c:y val="0.21964062184534625"/>
          <c:w val="0.51018891410580691"/>
          <c:h val="0.71364526549565921"/>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sz="800">
                <a:latin typeface="Times New Roman" panose="02020603050405020304" pitchFamily="18" charset="0"/>
                <a:cs typeface="Times New Roman" panose="02020603050405020304" pitchFamily="18" charset="0"/>
              </a:defRPr>
            </a:pPr>
            <a:r>
              <a:rPr lang="ru-RU" sz="800">
                <a:latin typeface="Times New Roman" panose="02020603050405020304" pitchFamily="18" charset="0"/>
                <a:cs typeface="Times New Roman" panose="02020603050405020304" pitchFamily="18" charset="0"/>
              </a:rPr>
              <a:t>Структура</a:t>
            </a:r>
            <a:r>
              <a:rPr lang="ru-RU" sz="800" baseline="0">
                <a:latin typeface="Times New Roman" panose="02020603050405020304" pitchFamily="18" charset="0"/>
                <a:cs typeface="Times New Roman" panose="02020603050405020304" pitchFamily="18" charset="0"/>
              </a:rPr>
              <a:t> эталонной выручки ГП в </a:t>
            </a:r>
            <a:r>
              <a:rPr lang="ru-RU" sz="800">
                <a:latin typeface="Times New Roman" panose="02020603050405020304" pitchFamily="18" charset="0"/>
                <a:cs typeface="Times New Roman" panose="02020603050405020304" pitchFamily="18" charset="0"/>
              </a:rPr>
              <a:t>2025 году, %</a:t>
            </a:r>
          </a:p>
        </c:rich>
      </c:tx>
      <c:layout>
        <c:manualLayout>
          <c:xMode val="edge"/>
          <c:yMode val="edge"/>
          <c:x val="7.6620641928524108E-2"/>
          <c:y val="2.3154797957947563E-2"/>
        </c:manualLayout>
      </c:layout>
      <c:overlay val="0"/>
    </c:title>
    <c:autoTitleDeleted val="0"/>
    <c:plotArea>
      <c:layout>
        <c:manualLayout>
          <c:layoutTarget val="inner"/>
          <c:xMode val="edge"/>
          <c:yMode val="edge"/>
          <c:x val="4.3714750181767216E-2"/>
          <c:y val="0.15959835840501088"/>
          <c:w val="0.40886967588107564"/>
          <c:h val="0.71648533919122515"/>
        </c:manualLayout>
      </c:layout>
      <c:pieChart>
        <c:varyColors val="1"/>
        <c:ser>
          <c:idx val="2"/>
          <c:order val="2"/>
          <c:tx>
            <c:strRef>
              <c:f>'[СН_свод_2012-2025.xlsx]структура НВВ'!$C$56:$C$57</c:f>
              <c:strCache>
                <c:ptCount val="1"/>
                <c:pt idx="0">
                  <c:v>2025 год %</c:v>
                </c:pt>
              </c:strCache>
            </c:strRef>
          </c:tx>
          <c:explosion val="23"/>
          <c:dLbls>
            <c:dLbl>
              <c:idx val="3"/>
              <c:layout>
                <c:manualLayout>
                  <c:x val="0.13555605309806562"/>
                  <c:y val="-2.0481664944491554E-3"/>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'[СН_свод_2012-2025.xlsx]структура НВВ'!$A$58:$A$61</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'[СН_свод_2012-2025.xlsx]структура НВВ'!$C$58:$C$61</c:f>
              <c:numCache>
                <c:formatCode>0.0%</c:formatCode>
                <c:ptCount val="4"/>
                <c:pt idx="0">
                  <c:v>0.5459550840647267</c:v>
                </c:pt>
                <c:pt idx="1">
                  <c:v>0.19002207753092576</c:v>
                </c:pt>
                <c:pt idx="2">
                  <c:v>0.17283499225549745</c:v>
                </c:pt>
                <c:pt idx="3">
                  <c:v>9.1187846148850088E-2</c:v>
                </c:pt>
              </c:numCache>
            </c:numRef>
          </c:val>
        </c:ser>
        <c:ser>
          <c:idx val="3"/>
          <c:order val="3"/>
          <c:tx>
            <c:strRef>
              <c:f>'[СН_свод_2012-2025.xlsx]структура НВВ'!$C$56:$C$57</c:f>
              <c:strCache>
                <c:ptCount val="1"/>
                <c:pt idx="0">
                  <c:v>2025 год %</c:v>
                </c:pt>
              </c:strCache>
            </c:strRef>
          </c:tx>
          <c:explosion val="25"/>
          <c:cat>
            <c:strRef>
              <c:f>'[СН_свод_2012-2025.xlsx]структура НВВ'!$A$58:$A$61</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'[СН_свод_2012-2025.xlsx]структура НВВ'!$C$58:$C$61</c:f>
              <c:numCache>
                <c:formatCode>0.0%</c:formatCode>
                <c:ptCount val="4"/>
                <c:pt idx="0">
                  <c:v>0.5459550840647267</c:v>
                </c:pt>
                <c:pt idx="1">
                  <c:v>0.19002207753092576</c:v>
                </c:pt>
                <c:pt idx="2">
                  <c:v>0.17283499225549745</c:v>
                </c:pt>
                <c:pt idx="3">
                  <c:v>9.1187846148850088E-2</c:v>
                </c:pt>
              </c:numCache>
            </c:numRef>
          </c:val>
        </c:ser>
        <c:ser>
          <c:idx val="1"/>
          <c:order val="1"/>
          <c:tx>
            <c:strRef>
              <c:f>'[СН_свод_2012-2025.xlsx]структура НВВ'!$S$29:$S$30</c:f>
              <c:strCache>
                <c:ptCount val="1"/>
                <c:pt idx="0">
                  <c:v>2024 год %</c:v>
                </c:pt>
              </c:strCache>
            </c:strRef>
          </c:tx>
          <c:explosion val="25"/>
          <c:dLbls>
            <c:showLegendKey val="0"/>
            <c:showVal val="1"/>
            <c:showCatName val="0"/>
            <c:showSerName val="0"/>
            <c:showPercent val="0"/>
            <c:showBubbleSize val="0"/>
            <c:showLeaderLines val="1"/>
          </c:dLbls>
          <c:cat>
            <c:strRef>
              <c:f>'[СН_свод_2012-2025.xlsx]структура НВВ'!$Q$31:$Q$34</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'[СН_свод_2012-2025.xlsx]структура НВВ'!$S$31:$S$34</c:f>
              <c:numCache>
                <c:formatCode>0.0%</c:formatCode>
                <c:ptCount val="4"/>
                <c:pt idx="0">
                  <c:v>0.58205428641760615</c:v>
                </c:pt>
                <c:pt idx="1">
                  <c:v>0.13262164885866978</c:v>
                </c:pt>
                <c:pt idx="2">
                  <c:v>0.18447078151638266</c:v>
                </c:pt>
                <c:pt idx="3">
                  <c:v>0.10085328320734151</c:v>
                </c:pt>
              </c:numCache>
            </c:numRef>
          </c:val>
        </c:ser>
        <c:ser>
          <c:idx val="0"/>
          <c:order val="0"/>
          <c:tx>
            <c:strRef>
              <c:f>'[СН_свод_2012-2025.xlsx]структура НВВ'!$R$29:$R$30</c:f>
              <c:strCache>
                <c:ptCount val="1"/>
                <c:pt idx="0">
                  <c:v>2024 год тыс. руб. </c:v>
                </c:pt>
              </c:strCache>
            </c:strRef>
          </c:tx>
          <c:explosion val="25"/>
          <c:cat>
            <c:strRef>
              <c:f>'[СН_свод_2012-2025.xlsx]структура НВВ'!$Q$31:$Q$34</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прибыль</c:v>
                </c:pt>
              </c:strCache>
            </c:strRef>
          </c:cat>
          <c:val>
            <c:numRef>
              <c:f>'[СН_свод_2012-2025.xlsx]структура НВВ'!$R$31:$R$34</c:f>
              <c:numCache>
                <c:formatCode>General</c:formatCode>
                <c:ptCount val="4"/>
                <c:pt idx="0">
                  <c:v>2933149.5561506702</c:v>
                </c:pt>
                <c:pt idx="1">
                  <c:v>668321.04764654604</c:v>
                </c:pt>
                <c:pt idx="2">
                  <c:v>929604.68388224603</c:v>
                </c:pt>
                <c:pt idx="3">
                  <c:v>508230.53756142495</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0107768796338992"/>
          <c:y val="0.13437323088782158"/>
          <c:w val="0.46227078277395678"/>
          <c:h val="0.79517704517704513"/>
        </c:manualLayout>
      </c:layout>
      <c:overlay val="0"/>
      <c:txPr>
        <a:bodyPr/>
        <a:lstStyle/>
        <a:p>
          <a:pPr rtl="0">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Средняя сбытовая</a:t>
            </a:r>
            <a:r>
              <a:rPr lang="ru-RU" sz="1200" baseline="0">
                <a:latin typeface="Times New Roman" panose="02020603050405020304" pitchFamily="18" charset="0"/>
                <a:cs typeface="Times New Roman" panose="02020603050405020304" pitchFamily="18" charset="0"/>
              </a:rPr>
              <a:t> надбавка </a:t>
            </a:r>
            <a:r>
              <a:rPr lang="ru-RU" sz="1200">
                <a:latin typeface="Times New Roman" panose="02020603050405020304" pitchFamily="18" charset="0"/>
                <a:cs typeface="Times New Roman" panose="02020603050405020304" pitchFamily="18" charset="0"/>
              </a:rPr>
              <a:t>по группе </a:t>
            </a:r>
          </a:p>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"население" по г. Новосибирск и Новосибирской области</a:t>
            </a:r>
          </a:p>
        </c:rich>
      </c:tx>
      <c:layout>
        <c:manualLayout>
          <c:xMode val="edge"/>
          <c:yMode val="edge"/>
          <c:x val="0.21552297865104597"/>
          <c:y val="4.2565993991786885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8746993835072939"/>
          <c:y val="0.24611919187335013"/>
          <c:w val="0.77118639239862463"/>
          <c:h val="0.56155937280174273"/>
        </c:manualLayout>
      </c:layout>
      <c:bar3DChart>
        <c:barDir val="col"/>
        <c:grouping val="clustered"/>
        <c:varyColors val="0"/>
        <c:ser>
          <c:idx val="0"/>
          <c:order val="0"/>
          <c:tx>
            <c:strRef>
              <c:f>'[СН_свод_2012-2025.xlsx]население сред СН'!$A$3</c:f>
              <c:strCache>
                <c:ptCount val="1"/>
                <c:pt idx="0">
                  <c:v>выручка</c:v>
                </c:pt>
              </c:strCache>
            </c:strRef>
          </c:tx>
          <c:invertIfNegative val="0"/>
          <c:cat>
            <c:numRef>
              <c:f>'[СН_свод_2012-2025.xlsx]население сред СН'!$B$2:$O$2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'[СН_свод_2012-2025.xlsx]население сред СН'!$B$3:$O$3</c:f>
            </c:numRef>
          </c:val>
        </c:ser>
        <c:ser>
          <c:idx val="1"/>
          <c:order val="1"/>
          <c:tx>
            <c:strRef>
              <c:f>'[СН_свод_2012-2025.xlsx]население сред СН'!$A$4</c:f>
              <c:strCache>
                <c:ptCount val="1"/>
                <c:pt idx="0">
                  <c:v>объем</c:v>
                </c:pt>
              </c:strCache>
            </c:strRef>
          </c:tx>
          <c:invertIfNegative val="0"/>
          <c:cat>
            <c:numRef>
              <c:f>'[СН_свод_2012-2025.xlsx]население сред СН'!$B$2:$O$2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'[СН_свод_2012-2025.xlsx]население сред СН'!$B$4:$O$4</c:f>
            </c:numRef>
          </c:val>
        </c:ser>
        <c:ser>
          <c:idx val="2"/>
          <c:order val="2"/>
          <c:tx>
            <c:strRef>
              <c:f>'[СН_свод_2012-2025.xlsx]население сред СН'!$A$5</c:f>
              <c:strCache>
                <c:ptCount val="1"/>
                <c:pt idx="0">
                  <c:v>Средняя СН по группе "население" по г. Новосибирск, руб. кВтч</c:v>
                </c:pt>
              </c:strCache>
            </c:strRef>
          </c:tx>
          <c:invertIfNegative val="0"/>
          <c:dLbls>
            <c:dLbl>
              <c:idx val="0"/>
              <c:layout>
                <c:manualLayout>
                  <c:x val="2.1231422505307855E-3"/>
                  <c:y val="-2.8298341490801906E-7"/>
                </c:manualLayout>
              </c:layout>
              <c:showLegendKey val="0"/>
              <c:showVal val="1"/>
              <c:showCatName val="0"/>
              <c:showSerName val="0"/>
              <c:showPercent val="0"/>
              <c:showBubbleSize val="0"/>
            </c:dLbl>
            <c:dLbl>
              <c:idx val="1"/>
              <c:layout>
                <c:manualLayout>
                  <c:x val="0"/>
                  <c:y val="-3.2345287307401556E-2"/>
                </c:manualLayout>
              </c:layout>
              <c:showLegendKey val="0"/>
              <c:showVal val="1"/>
              <c:showCatName val="0"/>
              <c:showSerName val="0"/>
              <c:showPercent val="0"/>
              <c:showBubbleSize val="0"/>
            </c:dLbl>
            <c:dLbl>
              <c:idx val="2"/>
              <c:layout>
                <c:manualLayout>
                  <c:x val="6.6492803049300756E-3"/>
                  <c:y val="9.2897795446004496E-3"/>
                </c:manualLayout>
              </c:layout>
              <c:showLegendKey val="0"/>
              <c:showVal val="1"/>
              <c:showCatName val="0"/>
              <c:showSerName val="0"/>
              <c:showPercent val="0"/>
              <c:showBubbleSize val="0"/>
            </c:dLbl>
            <c:dLbl>
              <c:idx val="3"/>
              <c:layout>
                <c:manualLayout>
                  <c:x val="1.5042933416809394E-2"/>
                  <c:y val="-4.0381192048152964E-2"/>
                </c:manualLayout>
              </c:layout>
              <c:showLegendKey val="0"/>
              <c:showVal val="1"/>
              <c:showCatName val="0"/>
              <c:showSerName val="0"/>
              <c:showPercent val="0"/>
              <c:showBubbleSize val="0"/>
            </c:dLbl>
            <c:dLbl>
              <c:idx val="4"/>
              <c:layout>
                <c:manualLayout>
                  <c:x val="7.2910711001889098E-3"/>
                  <c:y val="8.5444012297327936E-3"/>
                </c:manualLayout>
              </c:layout>
              <c:showLegendKey val="0"/>
              <c:showVal val="1"/>
              <c:showCatName val="0"/>
              <c:showSerName val="0"/>
              <c:showPercent val="0"/>
              <c:showBubbleSize val="0"/>
            </c:dLbl>
            <c:dLbl>
              <c:idx val="5"/>
              <c:layout>
                <c:manualLayout>
                  <c:x val="-1.0875098824988333E-2"/>
                  <c:y val="1.9985069450356819E-4"/>
                </c:manualLayout>
              </c:layout>
              <c:showLegendKey val="0"/>
              <c:showVal val="1"/>
              <c:showCatName val="0"/>
              <c:showSerName val="0"/>
              <c:showPercent val="0"/>
              <c:showBubbleSize val="0"/>
            </c:dLbl>
            <c:dLbl>
              <c:idx val="6"/>
              <c:layout>
                <c:manualLayout>
                  <c:x val="2.3042653631616164E-3"/>
                  <c:y val="6.3934298412038357E-3"/>
                </c:manualLayout>
              </c:layout>
              <c:showLegendKey val="0"/>
              <c:showVal val="1"/>
              <c:showCatName val="0"/>
              <c:showSerName val="0"/>
              <c:showPercent val="0"/>
              <c:showBubbleSize val="0"/>
            </c:dLbl>
            <c:dLbl>
              <c:idx val="7"/>
              <c:layout>
                <c:manualLayout>
                  <c:x val="8.4924018255679821E-3"/>
                  <c:y val="-1.2521733126264936E-2"/>
                </c:manualLayout>
              </c:layout>
              <c:showLegendKey val="0"/>
              <c:showVal val="1"/>
              <c:showCatName val="0"/>
              <c:showSerName val="0"/>
              <c:showPercent val="0"/>
              <c:showBubbleSize val="0"/>
            </c:dLbl>
            <c:dLbl>
              <c:idx val="8"/>
              <c:layout>
                <c:manualLayout>
                  <c:x val="1.5636023204105855E-3"/>
                  <c:y val="-7.1877787386636846E-3"/>
                </c:manualLayout>
              </c:layout>
              <c:showLegendKey val="0"/>
              <c:showVal val="1"/>
              <c:showCatName val="0"/>
              <c:showSerName val="0"/>
              <c:showPercent val="0"/>
              <c:showBubbleSize val="0"/>
            </c:dLbl>
            <c:dLbl>
              <c:idx val="9"/>
              <c:layout>
                <c:manualLayout>
                  <c:x val="2.4133440326328637E-2"/>
                  <c:y val="1.0781385124580586E-2"/>
                </c:manualLayout>
              </c:layout>
              <c:showLegendKey val="0"/>
              <c:showVal val="1"/>
              <c:showCatName val="0"/>
              <c:showSerName val="0"/>
              <c:showPercent val="0"/>
              <c:showBubbleSize val="0"/>
            </c:dLbl>
            <c:dLbl>
              <c:idx val="10"/>
              <c:layout>
                <c:manualLayout>
                  <c:x val="4.6709129511677279E-2"/>
                  <c:y val="3.5936063859169673E-3"/>
                </c:manualLayout>
              </c:layout>
              <c:showLegendKey val="0"/>
              <c:showVal val="1"/>
              <c:showCatName val="0"/>
              <c:showSerName val="0"/>
              <c:showPercent val="0"/>
              <c:showBubbleSize val="0"/>
            </c:dLbl>
            <c:txPr>
              <a:bodyPr/>
              <a:lstStyle/>
              <a:p>
                <a:pPr>
                  <a:defRPr sz="1050" b="1" i="0" baseline="0"/>
                </a:pPr>
                <a:endParaRPr lang="ru-RU"/>
              </a:p>
            </c:txPr>
            <c:showLegendKey val="0"/>
            <c:showVal val="1"/>
            <c:showCatName val="0"/>
            <c:showSerName val="0"/>
            <c:showPercent val="0"/>
            <c:showBubbleSize val="0"/>
            <c:showLeaderLines val="0"/>
          </c:dLbls>
          <c:cat>
            <c:numRef>
              <c:f>'[СН_свод_2012-2025.xlsx]население сред СН'!$B$2:$O$2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'[СН_свод_2012-2025.xlsx]население сред СН'!$B$5:$O$5</c:f>
              <c:numCache>
                <c:formatCode>#,##0.00000</c:formatCode>
                <c:ptCount val="11"/>
                <c:pt idx="0">
                  <c:v>0.29560671200473093</c:v>
                </c:pt>
                <c:pt idx="1">
                  <c:v>0.29646902604756514</c:v>
                </c:pt>
                <c:pt idx="2">
                  <c:v>0.30657591666666667</c:v>
                </c:pt>
                <c:pt idx="3">
                  <c:v>0.29194500695410297</c:v>
                </c:pt>
                <c:pt idx="4">
                  <c:v>0.30944091049136785</c:v>
                </c:pt>
                <c:pt idx="5">
                  <c:v>0.37565462788844628</c:v>
                </c:pt>
                <c:pt idx="6">
                  <c:v>0.41410929614873837</c:v>
                </c:pt>
                <c:pt idx="7">
                  <c:v>0.42379159761516777</c:v>
                </c:pt>
                <c:pt idx="8">
                  <c:v>0.4895869830097952</c:v>
                </c:pt>
                <c:pt idx="9">
                  <c:v>0.52445208154859968</c:v>
                </c:pt>
                <c:pt idx="10">
                  <c:v>0.53058301653754225</c:v>
                </c:pt>
              </c:numCache>
            </c:numRef>
          </c:val>
        </c:ser>
        <c:dLbls>
          <c:showLegendKey val="0"/>
          <c:showVal val="0"/>
          <c:showCatName val="0"/>
          <c:showSerName val="0"/>
          <c:showPercent val="0"/>
          <c:showBubbleSize val="0"/>
        </c:dLbls>
        <c:gapWidth val="150"/>
        <c:shape val="box"/>
        <c:axId val="221873664"/>
        <c:axId val="223356032"/>
        <c:axId val="0"/>
      </c:bar3DChart>
      <c:catAx>
        <c:axId val="221873664"/>
        <c:scaling>
          <c:orientation val="minMax"/>
        </c:scaling>
        <c:delete val="0"/>
        <c:axPos val="b"/>
        <c:numFmt formatCode="General" sourceLinked="1"/>
        <c:majorTickMark val="out"/>
        <c:minorTickMark val="none"/>
        <c:tickLblPos val="nextTo"/>
        <c:crossAx val="223356032"/>
        <c:crosses val="autoZero"/>
        <c:auto val="1"/>
        <c:lblAlgn val="ctr"/>
        <c:lblOffset val="100"/>
        <c:noMultiLvlLbl val="0"/>
      </c:catAx>
      <c:valAx>
        <c:axId val="223356032"/>
        <c:scaling>
          <c:orientation val="minMax"/>
        </c:scaling>
        <c:delete val="0"/>
        <c:axPos val="l"/>
        <c:majorGridlines/>
        <c:numFmt formatCode="#,##0.000" sourceLinked="0"/>
        <c:majorTickMark val="out"/>
        <c:minorTickMark val="none"/>
        <c:tickLblPos val="nextTo"/>
        <c:crossAx val="221873664"/>
        <c:crosses val="autoZero"/>
        <c:crossBetween val="between"/>
      </c:valAx>
    </c:plotArea>
    <c:plotVisOnly val="1"/>
    <c:dispBlanksAs val="gap"/>
    <c:showDLblsOverMax val="0"/>
  </c:chart>
  <c:spPr>
    <a:ln>
      <a:noFill/>
    </a:ln>
  </c:spPr>
  <c:externalData r:id="rId2">
    <c:autoUpdate val="0"/>
  </c:externalData>
  <c:userShapes r:id="rId3"/>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933083767440287"/>
          <c:y val="0.14605046228517921"/>
          <c:w val="0.59173787777952669"/>
          <c:h val="0.69188409237790005"/>
        </c:manualLayout>
      </c:layout>
      <c:lineChart>
        <c:grouping val="standard"/>
        <c:varyColors val="0"/>
        <c:ser>
          <c:idx val="0"/>
          <c:order val="0"/>
          <c:tx>
            <c:strRef>
              <c:f>'[СН_свод_2012-2025.xlsx]графики население'!$A$3</c:f>
              <c:strCache>
                <c:ptCount val="1"/>
                <c:pt idx="0">
                  <c:v>максимальная СН</c:v>
                </c:pt>
              </c:strCache>
            </c:strRef>
          </c:tx>
          <c:marker>
            <c:symbol val="diamond"/>
            <c:size val="6"/>
          </c:marker>
          <c:dLbls>
            <c:dLbl>
              <c:idx val="0"/>
              <c:layout>
                <c:manualLayout>
                  <c:x val="-4.7281309795034407E-2"/>
                  <c:y val="-3.015075376884422E-2"/>
                </c:manualLayout>
              </c:layout>
              <c:showLegendKey val="0"/>
              <c:showVal val="1"/>
              <c:showCatName val="0"/>
              <c:showSerName val="0"/>
              <c:showPercent val="0"/>
              <c:showBubbleSize val="0"/>
            </c:dLbl>
            <c:dLbl>
              <c:idx val="1"/>
              <c:layout>
                <c:manualLayout>
                  <c:x val="-3.9716300227828898E-2"/>
                  <c:y val="-4.3551088777219492E-2"/>
                </c:manualLayout>
              </c:layout>
              <c:showLegendKey val="0"/>
              <c:showVal val="1"/>
              <c:showCatName val="0"/>
              <c:showSerName val="0"/>
              <c:showPercent val="0"/>
              <c:showBubbleSize val="0"/>
            </c:dLbl>
            <c:dLbl>
              <c:idx val="2"/>
              <c:layout>
                <c:manualLayout>
                  <c:x val="-4.9172562186835779E-2"/>
                  <c:y val="-3.6850921273031828E-2"/>
                </c:manualLayout>
              </c:layout>
              <c:showLegendKey val="0"/>
              <c:showVal val="1"/>
              <c:showCatName val="0"/>
              <c:showSerName val="0"/>
              <c:showPercent val="0"/>
              <c:showBubbleSize val="0"/>
            </c:dLbl>
            <c:dLbl>
              <c:idx val="3"/>
              <c:layout>
                <c:manualLayout>
                  <c:x val="-4.3498805011431725E-2"/>
                  <c:y val="-3.015075376884422E-2"/>
                </c:manualLayout>
              </c:layout>
              <c:showLegendKey val="0"/>
              <c:showVal val="1"/>
              <c:showCatName val="0"/>
              <c:showSerName val="0"/>
              <c:showPercent val="0"/>
              <c:showBubbleSize val="0"/>
            </c:dLbl>
            <c:dLbl>
              <c:idx val="4"/>
              <c:layout>
                <c:manualLayout>
                  <c:x val="-3.7825047836027526E-2"/>
                  <c:y val="-3.015075376884422E-2"/>
                </c:manualLayout>
              </c:layout>
              <c:showLegendKey val="0"/>
              <c:showVal val="1"/>
              <c:showCatName val="0"/>
              <c:showSerName val="0"/>
              <c:showPercent val="0"/>
              <c:showBubbleSize val="0"/>
            </c:dLbl>
            <c:dLbl>
              <c:idx val="5"/>
              <c:layout>
                <c:manualLayout>
                  <c:x val="-7.9432600455657795E-2"/>
                  <c:y val="3.0150489982722069E-2"/>
                </c:manualLayout>
              </c:layout>
              <c:showLegendKey val="0"/>
              <c:showVal val="1"/>
              <c:showCatName val="0"/>
              <c:showSerName val="0"/>
              <c:showPercent val="0"/>
              <c:showBubbleSize val="0"/>
            </c:dLbl>
            <c:dLbl>
              <c:idx val="6"/>
              <c:layout>
                <c:manualLayout>
                  <c:x val="-2.8368785877020644E-2"/>
                  <c:y val="3.015075376884422E-2"/>
                </c:manualLayout>
              </c:layout>
              <c:showLegendKey val="0"/>
              <c:showVal val="1"/>
              <c:showCatName val="0"/>
              <c:showSerName val="0"/>
              <c:showPercent val="0"/>
              <c:showBubbleSize val="0"/>
            </c:dLbl>
            <c:dLbl>
              <c:idx val="8"/>
              <c:layout>
                <c:manualLayout>
                  <c:x val="-9.2671367198267435E-2"/>
                  <c:y val="-1.675041876046901E-2"/>
                </c:manualLayout>
              </c:layout>
              <c:showLegendKey val="0"/>
              <c:showVal val="1"/>
              <c:showCatName val="0"/>
              <c:showSerName val="0"/>
              <c:showPercent val="0"/>
              <c:showBubbleSize val="0"/>
            </c:dLbl>
            <c:dLbl>
              <c:idx val="9"/>
              <c:layout>
                <c:manualLayout>
                  <c:x val="-3.0260038268822089E-2"/>
                  <c:y val="3.6850921273031828E-2"/>
                </c:manualLayout>
              </c:layout>
              <c:showLegendKey val="0"/>
              <c:showVal val="1"/>
              <c:showCatName val="0"/>
              <c:showSerName val="0"/>
              <c:showPercent val="0"/>
              <c:showBubbleSize val="0"/>
            </c:dLbl>
            <c:dLbl>
              <c:idx val="10"/>
              <c:layout>
                <c:manualLayout>
                  <c:x val="-3.5933795444226146E-2"/>
                  <c:y val="-5.0251256281407065E-2"/>
                </c:manualLayout>
              </c:layout>
              <c:showLegendKey val="0"/>
              <c:showVal val="1"/>
              <c:showCatName val="0"/>
              <c:showSerName val="0"/>
              <c:showPercent val="0"/>
              <c:showBubbleSize val="0"/>
            </c:dLbl>
            <c:dLbl>
              <c:idx val="11"/>
              <c:layout>
                <c:manualLayout>
                  <c:x val="-1.7021271526212387E-2"/>
                  <c:y val="3.6850921273031793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'[СН_свод_2012-2025.xlsx]графики население'!$D$2:$N$2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'[СН_свод_2012-2025.xlsx]графики население'!$D$3:$N$3</c:f>
              <c:numCache>
                <c:formatCode>0.00000</c:formatCode>
                <c:ptCount val="11"/>
                <c:pt idx="0">
                  <c:v>0.78210000000000002</c:v>
                </c:pt>
                <c:pt idx="1">
                  <c:v>0.39523000000000003</c:v>
                </c:pt>
                <c:pt idx="2">
                  <c:v>0.81010000000000004</c:v>
                </c:pt>
                <c:pt idx="3">
                  <c:v>0.89529999999999998</c:v>
                </c:pt>
                <c:pt idx="4">
                  <c:v>1.0753600000000001</c:v>
                </c:pt>
                <c:pt idx="5">
                  <c:v>0.89131000000000005</c:v>
                </c:pt>
                <c:pt idx="6" formatCode="General">
                  <c:v>0.94301000000000001</c:v>
                </c:pt>
                <c:pt idx="7" formatCode="General">
                  <c:v>1.10558</c:v>
                </c:pt>
                <c:pt idx="8" formatCode="General">
                  <c:v>1.28823</c:v>
                </c:pt>
                <c:pt idx="9" formatCode="General">
                  <c:v>1.31071</c:v>
                </c:pt>
                <c:pt idx="10" formatCode="General">
                  <c:v>1.3614299999999999</c:v>
                </c:pt>
              </c:numCache>
            </c:numRef>
          </c:val>
          <c:smooth val="0"/>
        </c:ser>
        <c:ser>
          <c:idx val="1"/>
          <c:order val="1"/>
          <c:tx>
            <c:strRef>
              <c:f>'[СН_свод_2012-2025.xlsx]графики население'!$A$4</c:f>
              <c:strCache>
                <c:ptCount val="1"/>
                <c:pt idx="0">
                  <c:v>минимальная СН</c:v>
                </c:pt>
              </c:strCache>
            </c:strRef>
          </c:tx>
          <c:marker>
            <c:symbol val="diamond"/>
            <c:size val="6"/>
          </c:marker>
          <c:dLbls>
            <c:dLbl>
              <c:idx val="0"/>
              <c:layout>
                <c:manualLayout>
                  <c:x val="-5.2043840719617047E-2"/>
                  <c:y val="-3.3808412139437347E-2"/>
                </c:manualLayout>
              </c:layout>
              <c:showLegendKey val="0"/>
              <c:showVal val="1"/>
              <c:showCatName val="0"/>
              <c:showSerName val="0"/>
              <c:showPercent val="0"/>
              <c:showBubbleSize val="0"/>
            </c:dLbl>
            <c:dLbl>
              <c:idx val="1"/>
              <c:delete val="1"/>
            </c:dLbl>
            <c:dLbl>
              <c:idx val="2"/>
              <c:layout>
                <c:manualLayout>
                  <c:x val="-5.2826184217466182E-2"/>
                  <c:y val="-3.0612244897959308E-2"/>
                </c:manualLayout>
              </c:layout>
              <c:showLegendKey val="0"/>
              <c:showVal val="1"/>
              <c:showCatName val="0"/>
              <c:showSerName val="0"/>
              <c:showPercent val="0"/>
              <c:showBubbleSize val="0"/>
            </c:dLbl>
            <c:dLbl>
              <c:idx val="3"/>
              <c:delete val="1"/>
            </c:dLbl>
            <c:dLbl>
              <c:idx val="4"/>
              <c:layout>
                <c:manualLayout>
                  <c:x val="-8.1417075209448755E-2"/>
                  <c:y val="4.6388372307732892E-2"/>
                </c:manualLayout>
              </c:layout>
              <c:showLegendKey val="0"/>
              <c:showVal val="1"/>
              <c:showCatName val="0"/>
              <c:showSerName val="0"/>
              <c:showPercent val="0"/>
              <c:showBubbleSize val="0"/>
            </c:dLbl>
            <c:dLbl>
              <c:idx val="5"/>
              <c:layout>
                <c:manualLayout>
                  <c:x val="-4.6277456852268091E-2"/>
                  <c:y val="4.355082499109722E-2"/>
                </c:manualLayout>
              </c:layout>
              <c:showLegendKey val="0"/>
              <c:showVal val="1"/>
              <c:showCatName val="0"/>
              <c:showSerName val="0"/>
              <c:showPercent val="0"/>
              <c:showBubbleSize val="0"/>
            </c:dLbl>
            <c:dLbl>
              <c:idx val="6"/>
              <c:layout>
                <c:manualLayout>
                  <c:x val="-1.1895977544430657E-2"/>
                  <c:y val="-9.5888893285324267E-3"/>
                </c:manualLayout>
              </c:layout>
              <c:showLegendKey val="0"/>
              <c:showVal val="1"/>
              <c:showCatName val="0"/>
              <c:showSerName val="0"/>
              <c:showPercent val="0"/>
              <c:showBubbleSize val="0"/>
            </c:dLbl>
            <c:dLbl>
              <c:idx val="7"/>
              <c:delete val="1"/>
            </c:dLbl>
            <c:dLbl>
              <c:idx val="8"/>
              <c:layout>
                <c:manualLayout>
                  <c:x val="-3.1030537471592193E-2"/>
                  <c:y val="3.0766166791965074E-2"/>
                </c:manualLayout>
              </c:layout>
              <c:showLegendKey val="0"/>
              <c:showVal val="1"/>
              <c:showCatName val="0"/>
              <c:showSerName val="0"/>
              <c:showPercent val="0"/>
              <c:showBubbleSize val="0"/>
            </c:dLbl>
            <c:dLbl>
              <c:idx val="9"/>
              <c:delete val="1"/>
            </c:dLbl>
            <c:dLbl>
              <c:idx val="10"/>
              <c:layout>
                <c:manualLayout>
                  <c:x val="-9.4562619590068814E-3"/>
                  <c:y val="1.0050251256281407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'[СН_свод_2012-2025.xlsx]графики население'!$D$2:$N$2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'[СН_свод_2012-2025.xlsx]графики население'!$D$4:$N$4</c:f>
              <c:numCache>
                <c:formatCode>0.00000</c:formatCode>
                <c:ptCount val="11"/>
                <c:pt idx="0">
                  <c:v>0.05</c:v>
                </c:pt>
                <c:pt idx="1">
                  <c:v>1E-4</c:v>
                </c:pt>
                <c:pt idx="2">
                  <c:v>6.1710000000000001E-2</c:v>
                </c:pt>
                <c:pt idx="3">
                  <c:v>4.7800000000000002E-2</c:v>
                </c:pt>
                <c:pt idx="4">
                  <c:v>0.21798000000000001</c:v>
                </c:pt>
                <c:pt idx="5">
                  <c:v>0.26300000000000001</c:v>
                </c:pt>
                <c:pt idx="6" formatCode="General">
                  <c:v>0.18990000000000001</c:v>
                </c:pt>
                <c:pt idx="7" formatCode="General">
                  <c:v>0.33310000000000001</c:v>
                </c:pt>
                <c:pt idx="8" formatCode="General">
                  <c:v>0.38178000000000001</c:v>
                </c:pt>
                <c:pt idx="9" formatCode="General">
                  <c:v>0.45827000000000001</c:v>
                </c:pt>
                <c:pt idx="10" formatCode="General">
                  <c:v>0.40972999999999998</c:v>
                </c:pt>
              </c:numCache>
            </c:numRef>
          </c:val>
          <c:smooth val="0"/>
        </c:ser>
        <c:ser>
          <c:idx val="2"/>
          <c:order val="2"/>
          <c:tx>
            <c:strRef>
              <c:f>'[СН_свод_2012-2025.xlsx]графики население'!$A$5</c:f>
              <c:strCache>
                <c:ptCount val="1"/>
                <c:pt idx="0">
                  <c:v>СН г. Новосибирск</c:v>
                </c:pt>
              </c:strCache>
            </c:strRef>
          </c:tx>
          <c:marker>
            <c:symbol val="diamond"/>
            <c:size val="7"/>
          </c:marker>
          <c:dLbls>
            <c:dLbl>
              <c:idx val="0"/>
              <c:layout>
                <c:manualLayout>
                  <c:x val="-6.3391421060959421E-2"/>
                  <c:y val="-2.0408163265306121E-2"/>
                </c:manualLayout>
              </c:layout>
              <c:showLegendKey val="0"/>
              <c:showVal val="1"/>
              <c:showCatName val="0"/>
              <c:showSerName val="0"/>
              <c:showPercent val="0"/>
              <c:showBubbleSize val="0"/>
            </c:dLbl>
            <c:dLbl>
              <c:idx val="1"/>
              <c:delete val="1"/>
            </c:dLbl>
            <c:dLbl>
              <c:idx val="2"/>
              <c:layout>
                <c:manualLayout>
                  <c:x val="-5.282640224079161E-2"/>
                  <c:y val="-2.2732824226117464E-2"/>
                </c:manualLayout>
              </c:layout>
              <c:showLegendKey val="0"/>
              <c:showVal val="1"/>
              <c:showCatName val="0"/>
              <c:showSerName val="0"/>
              <c:showPercent val="0"/>
              <c:showBubbleSize val="0"/>
            </c:dLbl>
            <c:dLbl>
              <c:idx val="3"/>
              <c:delete val="1"/>
            </c:dLbl>
            <c:dLbl>
              <c:idx val="4"/>
              <c:layout>
                <c:manualLayout>
                  <c:x val="-3.5921805267877083E-2"/>
                  <c:y val="-2.7210884353741496E-2"/>
                </c:manualLayout>
              </c:layout>
              <c:showLegendKey val="0"/>
              <c:showVal val="1"/>
              <c:showCatName val="0"/>
              <c:showSerName val="0"/>
              <c:showPercent val="0"/>
              <c:showBubbleSize val="0"/>
            </c:dLbl>
            <c:dLbl>
              <c:idx val="5"/>
              <c:delete val="1"/>
            </c:dLbl>
            <c:dLbl>
              <c:idx val="6"/>
              <c:layout>
                <c:manualLayout>
                  <c:x val="-4.8156498008153831E-2"/>
                  <c:y val="-2.751843205528957E-2"/>
                </c:manualLayout>
              </c:layout>
              <c:showLegendKey val="0"/>
              <c:showVal val="1"/>
              <c:showCatName val="0"/>
              <c:showSerName val="0"/>
              <c:showPercent val="0"/>
              <c:showBubbleSize val="0"/>
            </c:dLbl>
            <c:dLbl>
              <c:idx val="7"/>
              <c:delete val="1"/>
            </c:dLbl>
            <c:dLbl>
              <c:idx val="8"/>
              <c:layout>
                <c:manualLayout>
                  <c:x val="-5.6947396527273424E-2"/>
                  <c:y val="-4.0816418048246483E-2"/>
                </c:manualLayout>
              </c:layout>
              <c:showLegendKey val="0"/>
              <c:showVal val="1"/>
              <c:showCatName val="0"/>
              <c:showSerName val="0"/>
              <c:showPercent val="0"/>
              <c:showBubbleSize val="0"/>
            </c:dLbl>
            <c:dLbl>
              <c:idx val="9"/>
              <c:delete val="1"/>
            </c:dLbl>
            <c:dLbl>
              <c:idx val="10"/>
              <c:layout>
                <c:manualLayout>
                  <c:x val="-4.7281309795034476E-2"/>
                  <c:y val="-4.0201005025125566E-2"/>
                </c:manualLayout>
              </c:layout>
              <c:showLegendKey val="0"/>
              <c:showVal val="1"/>
              <c:showCatName val="0"/>
              <c:showSerName val="0"/>
              <c:showPercent val="0"/>
              <c:showBubbleSize val="0"/>
            </c:dLbl>
            <c:dLbl>
              <c:idx val="11"/>
              <c:layout>
                <c:manualLayout>
                  <c:x val="-1.1347514350808257E-2"/>
                  <c:y val="-3.6850921273031828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'[СН_свод_2012-2025.xlsx]графики население'!$D$2:$N$2</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'[СН_свод_2012-2025.xlsx]графики население'!$D$5:$N$5</c:f>
              <c:numCache>
                <c:formatCode>0.00000</c:formatCode>
                <c:ptCount val="11"/>
                <c:pt idx="0">
                  <c:v>0.31913000000000002</c:v>
                </c:pt>
                <c:pt idx="1">
                  <c:v>0.27381</c:v>
                </c:pt>
                <c:pt idx="2">
                  <c:v>0.33934999999999998</c:v>
                </c:pt>
                <c:pt idx="3">
                  <c:v>0.24454000000000001</c:v>
                </c:pt>
                <c:pt idx="4">
                  <c:v>0.37434000000000001</c:v>
                </c:pt>
                <c:pt idx="5">
                  <c:v>0.37703999999999999</c:v>
                </c:pt>
                <c:pt idx="6" formatCode="General">
                  <c:v>0.45388000000000001</c:v>
                </c:pt>
                <c:pt idx="7" formatCode="General">
                  <c:v>0.42379</c:v>
                </c:pt>
                <c:pt idx="8" formatCode="General">
                  <c:v>0.48959000000000003</c:v>
                </c:pt>
                <c:pt idx="9" formatCode="General">
                  <c:v>0.56162000000000001</c:v>
                </c:pt>
                <c:pt idx="10" formatCode="General">
                  <c:v>0.53058000000000005</c:v>
                </c:pt>
              </c:numCache>
            </c:numRef>
          </c:val>
          <c:smooth val="0"/>
        </c:ser>
        <c:dLbls>
          <c:showLegendKey val="0"/>
          <c:showVal val="0"/>
          <c:showCatName val="0"/>
          <c:showSerName val="0"/>
          <c:showPercent val="0"/>
          <c:showBubbleSize val="0"/>
        </c:dLbls>
        <c:marker val="1"/>
        <c:smooth val="0"/>
        <c:axId val="223253504"/>
        <c:axId val="223354880"/>
      </c:lineChart>
      <c:catAx>
        <c:axId val="223253504"/>
        <c:scaling>
          <c:orientation val="minMax"/>
        </c:scaling>
        <c:delete val="0"/>
        <c:axPos val="b"/>
        <c:numFmt formatCode="General" sourceLinked="1"/>
        <c:majorTickMark val="out"/>
        <c:minorTickMark val="none"/>
        <c:tickLblPos val="nextTo"/>
        <c:crossAx val="223354880"/>
        <c:crosses val="autoZero"/>
        <c:auto val="1"/>
        <c:lblAlgn val="ctr"/>
        <c:lblOffset val="100"/>
        <c:noMultiLvlLbl val="0"/>
      </c:catAx>
      <c:valAx>
        <c:axId val="223354880"/>
        <c:scaling>
          <c:orientation val="minMax"/>
        </c:scaling>
        <c:delete val="0"/>
        <c:axPos val="l"/>
        <c:majorGridlines/>
        <c:numFmt formatCode="0.000" sourceLinked="0"/>
        <c:majorTickMark val="out"/>
        <c:minorTickMark val="none"/>
        <c:tickLblPos val="nextTo"/>
        <c:crossAx val="223253504"/>
        <c:crosses val="autoZero"/>
        <c:crossBetween val="between"/>
      </c:valAx>
    </c:plotArea>
    <c:legend>
      <c:legendPos val="r"/>
      <c:layout>
        <c:manualLayout>
          <c:xMode val="edge"/>
          <c:yMode val="edge"/>
          <c:x val="0.77084856325129814"/>
          <c:y val="0.18173740862548921"/>
          <c:w val="0.21324674872120811"/>
          <c:h val="0.4173468759653756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199646091615772"/>
          <c:y val="0.15139669294262001"/>
          <c:w val="0.56652301739288446"/>
          <c:h val="0.65494222185502182"/>
        </c:manualLayout>
      </c:layout>
      <c:lineChart>
        <c:grouping val="standard"/>
        <c:varyColors val="0"/>
        <c:ser>
          <c:idx val="0"/>
          <c:order val="0"/>
          <c:tx>
            <c:strRef>
              <c:f>'[СН_свод_2012-2025.xlsx]графики сети'!$L$3</c:f>
              <c:strCache>
                <c:ptCount val="1"/>
                <c:pt idx="0">
                  <c:v>максимальная СН </c:v>
                </c:pt>
              </c:strCache>
            </c:strRef>
          </c:tx>
          <c:dLbls>
            <c:dLbl>
              <c:idx val="1"/>
              <c:delete val="1"/>
            </c:dLbl>
            <c:dLbl>
              <c:idx val="2"/>
              <c:delete val="1"/>
            </c:dLbl>
            <c:dLbl>
              <c:idx val="4"/>
              <c:delete val="1"/>
            </c:dLbl>
            <c:dLbl>
              <c:idx val="6"/>
              <c:layout>
                <c:manualLayout>
                  <c:x val="-1.1799407836962286E-2"/>
                  <c:y val="-4.8109939600108516E-2"/>
                </c:manualLayout>
              </c:layout>
              <c:showLegendKey val="0"/>
              <c:showVal val="1"/>
              <c:showCatName val="0"/>
              <c:showSerName val="0"/>
              <c:showPercent val="0"/>
              <c:showBubbleSize val="0"/>
            </c:dLbl>
            <c:dLbl>
              <c:idx val="7"/>
              <c:layout>
                <c:manualLayout>
                  <c:x val="-3.30383419434944E-2"/>
                  <c:y val="-3.4364242571506068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'[СН_свод_2012-2025.xlsx]графики сети'!$M$2:$U$2</c:f>
              <c:numCache>
                <c:formatCode>General</c:formatCode>
                <c:ptCount val="9"/>
                <c:pt idx="0">
                  <c:v>2017</c:v>
                </c:pt>
                <c:pt idx="1">
                  <c:v>2018</c:v>
                </c:pt>
                <c:pt idx="2">
                  <c:v>2019</c:v>
                </c:pt>
                <c:pt idx="3">
                  <c:v>2020</c:v>
                </c:pt>
                <c:pt idx="4">
                  <c:v>2021</c:v>
                </c:pt>
                <c:pt idx="5">
                  <c:v>2022</c:v>
                </c:pt>
                <c:pt idx="6">
                  <c:v>2023</c:v>
                </c:pt>
                <c:pt idx="7">
                  <c:v>2024</c:v>
                </c:pt>
                <c:pt idx="8">
                  <c:v>2025</c:v>
                </c:pt>
              </c:numCache>
            </c:numRef>
          </c:cat>
          <c:val>
            <c:numRef>
              <c:f>'[СН_свод_2012-2025.xlsx]графики сети'!$M$3:$U$3</c:f>
              <c:numCache>
                <c:formatCode>0.0000</c:formatCode>
                <c:ptCount val="9"/>
                <c:pt idx="0">
                  <c:v>4.0787100000000001</c:v>
                </c:pt>
                <c:pt idx="1">
                  <c:v>1.4349000000000001</c:v>
                </c:pt>
                <c:pt idx="2">
                  <c:v>1.3391</c:v>
                </c:pt>
                <c:pt idx="3">
                  <c:v>3.5118</c:v>
                </c:pt>
                <c:pt idx="4" formatCode="General">
                  <c:v>2.1409500000000001</c:v>
                </c:pt>
                <c:pt idx="5" formatCode="General">
                  <c:v>5.8225899999999999</c:v>
                </c:pt>
                <c:pt idx="6" formatCode="General">
                  <c:v>1.9659899999999999</c:v>
                </c:pt>
                <c:pt idx="7" formatCode="General">
                  <c:v>4.6919700000000004</c:v>
                </c:pt>
                <c:pt idx="8" formatCode="General">
                  <c:v>4.2111200000000002</c:v>
                </c:pt>
              </c:numCache>
            </c:numRef>
          </c:val>
          <c:smooth val="0"/>
        </c:ser>
        <c:ser>
          <c:idx val="1"/>
          <c:order val="1"/>
          <c:tx>
            <c:strRef>
              <c:f>'[СН_свод_2012-2025.xlsx]графики сети'!$L$4</c:f>
              <c:strCache>
                <c:ptCount val="1"/>
                <c:pt idx="0">
                  <c:v>минимальная СН</c:v>
                </c:pt>
              </c:strCache>
            </c:strRef>
          </c:tx>
          <c:cat>
            <c:numRef>
              <c:f>'[СН_свод_2012-2025.xlsx]графики сети'!$M$2:$U$2</c:f>
              <c:numCache>
                <c:formatCode>General</c:formatCode>
                <c:ptCount val="9"/>
                <c:pt idx="0">
                  <c:v>2017</c:v>
                </c:pt>
                <c:pt idx="1">
                  <c:v>2018</c:v>
                </c:pt>
                <c:pt idx="2">
                  <c:v>2019</c:v>
                </c:pt>
                <c:pt idx="3">
                  <c:v>2020</c:v>
                </c:pt>
                <c:pt idx="4">
                  <c:v>2021</c:v>
                </c:pt>
                <c:pt idx="5">
                  <c:v>2022</c:v>
                </c:pt>
                <c:pt idx="6">
                  <c:v>2023</c:v>
                </c:pt>
                <c:pt idx="7">
                  <c:v>2024</c:v>
                </c:pt>
                <c:pt idx="8">
                  <c:v>2025</c:v>
                </c:pt>
              </c:numCache>
            </c:numRef>
          </c:cat>
          <c:val>
            <c:numRef>
              <c:f>'[СН_свод_2012-2025.xlsx]графики сети'!$M$4:$U$4</c:f>
              <c:numCache>
                <c:formatCode>0.0000</c:formatCode>
                <c:ptCount val="9"/>
                <c:pt idx="0">
                  <c:v>2.9530000000000001E-2</c:v>
                </c:pt>
                <c:pt idx="1">
                  <c:v>1.264E-2</c:v>
                </c:pt>
                <c:pt idx="2">
                  <c:v>9.6699999999999998E-3</c:v>
                </c:pt>
                <c:pt idx="3">
                  <c:v>9.4199999999999996E-3</c:v>
                </c:pt>
                <c:pt idx="4" formatCode="General">
                  <c:v>9.3799999999999994E-3</c:v>
                </c:pt>
                <c:pt idx="5" formatCode="General">
                  <c:v>9.5499999999999995E-3</c:v>
                </c:pt>
                <c:pt idx="6" formatCode="General">
                  <c:v>4.2999999999999999E-4</c:v>
                </c:pt>
                <c:pt idx="7" formatCode="General">
                  <c:v>0.15834999999999999</c:v>
                </c:pt>
                <c:pt idx="8" formatCode="General">
                  <c:v>9.3699999999999999E-3</c:v>
                </c:pt>
              </c:numCache>
            </c:numRef>
          </c:val>
          <c:smooth val="0"/>
        </c:ser>
        <c:ser>
          <c:idx val="2"/>
          <c:order val="2"/>
          <c:tx>
            <c:strRef>
              <c:f>'[СН_свод_2012-2025.xlsx]графики сети'!$L$5</c:f>
              <c:strCache>
                <c:ptCount val="1"/>
                <c:pt idx="0">
                  <c:v>г. Новосибирск</c:v>
                </c:pt>
              </c:strCache>
            </c:strRef>
          </c:tx>
          <c:dLbls>
            <c:dLbl>
              <c:idx val="0"/>
              <c:layout>
                <c:manualLayout>
                  <c:x val="-5.4263543810232635E-2"/>
                  <c:y val="-4.8109939600108453E-2"/>
                </c:manualLayout>
              </c:layout>
              <c:showLegendKey val="0"/>
              <c:showVal val="1"/>
              <c:showCatName val="0"/>
              <c:showSerName val="0"/>
              <c:showPercent val="0"/>
              <c:showBubbleSize val="0"/>
            </c:dLbl>
            <c:dLbl>
              <c:idx val="1"/>
              <c:delete val="1"/>
            </c:dLbl>
            <c:dLbl>
              <c:idx val="2"/>
              <c:delete val="1"/>
            </c:dLbl>
            <c:dLbl>
              <c:idx val="3"/>
              <c:layout>
                <c:manualLayout>
                  <c:x val="-4.9095587256877148E-2"/>
                  <c:y val="-4.4673515342957847E-2"/>
                </c:manualLayout>
              </c:layout>
              <c:showLegendKey val="0"/>
              <c:showVal val="1"/>
              <c:showCatName val="0"/>
              <c:showSerName val="0"/>
              <c:showPercent val="0"/>
              <c:showBubbleSize val="0"/>
            </c:dLbl>
            <c:dLbl>
              <c:idx val="4"/>
              <c:delete val="1"/>
            </c:dLbl>
            <c:dLbl>
              <c:idx val="5"/>
              <c:layout>
                <c:manualLayout>
                  <c:x val="-3.1007739320133031E-2"/>
                  <c:y val="-4.123709108580724E-2"/>
                </c:manualLayout>
              </c:layout>
              <c:showLegendKey val="0"/>
              <c:showVal val="1"/>
              <c:showCatName val="0"/>
              <c:showSerName val="0"/>
              <c:showPercent val="0"/>
              <c:showBubbleSize val="0"/>
            </c:dLbl>
            <c:dLbl>
              <c:idx val="6"/>
              <c:delete val="1"/>
            </c:dLbl>
            <c:dLbl>
              <c:idx val="7"/>
              <c:layout>
                <c:manualLayout>
                  <c:x val="-5.4277461867472683E-2"/>
                  <c:y val="-3.4364242571506033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trendline>
            <c:trendlineType val="linear"/>
            <c:dispRSqr val="0"/>
            <c:dispEq val="0"/>
          </c:trendline>
          <c:cat>
            <c:numRef>
              <c:f>'[СН_свод_2012-2025.xlsx]графики сети'!$M$2:$U$2</c:f>
              <c:numCache>
                <c:formatCode>General</c:formatCode>
                <c:ptCount val="9"/>
                <c:pt idx="0">
                  <c:v>2017</c:v>
                </c:pt>
                <c:pt idx="1">
                  <c:v>2018</c:v>
                </c:pt>
                <c:pt idx="2">
                  <c:v>2019</c:v>
                </c:pt>
                <c:pt idx="3">
                  <c:v>2020</c:v>
                </c:pt>
                <c:pt idx="4">
                  <c:v>2021</c:v>
                </c:pt>
                <c:pt idx="5">
                  <c:v>2022</c:v>
                </c:pt>
                <c:pt idx="6">
                  <c:v>2023</c:v>
                </c:pt>
                <c:pt idx="7">
                  <c:v>2024</c:v>
                </c:pt>
                <c:pt idx="8">
                  <c:v>2025</c:v>
                </c:pt>
              </c:numCache>
            </c:numRef>
          </c:cat>
          <c:val>
            <c:numRef>
              <c:f>'[СН_свод_2012-2025.xlsx]графики сети'!$M$5:$U$5</c:f>
              <c:numCache>
                <c:formatCode>0.0000</c:formatCode>
                <c:ptCount val="9"/>
                <c:pt idx="0">
                  <c:v>6.096E-2</c:v>
                </c:pt>
                <c:pt idx="1">
                  <c:v>3.7870000000000001E-2</c:v>
                </c:pt>
                <c:pt idx="2">
                  <c:v>0.11515</c:v>
                </c:pt>
                <c:pt idx="3">
                  <c:v>0.10908</c:v>
                </c:pt>
                <c:pt idx="4" formatCode="General">
                  <c:v>0.12395</c:v>
                </c:pt>
                <c:pt idx="5" formatCode="General">
                  <c:v>0.12845999999999999</c:v>
                </c:pt>
                <c:pt idx="6" formatCode="General">
                  <c:v>0.14463999999999999</c:v>
                </c:pt>
                <c:pt idx="7" formatCode="General">
                  <c:v>0.28360999999999997</c:v>
                </c:pt>
                <c:pt idx="8" formatCode="General">
                  <c:v>0.28297</c:v>
                </c:pt>
              </c:numCache>
            </c:numRef>
          </c:val>
          <c:smooth val="0"/>
        </c:ser>
        <c:dLbls>
          <c:showLegendKey val="0"/>
          <c:showVal val="0"/>
          <c:showCatName val="0"/>
          <c:showSerName val="0"/>
          <c:showPercent val="0"/>
          <c:showBubbleSize val="0"/>
        </c:dLbls>
        <c:marker val="1"/>
        <c:smooth val="0"/>
        <c:axId val="223522816"/>
        <c:axId val="223356608"/>
      </c:lineChart>
      <c:catAx>
        <c:axId val="223522816"/>
        <c:scaling>
          <c:orientation val="minMax"/>
        </c:scaling>
        <c:delete val="0"/>
        <c:axPos val="b"/>
        <c:numFmt formatCode="General" sourceLinked="1"/>
        <c:majorTickMark val="out"/>
        <c:minorTickMark val="none"/>
        <c:tickLblPos val="nextTo"/>
        <c:crossAx val="223356608"/>
        <c:crosses val="autoZero"/>
        <c:auto val="1"/>
        <c:lblAlgn val="ctr"/>
        <c:lblOffset val="100"/>
        <c:noMultiLvlLbl val="0"/>
      </c:catAx>
      <c:valAx>
        <c:axId val="223356608"/>
        <c:scaling>
          <c:orientation val="minMax"/>
          <c:max val="6"/>
        </c:scaling>
        <c:delete val="0"/>
        <c:axPos val="l"/>
        <c:majorGridlines/>
        <c:numFmt formatCode="0.000" sourceLinked="0"/>
        <c:majorTickMark val="out"/>
        <c:minorTickMark val="none"/>
        <c:tickLblPos val="nextTo"/>
        <c:crossAx val="223522816"/>
        <c:crosses val="autoZero"/>
        <c:crossBetween val="between"/>
        <c:minorUnit val="0.5"/>
      </c:valAx>
    </c:plotArea>
    <c:legend>
      <c:legendPos val="r"/>
      <c:legendEntry>
        <c:idx val="3"/>
        <c:delete val="1"/>
      </c:legendEntry>
      <c:layout>
        <c:manualLayout>
          <c:xMode val="edge"/>
          <c:yMode val="edge"/>
          <c:x val="0.77342865770097335"/>
          <c:y val="0.29080390724355332"/>
          <c:w val="0.22657141234317588"/>
          <c:h val="0.43365057660700623"/>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6511466411799675"/>
          <c:y val="0.22601555539502516"/>
          <c:w val="0.56817318662455973"/>
          <c:h val="0.61417830463499756"/>
        </c:manualLayout>
      </c:layout>
      <c:lineChart>
        <c:grouping val="standard"/>
        <c:varyColors val="0"/>
        <c:ser>
          <c:idx val="0"/>
          <c:order val="0"/>
          <c:tx>
            <c:strRef>
              <c:f>'[СН_свод_2012-2025.xlsx]график прочие'!$A$27</c:f>
              <c:strCache>
                <c:ptCount val="1"/>
                <c:pt idx="0">
                  <c:v>максимальная сбытовая надбавка</c:v>
                </c:pt>
              </c:strCache>
            </c:strRef>
          </c:tx>
          <c:dLbls>
            <c:dLbl>
              <c:idx val="0"/>
              <c:layout>
                <c:manualLayout>
                  <c:x val="-9.8298677471579929E-2"/>
                  <c:y val="-2.5778085431628739E-2"/>
                </c:manualLayout>
              </c:layout>
              <c:showLegendKey val="0"/>
              <c:showVal val="1"/>
              <c:showCatName val="0"/>
              <c:showSerName val="0"/>
              <c:showPercent val="0"/>
              <c:showBubbleSize val="0"/>
            </c:dLbl>
            <c:dLbl>
              <c:idx val="1"/>
              <c:layout>
                <c:manualLayout>
                  <c:x val="-0.12636124308505914"/>
                  <c:y val="-3.3133858267716539E-2"/>
                </c:manualLayout>
              </c:layout>
              <c:showLegendKey val="0"/>
              <c:showVal val="1"/>
              <c:showCatName val="0"/>
              <c:showSerName val="0"/>
              <c:showPercent val="0"/>
              <c:showBubbleSize val="0"/>
            </c:dLbl>
            <c:dLbl>
              <c:idx val="2"/>
              <c:layout>
                <c:manualLayout>
                  <c:x val="-3.81248777950969E-2"/>
                  <c:y val="-4.6049441494231798E-2"/>
                </c:manualLayout>
              </c:layout>
              <c:showLegendKey val="0"/>
              <c:showVal val="1"/>
              <c:showCatName val="0"/>
              <c:showSerName val="0"/>
              <c:showPercent val="0"/>
              <c:showBubbleSize val="0"/>
            </c:dLbl>
            <c:dLbl>
              <c:idx val="3"/>
              <c:layout>
                <c:manualLayout>
                  <c:x val="-8.3040587651021444E-2"/>
                  <c:y val="-1.6696374491650082E-2"/>
                </c:manualLayout>
              </c:layout>
              <c:showLegendKey val="0"/>
              <c:showVal val="1"/>
              <c:showCatName val="0"/>
              <c:showSerName val="0"/>
              <c:showPercent val="0"/>
              <c:showBubbleSize val="0"/>
            </c:dLbl>
            <c:dLbl>
              <c:idx val="4"/>
              <c:layout>
                <c:manualLayout>
                  <c:x val="-8.5003019567331764E-2"/>
                  <c:y val="-3.5164835164835165E-2"/>
                </c:manualLayout>
              </c:layout>
              <c:showLegendKey val="0"/>
              <c:showVal val="1"/>
              <c:showCatName val="0"/>
              <c:showSerName val="0"/>
              <c:showPercent val="0"/>
              <c:showBubbleSize val="0"/>
            </c:dLbl>
            <c:dLbl>
              <c:idx val="5"/>
              <c:layout>
                <c:manualLayout>
                  <c:x val="-7.53448024621617E-2"/>
                  <c:y val="-2.8417986213261803E-2"/>
                </c:manualLayout>
              </c:layout>
              <c:showLegendKey val="0"/>
              <c:showVal val="1"/>
              <c:showCatName val="0"/>
              <c:showSerName val="0"/>
              <c:showPercent val="0"/>
              <c:showBubbleSize val="0"/>
            </c:dLbl>
            <c:dLbl>
              <c:idx val="6"/>
              <c:layout>
                <c:manualLayout>
                  <c:x val="-4.8573154038475293E-2"/>
                  <c:y val="-3.8095238095238099E-2"/>
                </c:manualLayout>
              </c:layout>
              <c:showLegendKey val="0"/>
              <c:showVal val="1"/>
              <c:showCatName val="0"/>
              <c:showSerName val="0"/>
              <c:showPercent val="0"/>
              <c:showBubbleSize val="0"/>
            </c:dLbl>
            <c:dLbl>
              <c:idx val="7"/>
              <c:layout>
                <c:manualLayout>
                  <c:x val="-9.714630807695147E-3"/>
                  <c:y val="-2.9304029304029412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numRef>
              <c:f>'[СН_свод_2012-2025.xlsx]график прочие'!$B$26:$I$26</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прочие'!$B$27:$I$27</c:f>
              <c:numCache>
                <c:formatCode>General</c:formatCode>
                <c:ptCount val="8"/>
                <c:pt idx="0">
                  <c:v>0.50478999999999996</c:v>
                </c:pt>
                <c:pt idx="1">
                  <c:v>2.4245199999999998</c:v>
                </c:pt>
                <c:pt idx="2">
                  <c:v>2.8860399999999999</c:v>
                </c:pt>
                <c:pt idx="3">
                  <c:v>1.036</c:v>
                </c:pt>
                <c:pt idx="4">
                  <c:v>1.10558</c:v>
                </c:pt>
                <c:pt idx="5">
                  <c:v>1.27704</c:v>
                </c:pt>
                <c:pt idx="6">
                  <c:v>1.37717</c:v>
                </c:pt>
                <c:pt idx="7">
                  <c:v>1.4693099999999999</c:v>
                </c:pt>
              </c:numCache>
            </c:numRef>
          </c:val>
          <c:smooth val="0"/>
        </c:ser>
        <c:ser>
          <c:idx val="1"/>
          <c:order val="1"/>
          <c:tx>
            <c:strRef>
              <c:f>'[СН_свод_2012-2025.xlsx]график прочие'!$A$28</c:f>
              <c:strCache>
                <c:ptCount val="1"/>
                <c:pt idx="0">
                  <c:v>минимальная сбытовая надбавка</c:v>
                </c:pt>
              </c:strCache>
            </c:strRef>
          </c:tx>
          <c:dLbls>
            <c:dLbl>
              <c:idx val="0"/>
              <c:layout>
                <c:manualLayout>
                  <c:x val="-9.7005178204193132E-2"/>
                  <c:y val="2.7906896253352947E-2"/>
                </c:manualLayout>
              </c:layout>
              <c:showLegendKey val="0"/>
              <c:showVal val="1"/>
              <c:showCatName val="0"/>
              <c:showSerName val="0"/>
              <c:showPercent val="0"/>
              <c:showBubbleSize val="0"/>
            </c:dLbl>
            <c:dLbl>
              <c:idx val="1"/>
              <c:delete val="1"/>
            </c:dLbl>
            <c:dLbl>
              <c:idx val="2"/>
              <c:layout>
                <c:manualLayout>
                  <c:x val="-6.9767427665379217E-2"/>
                  <c:y val="3.7209302325581284E-2"/>
                </c:manualLayout>
              </c:layout>
              <c:showLegendKey val="0"/>
              <c:showVal val="1"/>
              <c:showCatName val="0"/>
              <c:showSerName val="0"/>
              <c:showPercent val="0"/>
              <c:showBubbleSize val="0"/>
            </c:dLbl>
            <c:dLbl>
              <c:idx val="3"/>
              <c:delete val="1"/>
            </c:dLbl>
            <c:dLbl>
              <c:idx val="4"/>
              <c:layout>
                <c:manualLayout>
                  <c:x val="-3.6429865528856561E-2"/>
                  <c:y val="3.2234432234432238E-2"/>
                </c:manualLayout>
              </c:layout>
              <c:showLegendKey val="0"/>
              <c:showVal val="1"/>
              <c:showCatName val="0"/>
              <c:showSerName val="0"/>
              <c:showPercent val="0"/>
              <c:showBubbleSize val="0"/>
            </c:dLbl>
            <c:dLbl>
              <c:idx val="5"/>
              <c:delete val="1"/>
            </c:dLbl>
            <c:dLbl>
              <c:idx val="6"/>
              <c:layout>
                <c:manualLayout>
                  <c:x val="-5.3430660675212738E-2"/>
                  <c:y val="3.2234201494044122E-2"/>
                </c:manualLayout>
              </c:layout>
              <c:showLegendKey val="0"/>
              <c:showVal val="1"/>
              <c:showCatName val="0"/>
              <c:showSerName val="0"/>
              <c:showPercent val="0"/>
              <c:showBubbleSize val="0"/>
            </c:dLbl>
            <c:dLbl>
              <c:idx val="7"/>
              <c:layout>
                <c:manualLayout>
                  <c:x val="-1.4571946211542676E-2"/>
                  <c:y val="-2.9304029304029304E-3"/>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прочие'!$B$26:$I$26</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прочие'!$B$28:$I$28</c:f>
              <c:numCache>
                <c:formatCode>General</c:formatCode>
                <c:ptCount val="8"/>
                <c:pt idx="0">
                  <c:v>9.7040000000000001E-2</c:v>
                </c:pt>
                <c:pt idx="1">
                  <c:v>0.1704</c:v>
                </c:pt>
                <c:pt idx="2">
                  <c:v>0.18003</c:v>
                </c:pt>
                <c:pt idx="3">
                  <c:v>0.20945</c:v>
                </c:pt>
                <c:pt idx="4">
                  <c:v>0.20544999999999999</c:v>
                </c:pt>
                <c:pt idx="5">
                  <c:v>0.22197</c:v>
                </c:pt>
                <c:pt idx="6">
                  <c:v>0.22350999999999999</c:v>
                </c:pt>
                <c:pt idx="7">
                  <c:v>0.22753000000000001</c:v>
                </c:pt>
              </c:numCache>
            </c:numRef>
          </c:val>
          <c:smooth val="0"/>
        </c:ser>
        <c:ser>
          <c:idx val="2"/>
          <c:order val="2"/>
          <c:tx>
            <c:strRef>
              <c:f>'[СН_свод_2012-2025.xlsx]график прочие'!$A$29</c:f>
              <c:strCache>
                <c:ptCount val="1"/>
                <c:pt idx="0">
                  <c:v>г. Новосибирск</c:v>
                </c:pt>
              </c:strCache>
            </c:strRef>
          </c:tx>
          <c:dLbls>
            <c:dLbl>
              <c:idx val="0"/>
              <c:delete val="1"/>
            </c:dLbl>
            <c:dLbl>
              <c:idx val="1"/>
              <c:layout>
                <c:manualLayout>
                  <c:x val="-6.4677831862688662E-2"/>
                  <c:y val="-3.3692480747598855E-2"/>
                </c:manualLayout>
              </c:layout>
              <c:showLegendKey val="0"/>
              <c:showVal val="1"/>
              <c:showCatName val="0"/>
              <c:showSerName val="0"/>
              <c:showPercent val="0"/>
              <c:showBubbleSize val="0"/>
            </c:dLbl>
            <c:dLbl>
              <c:idx val="2"/>
              <c:delete val="1"/>
            </c:dLbl>
            <c:dLbl>
              <c:idx val="3"/>
              <c:layout>
                <c:manualLayout>
                  <c:x val="-5.4517628421491056E-2"/>
                  <c:y val="-4.3240748752559774E-2"/>
                </c:manualLayout>
              </c:layout>
              <c:showLegendKey val="0"/>
              <c:showVal val="1"/>
              <c:showCatName val="0"/>
              <c:showSerName val="0"/>
              <c:showPercent val="0"/>
              <c:showBubbleSize val="0"/>
            </c:dLbl>
            <c:dLbl>
              <c:idx val="4"/>
              <c:delete val="1"/>
            </c:dLbl>
            <c:dLbl>
              <c:idx val="5"/>
              <c:layout>
                <c:manualLayout>
                  <c:x val="-6.6039792504665129E-2"/>
                  <c:y val="-3.4790343514752964E-2"/>
                </c:manualLayout>
              </c:layout>
              <c:showLegendKey val="0"/>
              <c:showVal val="1"/>
              <c:showCatName val="0"/>
              <c:showSerName val="0"/>
              <c:showPercent val="0"/>
              <c:showBubbleSize val="0"/>
            </c:dLbl>
            <c:dLbl>
              <c:idx val="6"/>
              <c:layout>
                <c:manualLayout>
                  <c:x val="-1.7000795146356266E-2"/>
                  <c:y val="1.7582417582417582E-2"/>
                </c:manualLayout>
              </c:layout>
              <c:showLegendKey val="0"/>
              <c:showVal val="1"/>
              <c:showCatName val="0"/>
              <c:showSerName val="0"/>
              <c:showPercent val="0"/>
              <c:showBubbleSize val="0"/>
            </c:dLbl>
            <c:dLbl>
              <c:idx val="7"/>
              <c:layout>
                <c:manualLayout>
                  <c:x val="-2.9143892423085266E-2"/>
                  <c:y val="-3.5164835164835165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прочие'!$B$26:$I$26</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прочие'!$B$29:$I$29</c:f>
              <c:numCache>
                <c:formatCode>General</c:formatCode>
                <c:ptCount val="8"/>
                <c:pt idx="0">
                  <c:v>0.13275999999999999</c:v>
                </c:pt>
                <c:pt idx="1">
                  <c:v>0.28403</c:v>
                </c:pt>
                <c:pt idx="2">
                  <c:v>0.53664999999999996</c:v>
                </c:pt>
                <c:pt idx="3">
                  <c:v>0.38012000000000001</c:v>
                </c:pt>
                <c:pt idx="4">
                  <c:v>0.44863999999999998</c:v>
                </c:pt>
                <c:pt idx="5">
                  <c:v>0.45543</c:v>
                </c:pt>
                <c:pt idx="6">
                  <c:v>0.53698999999999997</c:v>
                </c:pt>
                <c:pt idx="7">
                  <c:v>0.72014</c:v>
                </c:pt>
              </c:numCache>
            </c:numRef>
          </c:val>
          <c:smooth val="0"/>
        </c:ser>
        <c:dLbls>
          <c:showLegendKey val="0"/>
          <c:showVal val="0"/>
          <c:showCatName val="0"/>
          <c:showSerName val="0"/>
          <c:showPercent val="0"/>
          <c:showBubbleSize val="0"/>
        </c:dLbls>
        <c:marker val="1"/>
        <c:smooth val="0"/>
        <c:axId val="224022528"/>
        <c:axId val="223361216"/>
      </c:lineChart>
      <c:catAx>
        <c:axId val="224022528"/>
        <c:scaling>
          <c:orientation val="minMax"/>
        </c:scaling>
        <c:delete val="0"/>
        <c:axPos val="b"/>
        <c:numFmt formatCode="General" sourceLinked="1"/>
        <c:majorTickMark val="out"/>
        <c:minorTickMark val="none"/>
        <c:tickLblPos val="nextTo"/>
        <c:crossAx val="223361216"/>
        <c:crosses val="autoZero"/>
        <c:auto val="1"/>
        <c:lblAlgn val="ctr"/>
        <c:lblOffset val="100"/>
        <c:noMultiLvlLbl val="0"/>
      </c:catAx>
      <c:valAx>
        <c:axId val="223361216"/>
        <c:scaling>
          <c:orientation val="minMax"/>
        </c:scaling>
        <c:delete val="0"/>
        <c:axPos val="l"/>
        <c:majorGridlines/>
        <c:numFmt formatCode="#,##0.000" sourceLinked="0"/>
        <c:majorTickMark val="out"/>
        <c:minorTickMark val="none"/>
        <c:tickLblPos val="nextTo"/>
        <c:crossAx val="224022528"/>
        <c:crosses val="autoZero"/>
        <c:crossBetween val="between"/>
      </c:valAx>
    </c:plotArea>
    <c:legend>
      <c:legendPos val="r"/>
      <c:layout>
        <c:manualLayout>
          <c:xMode val="edge"/>
          <c:yMode val="edge"/>
          <c:x val="0.7432136191132438"/>
          <c:y val="0.26995876729655954"/>
          <c:w val="0.25426591052299935"/>
          <c:h val="0.4272763871995675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9117524652047976"/>
          <c:y val="0.22930549821648427"/>
          <c:w val="0.55775972226579251"/>
          <c:h val="0.62031927399496833"/>
        </c:manualLayout>
      </c:layout>
      <c:lineChart>
        <c:grouping val="standard"/>
        <c:varyColors val="0"/>
        <c:ser>
          <c:idx val="0"/>
          <c:order val="0"/>
          <c:tx>
            <c:strRef>
              <c:f>'[СН_свод_2012-2025.xlsx]график прочие'!$A$33</c:f>
              <c:strCache>
                <c:ptCount val="1"/>
                <c:pt idx="0">
                  <c:v>максимальная сбытовая надбавка</c:v>
                </c:pt>
              </c:strCache>
            </c:strRef>
          </c:tx>
          <c:dLbls>
            <c:dLbl>
              <c:idx val="0"/>
              <c:layout>
                <c:manualLayout>
                  <c:x val="0"/>
                  <c:y val="-2.7132682980278641E-2"/>
                </c:manualLayout>
              </c:layout>
              <c:showLegendKey val="0"/>
              <c:showVal val="1"/>
              <c:showCatName val="0"/>
              <c:showSerName val="0"/>
              <c:showPercent val="0"/>
              <c:showBubbleSize val="0"/>
            </c:dLbl>
            <c:dLbl>
              <c:idx val="1"/>
              <c:layout>
                <c:manualLayout>
                  <c:x val="-0.13811420982735723"/>
                  <c:y val="-2.8246964836968941E-2"/>
                </c:manualLayout>
              </c:layout>
              <c:showLegendKey val="0"/>
              <c:showVal val="1"/>
              <c:showCatName val="0"/>
              <c:showSerName val="0"/>
              <c:showPercent val="0"/>
              <c:showBubbleSize val="0"/>
            </c:dLbl>
            <c:dLbl>
              <c:idx val="2"/>
              <c:layout>
                <c:manualLayout>
                  <c:x val="-6.9057104913678613E-2"/>
                  <c:y val="-4.0108416117453242E-2"/>
                </c:manualLayout>
              </c:layout>
              <c:showLegendKey val="0"/>
              <c:showVal val="1"/>
              <c:showCatName val="0"/>
              <c:showSerName val="0"/>
              <c:showPercent val="0"/>
              <c:showBubbleSize val="0"/>
            </c:dLbl>
            <c:dLbl>
              <c:idx val="3"/>
              <c:layout>
                <c:manualLayout>
                  <c:x val="-3.1872509960159459E-2"/>
                  <c:y val="-4.0756904776695489E-2"/>
                </c:manualLayout>
              </c:layout>
              <c:showLegendKey val="0"/>
              <c:showVal val="1"/>
              <c:showCatName val="0"/>
              <c:showSerName val="0"/>
              <c:showPercent val="0"/>
              <c:showBubbleSize val="0"/>
            </c:dLbl>
            <c:dLbl>
              <c:idx val="5"/>
              <c:layout>
                <c:manualLayout>
                  <c:x val="-6.3745019920318821E-2"/>
                  <c:y val="-3.4934489808596134E-2"/>
                </c:manualLayout>
              </c:layout>
              <c:showLegendKey val="0"/>
              <c:showVal val="1"/>
              <c:showCatName val="0"/>
              <c:showSerName val="0"/>
              <c:showPercent val="0"/>
              <c:showBubbleSize val="0"/>
            </c:dLbl>
            <c:dLbl>
              <c:idx val="6"/>
              <c:layout>
                <c:manualLayout>
                  <c:x val="-4.3431053203040096E-2"/>
                  <c:y val="4.6176035682804269E-2"/>
                </c:manualLayout>
              </c:layout>
              <c:showLegendKey val="0"/>
              <c:showVal val="1"/>
              <c:showCatName val="0"/>
              <c:showSerName val="0"/>
              <c:showPercent val="0"/>
              <c:showBubbleSize val="0"/>
            </c:dLbl>
            <c:dLbl>
              <c:idx val="7"/>
              <c:layout>
                <c:manualLayout>
                  <c:x val="-2.1715526601520166E-2"/>
                  <c:y val="-2.5974020071577425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прочие'!$B$32:$I$32</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прочие'!$B$33:$I$33</c:f>
              <c:numCache>
                <c:formatCode>General</c:formatCode>
                <c:ptCount val="8"/>
                <c:pt idx="0">
                  <c:v>0.34364</c:v>
                </c:pt>
                <c:pt idx="1">
                  <c:v>0.98302</c:v>
                </c:pt>
                <c:pt idx="2">
                  <c:v>1.03803</c:v>
                </c:pt>
                <c:pt idx="3">
                  <c:v>1.036</c:v>
                </c:pt>
                <c:pt idx="4">
                  <c:v>0.76829999999999998</c:v>
                </c:pt>
                <c:pt idx="5">
                  <c:v>1.02545</c:v>
                </c:pt>
                <c:pt idx="6">
                  <c:v>1.10084</c:v>
                </c:pt>
                <c:pt idx="7">
                  <c:v>1.0926</c:v>
                </c:pt>
              </c:numCache>
            </c:numRef>
          </c:val>
          <c:smooth val="0"/>
        </c:ser>
        <c:ser>
          <c:idx val="1"/>
          <c:order val="1"/>
          <c:tx>
            <c:strRef>
              <c:f>'[СН_свод_2012-2025.xlsx]график прочие'!$A$34</c:f>
              <c:strCache>
                <c:ptCount val="1"/>
                <c:pt idx="0">
                  <c:v>минимальная сбытовая надбавка</c:v>
                </c:pt>
              </c:strCache>
            </c:strRef>
          </c:tx>
          <c:dLbls>
            <c:dLbl>
              <c:idx val="0"/>
              <c:layout>
                <c:manualLayout>
                  <c:x val="-8.3808082621594129E-2"/>
                  <c:y val="2.6200582608859557E-2"/>
                </c:manualLayout>
              </c:layout>
              <c:showLegendKey val="0"/>
              <c:showVal val="1"/>
              <c:showCatName val="0"/>
              <c:showSerName val="0"/>
              <c:showPercent val="0"/>
              <c:showBubbleSize val="0"/>
            </c:dLbl>
            <c:dLbl>
              <c:idx val="1"/>
              <c:layout>
                <c:manualLayout>
                  <c:x val="-5.8432934926958877E-2"/>
                  <c:y val="3.2023282324546348E-2"/>
                </c:manualLayout>
              </c:layout>
              <c:showLegendKey val="0"/>
              <c:showVal val="1"/>
              <c:showCatName val="0"/>
              <c:showSerName val="0"/>
              <c:showPercent val="0"/>
              <c:showBubbleSize val="0"/>
            </c:dLbl>
            <c:dLbl>
              <c:idx val="2"/>
              <c:layout>
                <c:manualLayout>
                  <c:x val="-5.3120849933598939E-2"/>
                  <c:y val="2.6200867356447097E-2"/>
                </c:manualLayout>
              </c:layout>
              <c:showLegendKey val="0"/>
              <c:showVal val="1"/>
              <c:showCatName val="0"/>
              <c:showSerName val="0"/>
              <c:showPercent val="0"/>
              <c:showBubbleSize val="0"/>
            </c:dLbl>
            <c:dLbl>
              <c:idx val="3"/>
              <c:layout>
                <c:manualLayout>
                  <c:x val="-2.6560424966799469E-2"/>
                  <c:y val="2.9112074840496775E-2"/>
                </c:manualLayout>
              </c:layout>
              <c:showLegendKey val="0"/>
              <c:showVal val="1"/>
              <c:showCatName val="0"/>
              <c:showSerName val="0"/>
              <c:showPercent val="0"/>
              <c:showBubbleSize val="0"/>
            </c:dLbl>
            <c:dLbl>
              <c:idx val="4"/>
              <c:layout>
                <c:manualLayout>
                  <c:x val="-1.5936254980079681E-2"/>
                  <c:y val="2.3289659872397315E-2"/>
                </c:manualLayout>
              </c:layout>
              <c:showLegendKey val="0"/>
              <c:showVal val="1"/>
              <c:showCatName val="0"/>
              <c:showSerName val="0"/>
              <c:showPercent val="0"/>
              <c:showBubbleSize val="0"/>
            </c:dLbl>
            <c:dLbl>
              <c:idx val="5"/>
              <c:layout>
                <c:manualLayout>
                  <c:x val="-2.6560424966799467E-3"/>
                  <c:y val="2.0378452388347745E-2"/>
                </c:manualLayout>
              </c:layout>
              <c:showLegendKey val="0"/>
              <c:showVal val="1"/>
              <c:showCatName val="0"/>
              <c:showSerName val="0"/>
              <c:showPercent val="0"/>
              <c:showBubbleSize val="0"/>
            </c:dLbl>
            <c:dLbl>
              <c:idx val="6"/>
              <c:layout>
                <c:manualLayout>
                  <c:x val="-8.6862106406080351E-3"/>
                  <c:y val="2.5974020071577401E-2"/>
                </c:manualLayout>
              </c:layout>
              <c:showLegendKey val="0"/>
              <c:showVal val="1"/>
              <c:showCatName val="0"/>
              <c:showSerName val="0"/>
              <c:showPercent val="0"/>
              <c:showBubbleSize val="0"/>
            </c:dLbl>
            <c:dLbl>
              <c:idx val="7"/>
              <c:layout>
                <c:manualLayout>
                  <c:x val="-8.6862106406080351E-3"/>
                  <c:y val="-1.1544008920701067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прочие'!$B$32:$I$32</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прочие'!$B$34:$I$34</c:f>
              <c:numCache>
                <c:formatCode>General</c:formatCode>
                <c:ptCount val="8"/>
                <c:pt idx="0">
                  <c:v>3.3149999999999999E-2</c:v>
                </c:pt>
                <c:pt idx="1">
                  <c:v>5.6800000000000003E-2</c:v>
                </c:pt>
                <c:pt idx="2">
                  <c:v>8.3799999999999999E-2</c:v>
                </c:pt>
                <c:pt idx="3">
                  <c:v>8.5999999999999993E-2</c:v>
                </c:pt>
                <c:pt idx="4">
                  <c:v>8.14E-2</c:v>
                </c:pt>
                <c:pt idx="5">
                  <c:v>9.6500000000000002E-2</c:v>
                </c:pt>
                <c:pt idx="6">
                  <c:v>0.1356</c:v>
                </c:pt>
                <c:pt idx="7">
                  <c:v>0.1295</c:v>
                </c:pt>
              </c:numCache>
            </c:numRef>
          </c:val>
          <c:smooth val="0"/>
        </c:ser>
        <c:ser>
          <c:idx val="2"/>
          <c:order val="2"/>
          <c:tx>
            <c:strRef>
              <c:f>'[СН_свод_2012-2025.xlsx]график прочие'!$A$35</c:f>
              <c:strCache>
                <c:ptCount val="1"/>
                <c:pt idx="0">
                  <c:v>г. Новосибирск</c:v>
                </c:pt>
              </c:strCache>
            </c:strRef>
          </c:tx>
          <c:dLbls>
            <c:dLbl>
              <c:idx val="0"/>
              <c:layout>
                <c:manualLayout>
                  <c:x val="-6.3745019920318724E-2"/>
                  <c:y val="-3.6980587289117975E-2"/>
                </c:manualLayout>
              </c:layout>
              <c:showLegendKey val="0"/>
              <c:showVal val="1"/>
              <c:showCatName val="0"/>
              <c:showSerName val="0"/>
              <c:showPercent val="0"/>
              <c:showBubbleSize val="0"/>
            </c:dLbl>
            <c:dLbl>
              <c:idx val="1"/>
              <c:layout>
                <c:manualLayout>
                  <c:x val="-6.6401689828612012E-2"/>
                  <c:y val="-4.4167143653877146E-2"/>
                </c:manualLayout>
              </c:layout>
              <c:showLegendKey val="0"/>
              <c:showVal val="1"/>
              <c:showCatName val="0"/>
              <c:showSerName val="0"/>
              <c:showPercent val="0"/>
              <c:showBubbleSize val="0"/>
            </c:dLbl>
            <c:dLbl>
              <c:idx val="2"/>
              <c:layout>
                <c:manualLayout>
                  <c:x val="-5.5776892430278883E-2"/>
                  <c:y val="-3.6764424402703895E-2"/>
                </c:manualLayout>
              </c:layout>
              <c:showLegendKey val="0"/>
              <c:showVal val="1"/>
              <c:showCatName val="0"/>
              <c:showSerName val="0"/>
              <c:showPercent val="0"/>
              <c:showBubbleSize val="0"/>
            </c:dLbl>
            <c:dLbl>
              <c:idx val="3"/>
              <c:layout>
                <c:manualLayout>
                  <c:x val="-5.0464807436919085E-2"/>
                  <c:y val="-3.2023282324546563E-2"/>
                </c:manualLayout>
              </c:layout>
              <c:showLegendKey val="0"/>
              <c:showVal val="1"/>
              <c:showCatName val="0"/>
              <c:showSerName val="0"/>
              <c:showPercent val="0"/>
              <c:showBubbleSize val="0"/>
            </c:dLbl>
            <c:dLbl>
              <c:idx val="4"/>
              <c:layout>
                <c:manualLayout>
                  <c:x val="-4.5152722443559098E-2"/>
                  <c:y val="-4.3668112260745164E-2"/>
                </c:manualLayout>
              </c:layout>
              <c:showLegendKey val="0"/>
              <c:showVal val="1"/>
              <c:showCatName val="0"/>
              <c:showSerName val="0"/>
              <c:showPercent val="0"/>
              <c:showBubbleSize val="0"/>
            </c:dLbl>
            <c:dLbl>
              <c:idx val="5"/>
              <c:layout>
                <c:manualLayout>
                  <c:x val="-4.7808764940239043E-2"/>
                  <c:y val="-3.2023282324546452E-2"/>
                </c:manualLayout>
              </c:layout>
              <c:showLegendKey val="0"/>
              <c:showVal val="1"/>
              <c:showCatName val="0"/>
              <c:showSerName val="0"/>
              <c:showPercent val="0"/>
              <c:showBubbleSize val="0"/>
            </c:dLbl>
            <c:dLbl>
              <c:idx val="6"/>
              <c:layout>
                <c:manualLayout>
                  <c:x val="-1.3029315960912132E-2"/>
                  <c:y val="-2.5974020071577401E-2"/>
                </c:manualLayout>
              </c:layout>
              <c:showLegendKey val="0"/>
              <c:showVal val="1"/>
              <c:showCatName val="0"/>
              <c:showSerName val="0"/>
              <c:showPercent val="0"/>
              <c:showBubbleSize val="0"/>
            </c:dLbl>
            <c:dLbl>
              <c:idx val="7"/>
              <c:layout>
                <c:manualLayout>
                  <c:x val="-4.1259500542888246E-2"/>
                  <c:y val="-3.4632026762103203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прочие'!$B$32:$I$32</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прочие'!$B$35:$I$35</c:f>
              <c:numCache>
                <c:formatCode>General</c:formatCode>
                <c:ptCount val="8"/>
                <c:pt idx="0">
                  <c:v>5.5160000000000001E-2</c:v>
                </c:pt>
                <c:pt idx="1">
                  <c:v>0.11039</c:v>
                </c:pt>
                <c:pt idx="2">
                  <c:v>0.19076000000000001</c:v>
                </c:pt>
                <c:pt idx="3">
                  <c:v>0.13521</c:v>
                </c:pt>
                <c:pt idx="4">
                  <c:v>0.16467999999999999</c:v>
                </c:pt>
                <c:pt idx="5">
                  <c:v>0.25222</c:v>
                </c:pt>
                <c:pt idx="6">
                  <c:v>0.18472</c:v>
                </c:pt>
                <c:pt idx="7">
                  <c:v>0.42669000000000001</c:v>
                </c:pt>
              </c:numCache>
            </c:numRef>
          </c:val>
          <c:smooth val="0"/>
        </c:ser>
        <c:dLbls>
          <c:showLegendKey val="0"/>
          <c:showVal val="0"/>
          <c:showCatName val="0"/>
          <c:showSerName val="0"/>
          <c:showPercent val="0"/>
          <c:showBubbleSize val="0"/>
        </c:dLbls>
        <c:marker val="1"/>
        <c:smooth val="0"/>
        <c:axId val="224026112"/>
        <c:axId val="223362368"/>
      </c:lineChart>
      <c:catAx>
        <c:axId val="224026112"/>
        <c:scaling>
          <c:orientation val="minMax"/>
        </c:scaling>
        <c:delete val="0"/>
        <c:axPos val="b"/>
        <c:numFmt formatCode="General" sourceLinked="1"/>
        <c:majorTickMark val="out"/>
        <c:minorTickMark val="none"/>
        <c:tickLblPos val="nextTo"/>
        <c:crossAx val="223362368"/>
        <c:crosses val="autoZero"/>
        <c:auto val="1"/>
        <c:lblAlgn val="ctr"/>
        <c:lblOffset val="100"/>
        <c:noMultiLvlLbl val="0"/>
      </c:catAx>
      <c:valAx>
        <c:axId val="223362368"/>
        <c:scaling>
          <c:orientation val="minMax"/>
        </c:scaling>
        <c:delete val="0"/>
        <c:axPos val="l"/>
        <c:majorGridlines/>
        <c:numFmt formatCode="#,##0.000" sourceLinked="0"/>
        <c:majorTickMark val="out"/>
        <c:minorTickMark val="none"/>
        <c:tickLblPos val="nextTo"/>
        <c:crossAx val="224026112"/>
        <c:crosses val="autoZero"/>
        <c:crossBetween val="between"/>
      </c:valAx>
    </c:plotArea>
    <c:legend>
      <c:legendPos val="r"/>
      <c:layout>
        <c:manualLayout>
          <c:xMode val="edge"/>
          <c:yMode val="edge"/>
          <c:x val="0.76016730976357039"/>
          <c:y val="0.26939947291098509"/>
          <c:w val="0.23658402203856749"/>
          <c:h val="0.4931597903574356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403023151133884"/>
          <c:y val="0.1742211853147986"/>
          <c:w val="0.59062017586831439"/>
          <c:h val="0.70163118499076504"/>
        </c:manualLayout>
      </c:layout>
      <c:lineChart>
        <c:grouping val="standard"/>
        <c:varyColors val="0"/>
        <c:ser>
          <c:idx val="0"/>
          <c:order val="0"/>
          <c:tx>
            <c:strRef>
              <c:f>'[СН_свод_2012-2025.xlsx]график прочие'!$A$39</c:f>
              <c:strCache>
                <c:ptCount val="1"/>
                <c:pt idx="0">
                  <c:v>максимальная сбытовая надбавка</c:v>
                </c:pt>
              </c:strCache>
            </c:strRef>
          </c:tx>
          <c:dLbls>
            <c:dLbl>
              <c:idx val="0"/>
              <c:layout>
                <c:manualLayout>
                  <c:x val="6.7149998821929848E-4"/>
                  <c:y val="-2.905827539614542E-2"/>
                </c:manualLayout>
              </c:layout>
              <c:showLegendKey val="0"/>
              <c:showVal val="1"/>
              <c:showCatName val="0"/>
              <c:showSerName val="0"/>
              <c:showPercent val="0"/>
              <c:showBubbleSize val="0"/>
            </c:dLbl>
            <c:dLbl>
              <c:idx val="1"/>
              <c:layout>
                <c:manualLayout>
                  <c:x val="-0.11490123507518529"/>
                  <c:y val="-4.5454545454545456E-2"/>
                </c:manualLayout>
              </c:layout>
              <c:showLegendKey val="0"/>
              <c:showVal val="1"/>
              <c:showCatName val="0"/>
              <c:showSerName val="0"/>
              <c:showPercent val="0"/>
              <c:showBubbleSize val="0"/>
            </c:dLbl>
            <c:dLbl>
              <c:idx val="2"/>
              <c:layout>
                <c:manualLayout>
                  <c:x val="-5.984439326832576E-2"/>
                  <c:y val="-4.5454545454545456E-2"/>
                </c:manualLayout>
              </c:layout>
              <c:showLegendKey val="0"/>
              <c:showVal val="1"/>
              <c:showCatName val="0"/>
              <c:showSerName val="0"/>
              <c:showPercent val="0"/>
              <c:showBubbleSize val="0"/>
            </c:dLbl>
            <c:dLbl>
              <c:idx val="3"/>
              <c:layout>
                <c:manualLayout>
                  <c:x val="-3.361484590149393E-3"/>
                  <c:y val="-3.8683807403980465E-3"/>
                </c:manualLayout>
              </c:layout>
              <c:showLegendKey val="0"/>
              <c:showVal val="1"/>
              <c:showCatName val="0"/>
              <c:showSerName val="0"/>
              <c:showPercent val="0"/>
              <c:showBubbleSize val="0"/>
            </c:dLbl>
            <c:dLbl>
              <c:idx val="4"/>
              <c:layout>
                <c:manualLayout>
                  <c:x val="-1.1001096298226461E-2"/>
                  <c:y val="4.4129224665903487E-2"/>
                </c:manualLayout>
              </c:layout>
              <c:showLegendKey val="0"/>
              <c:showVal val="1"/>
              <c:showCatName val="0"/>
              <c:showSerName val="0"/>
              <c:showPercent val="0"/>
              <c:showBubbleSize val="0"/>
            </c:dLbl>
            <c:dLbl>
              <c:idx val="5"/>
              <c:layout>
                <c:manualLayout>
                  <c:x val="-5.9405920010422539E-2"/>
                  <c:y val="-3.7825049713631612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прочие'!$B$38:$I$38</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прочие'!$B$39:$I$39</c:f>
              <c:numCache>
                <c:formatCode>General</c:formatCode>
                <c:ptCount val="8"/>
                <c:pt idx="0">
                  <c:v>0.24482999999999999</c:v>
                </c:pt>
                <c:pt idx="1">
                  <c:v>0.80817000000000005</c:v>
                </c:pt>
                <c:pt idx="2">
                  <c:v>0.96201000000000003</c:v>
                </c:pt>
                <c:pt idx="3">
                  <c:v>0.34533000000000003</c:v>
                </c:pt>
                <c:pt idx="4">
                  <c:v>0.76829999999999998</c:v>
                </c:pt>
                <c:pt idx="5">
                  <c:v>0.85475000000000001</c:v>
                </c:pt>
                <c:pt idx="6">
                  <c:v>1.10084</c:v>
                </c:pt>
                <c:pt idx="7">
                  <c:v>0.81181000000000003</c:v>
                </c:pt>
              </c:numCache>
            </c:numRef>
          </c:val>
          <c:smooth val="0"/>
        </c:ser>
        <c:ser>
          <c:idx val="1"/>
          <c:order val="1"/>
          <c:tx>
            <c:strRef>
              <c:f>'[СН_свод_2012-2025.xlsx]график прочие'!$A$40</c:f>
              <c:strCache>
                <c:ptCount val="1"/>
                <c:pt idx="0">
                  <c:v>минимальная сбытовая надбавка</c:v>
                </c:pt>
              </c:strCache>
            </c:strRef>
          </c:tx>
          <c:dLbls>
            <c:dLbl>
              <c:idx val="0"/>
              <c:layout>
                <c:manualLayout>
                  <c:x val="-7.4518827640020574E-2"/>
                  <c:y val="3.5055432064324543E-2"/>
                </c:manualLayout>
              </c:layout>
              <c:showLegendKey val="0"/>
              <c:showVal val="1"/>
              <c:showCatName val="0"/>
              <c:showSerName val="0"/>
              <c:showPercent val="0"/>
              <c:showBubbleSize val="0"/>
            </c:dLbl>
            <c:dLbl>
              <c:idx val="1"/>
              <c:layout>
                <c:manualLayout>
                  <c:x val="-7.1142097436103557E-2"/>
                  <c:y val="3.5502432815861504E-2"/>
                </c:manualLayout>
              </c:layout>
              <c:showLegendKey val="0"/>
              <c:showVal val="1"/>
              <c:showCatName val="0"/>
              <c:showSerName val="0"/>
              <c:showPercent val="0"/>
              <c:showBubbleSize val="0"/>
            </c:dLbl>
            <c:dLbl>
              <c:idx val="2"/>
              <c:layout>
                <c:manualLayout>
                  <c:x val="-6.4631944729791821E-2"/>
                  <c:y val="3.787878787878788E-2"/>
                </c:manualLayout>
              </c:layout>
              <c:showLegendKey val="0"/>
              <c:showVal val="1"/>
              <c:showCatName val="0"/>
              <c:showSerName val="0"/>
              <c:showPercent val="0"/>
              <c:showBubbleSize val="0"/>
            </c:dLbl>
            <c:dLbl>
              <c:idx val="3"/>
              <c:layout>
                <c:manualLayout>
                  <c:x val="-5.3966527561990746E-2"/>
                  <c:y val="3.6580347454354296E-2"/>
                </c:manualLayout>
              </c:layout>
              <c:showLegendKey val="0"/>
              <c:showVal val="1"/>
              <c:showCatName val="0"/>
              <c:showSerName val="0"/>
              <c:showPercent val="0"/>
              <c:showBubbleSize val="0"/>
            </c:dLbl>
            <c:dLbl>
              <c:idx val="4"/>
              <c:layout>
                <c:manualLayout>
                  <c:x val="-4.1804165933260168E-2"/>
                  <c:y val="3.4672962237495643E-2"/>
                </c:manualLayout>
              </c:layout>
              <c:showLegendKey val="0"/>
              <c:showVal val="1"/>
              <c:showCatName val="0"/>
              <c:showSerName val="0"/>
              <c:showPercent val="0"/>
              <c:showBubbleSize val="0"/>
            </c:dLbl>
            <c:dLbl>
              <c:idx val="5"/>
              <c:layout>
                <c:manualLayout>
                  <c:x val="-4.6129122552503982E-2"/>
                  <c:y val="-2.4701100227855807E-2"/>
                </c:manualLayout>
              </c:layout>
              <c:showLegendKey val="0"/>
              <c:showVal val="1"/>
              <c:showCatName val="0"/>
              <c:showSerName val="0"/>
              <c:showPercent val="0"/>
              <c:showBubbleSize val="0"/>
            </c:dLbl>
            <c:dLbl>
              <c:idx val="6"/>
              <c:layout>
                <c:manualLayout>
                  <c:x val="-4.7689999979659774E-2"/>
                  <c:y val="2.492211226675687E-2"/>
                </c:manualLayout>
              </c:layout>
              <c:showLegendKey val="0"/>
              <c:showVal val="1"/>
              <c:showCatName val="0"/>
              <c:showSerName val="0"/>
              <c:showPercent val="0"/>
              <c:showBubbleSize val="0"/>
            </c:dLbl>
            <c:dLbl>
              <c:idx val="7"/>
              <c:layout>
                <c:manualLayout>
                  <c:x val="-1.1922499994914943E-2"/>
                  <c:y val="0"/>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прочие'!$B$38:$I$38</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прочие'!$B$40:$I$40</c:f>
              <c:numCache>
                <c:formatCode>General</c:formatCode>
                <c:ptCount val="8"/>
                <c:pt idx="0">
                  <c:v>3.2349999999999997E-2</c:v>
                </c:pt>
                <c:pt idx="1">
                  <c:v>5.6800000000000003E-2</c:v>
                </c:pt>
                <c:pt idx="2">
                  <c:v>6.0010000000000001E-2</c:v>
                </c:pt>
                <c:pt idx="3">
                  <c:v>6.9819999999999993E-2</c:v>
                </c:pt>
                <c:pt idx="4">
                  <c:v>6.8479999999999999E-2</c:v>
                </c:pt>
                <c:pt idx="5">
                  <c:v>7.399E-2</c:v>
                </c:pt>
                <c:pt idx="6">
                  <c:v>7.4510000000000007E-2</c:v>
                </c:pt>
                <c:pt idx="7">
                  <c:v>7.5850000000000001E-2</c:v>
                </c:pt>
              </c:numCache>
            </c:numRef>
          </c:val>
          <c:smooth val="0"/>
        </c:ser>
        <c:ser>
          <c:idx val="2"/>
          <c:order val="2"/>
          <c:tx>
            <c:strRef>
              <c:f>'[СН_свод_2012-2025.xlsx]график прочие'!$A$41</c:f>
              <c:strCache>
                <c:ptCount val="1"/>
                <c:pt idx="0">
                  <c:v>г. Новосибирск</c:v>
                </c:pt>
              </c:strCache>
            </c:strRef>
          </c:tx>
          <c:dLbls>
            <c:dLbl>
              <c:idx val="0"/>
              <c:layout>
                <c:manualLayout>
                  <c:x val="-7.5174908768861251E-2"/>
                  <c:y val="-4.049737458414783E-2"/>
                </c:manualLayout>
              </c:layout>
              <c:showLegendKey val="0"/>
              <c:showVal val="1"/>
              <c:showCatName val="0"/>
              <c:showSerName val="0"/>
              <c:showPercent val="0"/>
              <c:showBubbleSize val="0"/>
            </c:dLbl>
            <c:dLbl>
              <c:idx val="1"/>
              <c:layout>
                <c:manualLayout>
                  <c:x val="-7.5948970158790041E-2"/>
                  <c:y val="-3.4090942935799673E-2"/>
                </c:manualLayout>
              </c:layout>
              <c:showLegendKey val="0"/>
              <c:showVal val="1"/>
              <c:showCatName val="0"/>
              <c:showSerName val="0"/>
              <c:showPercent val="0"/>
              <c:showBubbleSize val="0"/>
            </c:dLbl>
            <c:dLbl>
              <c:idx val="2"/>
              <c:layout>
                <c:manualLayout>
                  <c:x val="-7.6091204805417423E-2"/>
                  <c:y val="-3.4117748089140039E-2"/>
                </c:manualLayout>
              </c:layout>
              <c:showLegendKey val="0"/>
              <c:showVal val="1"/>
              <c:showCatName val="0"/>
              <c:showSerName val="0"/>
              <c:showPercent val="0"/>
              <c:showBubbleSize val="0"/>
            </c:dLbl>
            <c:dLbl>
              <c:idx val="3"/>
              <c:layout>
                <c:manualLayout>
                  <c:x val="-6.3928843176686956E-2"/>
                  <c:y val="-3.9150415628794295E-2"/>
                </c:manualLayout>
              </c:layout>
              <c:showLegendKey val="0"/>
              <c:showVal val="1"/>
              <c:showCatName val="0"/>
              <c:showSerName val="0"/>
              <c:showPercent val="0"/>
              <c:showBubbleSize val="0"/>
            </c:dLbl>
            <c:dLbl>
              <c:idx val="4"/>
              <c:layout>
                <c:manualLayout>
                  <c:x val="-5.9405920010422539E-2"/>
                  <c:y val="-3.4672962237495761E-2"/>
                </c:manualLayout>
              </c:layout>
              <c:showLegendKey val="0"/>
              <c:showVal val="1"/>
              <c:showCatName val="0"/>
              <c:showSerName val="0"/>
              <c:showPercent val="0"/>
              <c:showBubbleSize val="0"/>
            </c:dLbl>
            <c:dLbl>
              <c:idx val="5"/>
              <c:layout>
                <c:manualLayout>
                  <c:x val="-3.3003288894679302E-2"/>
                  <c:y val="-4.097713718976758E-2"/>
                </c:manualLayout>
              </c:layout>
              <c:showLegendKey val="0"/>
              <c:showVal val="1"/>
              <c:showCatName val="0"/>
              <c:showSerName val="0"/>
              <c:showPercent val="0"/>
              <c:showBubbleSize val="0"/>
            </c:dLbl>
            <c:dLbl>
              <c:idx val="6"/>
              <c:layout>
                <c:manualLayout>
                  <c:x val="-5.9612499974576174E-3"/>
                  <c:y val="-9.3457921000339398E-3"/>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numRef>
              <c:f>'[СН_свод_2012-2025.xlsx]график прочие'!$B$38:$I$38</c:f>
              <c:numCache>
                <c:formatCode>General</c:formatCode>
                <c:ptCount val="8"/>
                <c:pt idx="0">
                  <c:v>2018</c:v>
                </c:pt>
                <c:pt idx="1">
                  <c:v>2019</c:v>
                </c:pt>
                <c:pt idx="2">
                  <c:v>2020</c:v>
                </c:pt>
                <c:pt idx="3">
                  <c:v>2021</c:v>
                </c:pt>
                <c:pt idx="4">
                  <c:v>2022</c:v>
                </c:pt>
                <c:pt idx="5">
                  <c:v>2023</c:v>
                </c:pt>
                <c:pt idx="6">
                  <c:v>2024</c:v>
                </c:pt>
                <c:pt idx="7">
                  <c:v>2025</c:v>
                </c:pt>
              </c:numCache>
            </c:numRef>
          </c:cat>
          <c:val>
            <c:numRef>
              <c:f>'[СН_свод_2012-2025.xlsx]график прочие'!$B$41:$I$41</c:f>
              <c:numCache>
                <c:formatCode>General</c:formatCode>
                <c:ptCount val="8"/>
                <c:pt idx="0">
                  <c:v>4.4249999999999998E-2</c:v>
                </c:pt>
                <c:pt idx="1">
                  <c:v>9.468E-2</c:v>
                </c:pt>
                <c:pt idx="2">
                  <c:v>0.17888000000000001</c:v>
                </c:pt>
                <c:pt idx="3">
                  <c:v>0.12670999999999999</c:v>
                </c:pt>
                <c:pt idx="4">
                  <c:v>0.14954999999999999</c:v>
                </c:pt>
                <c:pt idx="5">
                  <c:v>0.24779999999999999</c:v>
                </c:pt>
                <c:pt idx="6">
                  <c:v>0.18472</c:v>
                </c:pt>
                <c:pt idx="7">
                  <c:v>0.41413</c:v>
                </c:pt>
              </c:numCache>
            </c:numRef>
          </c:val>
          <c:smooth val="0"/>
        </c:ser>
        <c:dLbls>
          <c:showLegendKey val="0"/>
          <c:showVal val="0"/>
          <c:showCatName val="0"/>
          <c:showSerName val="0"/>
          <c:showPercent val="0"/>
          <c:showBubbleSize val="0"/>
        </c:dLbls>
        <c:marker val="1"/>
        <c:smooth val="0"/>
        <c:axId val="224025088"/>
        <c:axId val="223360640"/>
      </c:lineChart>
      <c:catAx>
        <c:axId val="224025088"/>
        <c:scaling>
          <c:orientation val="minMax"/>
        </c:scaling>
        <c:delete val="0"/>
        <c:axPos val="b"/>
        <c:numFmt formatCode="General" sourceLinked="1"/>
        <c:majorTickMark val="out"/>
        <c:minorTickMark val="none"/>
        <c:tickLblPos val="nextTo"/>
        <c:crossAx val="223360640"/>
        <c:crosses val="autoZero"/>
        <c:auto val="1"/>
        <c:lblAlgn val="ctr"/>
        <c:lblOffset val="100"/>
        <c:noMultiLvlLbl val="0"/>
      </c:catAx>
      <c:valAx>
        <c:axId val="223360640"/>
        <c:scaling>
          <c:orientation val="minMax"/>
        </c:scaling>
        <c:delete val="0"/>
        <c:axPos val="l"/>
        <c:majorGridlines/>
        <c:numFmt formatCode="#,##0.000" sourceLinked="0"/>
        <c:majorTickMark val="out"/>
        <c:minorTickMark val="none"/>
        <c:tickLblPos val="nextTo"/>
        <c:crossAx val="224025088"/>
        <c:crosses val="autoZero"/>
        <c:crossBetween val="between"/>
      </c:valAx>
    </c:plotArea>
    <c:legend>
      <c:legendPos val="r"/>
      <c:layout>
        <c:manualLayout>
          <c:xMode val="edge"/>
          <c:yMode val="edge"/>
          <c:x val="0.77191765562275305"/>
          <c:y val="0.19428925077547124"/>
          <c:w val="0.209151913531543"/>
          <c:h val="0.69559591982820335"/>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ln>
      <a:noFill/>
    </a:ln>
  </c:spPr>
  <c:externalData r:id="rId2">
    <c:autoUpdate val="0"/>
  </c:externalData>
  <c:userShapes r:id="rId3"/>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8.6103224323236971E-2"/>
          <c:y val="0.2181400802057103"/>
          <c:w val="0.7098509492882733"/>
          <c:h val="0.62093608857268479"/>
        </c:manualLayout>
      </c:layout>
      <c:bar3DChart>
        <c:barDir val="col"/>
        <c:grouping val="percentStacked"/>
        <c:varyColors val="0"/>
        <c:ser>
          <c:idx val="0"/>
          <c:order val="0"/>
          <c:tx>
            <c:strRef>
              <c:f>'[Структура конеч цен_Прочие потреб 1ЦК.xlsx]декабрь 2024'!$Z$3</c:f>
              <c:strCache>
                <c:ptCount val="1"/>
                <c:pt idx="0">
                  <c:v>Покупка на оптовом рынке</c:v>
                </c:pt>
              </c:strCache>
            </c:strRef>
          </c:tx>
          <c:invertIfNegative val="0"/>
          <c:dLbls>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2024'!$Y$4:$Y$11</c:f>
              <c:strCache>
                <c:ptCount val="8"/>
                <c:pt idx="0">
                  <c:v>декабрь 2017г.</c:v>
                </c:pt>
                <c:pt idx="1">
                  <c:v>декабрь 2018 г.</c:v>
                </c:pt>
                <c:pt idx="2">
                  <c:v>декабрь 2019 г.</c:v>
                </c:pt>
                <c:pt idx="3">
                  <c:v>декабрь 2020 г.</c:v>
                </c:pt>
                <c:pt idx="4">
                  <c:v>декабрь 2021 г.</c:v>
                </c:pt>
                <c:pt idx="5">
                  <c:v>ноябрь 2022 г.</c:v>
                </c:pt>
                <c:pt idx="6">
                  <c:v>декабрь 2023 г.</c:v>
                </c:pt>
                <c:pt idx="7">
                  <c:v>декабрь 2024 г.</c:v>
                </c:pt>
              </c:strCache>
            </c:strRef>
          </c:cat>
          <c:val>
            <c:numRef>
              <c:f>'[Структура конеч цен_Прочие потреб 1ЦК.xlsx]декабрь 2024'!$Z$4:$Z$11</c:f>
              <c:numCache>
                <c:formatCode>0.0%</c:formatCode>
                <c:ptCount val="8"/>
                <c:pt idx="0">
                  <c:v>0.53287253041137728</c:v>
                </c:pt>
                <c:pt idx="1">
                  <c:v>0.54007056588411262</c:v>
                </c:pt>
                <c:pt idx="2">
                  <c:v>0.52298733066488701</c:v>
                </c:pt>
                <c:pt idx="3">
                  <c:v>0.48781216004210437</c:v>
                </c:pt>
                <c:pt idx="4">
                  <c:v>0.54042641362966659</c:v>
                </c:pt>
                <c:pt idx="5">
                  <c:v>0.5409723107825597</c:v>
                </c:pt>
                <c:pt idx="6">
                  <c:v>0.52113926231336516</c:v>
                </c:pt>
                <c:pt idx="7">
                  <c:v>0.52374170354727456</c:v>
                </c:pt>
              </c:numCache>
            </c:numRef>
          </c:val>
        </c:ser>
        <c:ser>
          <c:idx val="1"/>
          <c:order val="1"/>
          <c:tx>
            <c:strRef>
              <c:f>'[Структура конеч цен_Прочие потреб 1ЦК.xlsx]декабрь 2024'!$AA$3</c:f>
              <c:strCache>
                <c:ptCount val="1"/>
                <c:pt idx="0">
                  <c:v>Услуги по передаче</c:v>
                </c:pt>
              </c:strCache>
            </c:strRef>
          </c:tx>
          <c:spPr>
            <a:effectLst>
              <a:outerShdw blurRad="50800" dist="50800" dir="5400000" algn="ctr" rotWithShape="0">
                <a:schemeClr val="accent5">
                  <a:lumMod val="60000"/>
                  <a:lumOff val="40000"/>
                </a:schemeClr>
              </a:outerShdw>
            </a:effectLst>
          </c:spPr>
          <c:invertIfNegative val="0"/>
          <c:dLbls>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2024'!$Y$4:$Y$11</c:f>
              <c:strCache>
                <c:ptCount val="8"/>
                <c:pt idx="0">
                  <c:v>декабрь 2017г.</c:v>
                </c:pt>
                <c:pt idx="1">
                  <c:v>декабрь 2018 г.</c:v>
                </c:pt>
                <c:pt idx="2">
                  <c:v>декабрь 2019 г.</c:v>
                </c:pt>
                <c:pt idx="3">
                  <c:v>декабрь 2020 г.</c:v>
                </c:pt>
                <c:pt idx="4">
                  <c:v>декабрь 2021 г.</c:v>
                </c:pt>
                <c:pt idx="5">
                  <c:v>ноябрь 2022 г.</c:v>
                </c:pt>
                <c:pt idx="6">
                  <c:v>декабрь 2023 г.</c:v>
                </c:pt>
                <c:pt idx="7">
                  <c:v>декабрь 2024 г.</c:v>
                </c:pt>
              </c:strCache>
            </c:strRef>
          </c:cat>
          <c:val>
            <c:numRef>
              <c:f>'[Структура конеч цен_Прочие потреб 1ЦК.xlsx]декабрь 2024'!$AA$4:$AA$11</c:f>
              <c:numCache>
                <c:formatCode>0.0%</c:formatCode>
                <c:ptCount val="8"/>
                <c:pt idx="0">
                  <c:v>0.44571215401939723</c:v>
                </c:pt>
                <c:pt idx="1">
                  <c:v>0.43608544482655015</c:v>
                </c:pt>
                <c:pt idx="2">
                  <c:v>0.42992125829729488</c:v>
                </c:pt>
                <c:pt idx="3">
                  <c:v>0.42984518060921473</c:v>
                </c:pt>
                <c:pt idx="4">
                  <c:v>0.40484670568557996</c:v>
                </c:pt>
                <c:pt idx="5">
                  <c:v>0.40051315884482774</c:v>
                </c:pt>
                <c:pt idx="6">
                  <c:v>0.41358373747217136</c:v>
                </c:pt>
                <c:pt idx="7">
                  <c:v>0.41782390368934635</c:v>
                </c:pt>
              </c:numCache>
            </c:numRef>
          </c:val>
        </c:ser>
        <c:ser>
          <c:idx val="2"/>
          <c:order val="2"/>
          <c:tx>
            <c:strRef>
              <c:f>'[Структура конеч цен_Прочие потреб 1ЦК.xlsx]декабрь 2024'!$AB$3</c:f>
              <c:strCache>
                <c:ptCount val="1"/>
                <c:pt idx="0">
                  <c:v>Иные услуги (менее 1%)</c:v>
                </c:pt>
              </c:strCache>
            </c:strRef>
          </c:tx>
          <c:spPr>
            <a:solidFill>
              <a:srgbClr val="FFFF00"/>
            </a:solidFill>
          </c:spPr>
          <c:invertIfNegative val="0"/>
          <c:dLbls>
            <c:dLbl>
              <c:idx val="0"/>
              <c:layout>
                <c:manualLayout>
                  <c:x val="2.08986381492954E-3"/>
                  <c:y val="4.138950480413895E-2"/>
                </c:manualLayout>
              </c:layout>
              <c:showLegendKey val="0"/>
              <c:showVal val="1"/>
              <c:showCatName val="0"/>
              <c:showSerName val="0"/>
              <c:showPercent val="0"/>
              <c:showBubbleSize val="0"/>
            </c:dLbl>
            <c:dLbl>
              <c:idx val="1"/>
              <c:layout>
                <c:manualLayout>
                  <c:x val="0"/>
                  <c:y val="3.2520325203252036E-2"/>
                </c:manualLayout>
              </c:layout>
              <c:showLegendKey val="0"/>
              <c:showVal val="1"/>
              <c:showCatName val="0"/>
              <c:showSerName val="0"/>
              <c:showPercent val="0"/>
              <c:showBubbleSize val="0"/>
            </c:dLbl>
            <c:dLbl>
              <c:idx val="2"/>
              <c:layout>
                <c:manualLayout>
                  <c:x val="0"/>
                  <c:y val="3.2520325203252036E-2"/>
                </c:manualLayout>
              </c:layout>
              <c:showLegendKey val="0"/>
              <c:showVal val="1"/>
              <c:showCatName val="0"/>
              <c:showSerName val="0"/>
              <c:showPercent val="0"/>
              <c:showBubbleSize val="0"/>
            </c:dLbl>
            <c:dLbl>
              <c:idx val="3"/>
              <c:layout>
                <c:manualLayout>
                  <c:x val="0"/>
                  <c:y val="2.069475240206942E-2"/>
                </c:manualLayout>
              </c:layout>
              <c:showLegendKey val="0"/>
              <c:showVal val="1"/>
              <c:showCatName val="0"/>
              <c:showSerName val="0"/>
              <c:showPercent val="0"/>
              <c:showBubbleSize val="0"/>
            </c:dLbl>
            <c:dLbl>
              <c:idx val="4"/>
              <c:layout>
                <c:manualLayout>
                  <c:x val="-7.6627454673855235E-17"/>
                  <c:y val="2.9563932002956338E-2"/>
                </c:manualLayout>
              </c:layout>
              <c:showLegendKey val="0"/>
              <c:showVal val="1"/>
              <c:showCatName val="0"/>
              <c:showSerName val="0"/>
              <c:showPercent val="0"/>
              <c:showBubbleSize val="0"/>
            </c:dLbl>
            <c:dLbl>
              <c:idx val="5"/>
              <c:layout>
                <c:manualLayout>
                  <c:x val="0"/>
                  <c:y val="2.9563932002956393E-2"/>
                </c:manualLayout>
              </c:layout>
              <c:showLegendKey val="0"/>
              <c:showVal val="1"/>
              <c:showCatName val="0"/>
              <c:showSerName val="0"/>
              <c:showPercent val="0"/>
              <c:showBubbleSize val="0"/>
            </c:dLbl>
            <c:dLbl>
              <c:idx val="6"/>
              <c:layout>
                <c:manualLayout>
                  <c:x val="-7.6627454673855235E-17"/>
                  <c:y val="3.5476718403547672E-2"/>
                </c:manualLayout>
              </c:layout>
              <c:showLegendKey val="0"/>
              <c:showVal val="1"/>
              <c:showCatName val="0"/>
              <c:showSerName val="0"/>
              <c:showPercent val="0"/>
              <c:showBubbleSize val="0"/>
            </c:dLbl>
            <c:dLbl>
              <c:idx val="7"/>
              <c:layout>
                <c:manualLayout>
                  <c:x val="0"/>
                  <c:y val="3.5476718403547672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2024'!$Y$4:$Y$11</c:f>
              <c:strCache>
                <c:ptCount val="8"/>
                <c:pt idx="0">
                  <c:v>декабрь 2017г.</c:v>
                </c:pt>
                <c:pt idx="1">
                  <c:v>декабрь 2018 г.</c:v>
                </c:pt>
                <c:pt idx="2">
                  <c:v>декабрь 2019 г.</c:v>
                </c:pt>
                <c:pt idx="3">
                  <c:v>декабрь 2020 г.</c:v>
                </c:pt>
                <c:pt idx="4">
                  <c:v>декабрь 2021 г.</c:v>
                </c:pt>
                <c:pt idx="5">
                  <c:v>ноябрь 2022 г.</c:v>
                </c:pt>
                <c:pt idx="6">
                  <c:v>декабрь 2023 г.</c:v>
                </c:pt>
                <c:pt idx="7">
                  <c:v>декабрь 2024 г.</c:v>
                </c:pt>
              </c:strCache>
            </c:strRef>
          </c:cat>
          <c:val>
            <c:numRef>
              <c:f>'[Структура конеч цен_Прочие потреб 1ЦК.xlsx]декабрь 2024'!$AB$4:$AB$11</c:f>
              <c:numCache>
                <c:formatCode>0.0%</c:formatCode>
                <c:ptCount val="8"/>
                <c:pt idx="0">
                  <c:v>8.2383320344191495E-4</c:v>
                </c:pt>
                <c:pt idx="1">
                  <c:v>7.1558410399676445E-4</c:v>
                </c:pt>
                <c:pt idx="2">
                  <c:v>7.6567026229764951E-4</c:v>
                </c:pt>
                <c:pt idx="3">
                  <c:v>1.5728716267416087E-3</c:v>
                </c:pt>
                <c:pt idx="4">
                  <c:v>1.4522082937677191E-3</c:v>
                </c:pt>
                <c:pt idx="5">
                  <c:v>1.3779153557372614E-3</c:v>
                </c:pt>
                <c:pt idx="6">
                  <c:v>7.2184472030946769E-4</c:v>
                </c:pt>
                <c:pt idx="7">
                  <c:v>9.1349413801867846E-4</c:v>
                </c:pt>
              </c:numCache>
            </c:numRef>
          </c:val>
        </c:ser>
        <c:ser>
          <c:idx val="3"/>
          <c:order val="3"/>
          <c:tx>
            <c:strRef>
              <c:f>'[Структура конеч цен_Прочие потреб 1ЦК.xlsx]декабрь 2024'!$AC$3</c:f>
              <c:strCache>
                <c:ptCount val="1"/>
                <c:pt idx="0">
                  <c:v>Сбытовая надбавка</c:v>
                </c:pt>
              </c:strCache>
            </c:strRef>
          </c:tx>
          <c:invertIfNegative val="0"/>
          <c:dLbls>
            <c:dLbl>
              <c:idx val="0"/>
              <c:layout>
                <c:manualLayout>
                  <c:x val="-1.2539182889577356E-2"/>
                  <c:y val="-3.2520325203252057E-2"/>
                </c:manualLayout>
              </c:layout>
              <c:showLegendKey val="0"/>
              <c:showVal val="1"/>
              <c:showCatName val="0"/>
              <c:showSerName val="0"/>
              <c:showPercent val="0"/>
              <c:showBubbleSize val="0"/>
            </c:dLbl>
            <c:dLbl>
              <c:idx val="1"/>
              <c:layout>
                <c:manualLayout>
                  <c:x val="-1.2539182889577356E-2"/>
                  <c:y val="-4.4345898004434565E-2"/>
                </c:manualLayout>
              </c:layout>
              <c:showLegendKey val="0"/>
              <c:showVal val="1"/>
              <c:showCatName val="0"/>
              <c:showSerName val="0"/>
              <c:showPercent val="0"/>
              <c:showBubbleSize val="0"/>
            </c:dLbl>
            <c:dLbl>
              <c:idx val="2"/>
              <c:layout>
                <c:manualLayout>
                  <c:x val="-6.2699205572005158E-3"/>
                  <c:y val="-5.6171936379349502E-2"/>
                </c:manualLayout>
              </c:layout>
              <c:showLegendKey val="0"/>
              <c:showVal val="1"/>
              <c:showCatName val="0"/>
              <c:showSerName val="0"/>
              <c:showPercent val="0"/>
              <c:showBubbleSize val="0"/>
            </c:dLbl>
            <c:dLbl>
              <c:idx val="3"/>
              <c:layout>
                <c:manualLayout>
                  <c:x val="-8.3594552597182365E-3"/>
                  <c:y val="-5.3215077605321535E-2"/>
                </c:manualLayout>
              </c:layout>
              <c:showLegendKey val="0"/>
              <c:showVal val="1"/>
              <c:showCatName val="0"/>
              <c:showSerName val="0"/>
              <c:showPercent val="0"/>
              <c:showBubbleSize val="0"/>
            </c:dLbl>
            <c:dLbl>
              <c:idx val="4"/>
              <c:layout>
                <c:manualLayout>
                  <c:x val="-8.3594552597182365E-3"/>
                  <c:y val="-4.4346130791300731E-2"/>
                </c:manualLayout>
              </c:layout>
              <c:showLegendKey val="0"/>
              <c:showVal val="1"/>
              <c:showCatName val="0"/>
              <c:showSerName val="0"/>
              <c:showPercent val="0"/>
              <c:showBubbleSize val="0"/>
            </c:dLbl>
            <c:dLbl>
              <c:idx val="5"/>
              <c:layout>
                <c:manualLayout>
                  <c:x val="-2.0898638149295591E-3"/>
                  <c:y val="-5.0258684405025893E-2"/>
                </c:manualLayout>
              </c:layout>
              <c:showLegendKey val="0"/>
              <c:showVal val="1"/>
              <c:showCatName val="0"/>
              <c:showSerName val="0"/>
              <c:showPercent val="0"/>
              <c:showBubbleSize val="0"/>
            </c:dLbl>
            <c:dLbl>
              <c:idx val="6"/>
              <c:layout>
                <c:manualLayout>
                  <c:x val="-6.2695914447886778E-3"/>
                  <c:y val="-5.321507760532148E-2"/>
                </c:manualLayout>
              </c:layout>
              <c:showLegendKey val="0"/>
              <c:showVal val="1"/>
              <c:showCatName val="0"/>
              <c:showSerName val="0"/>
              <c:showPercent val="0"/>
              <c:showBubbleSize val="0"/>
            </c:dLbl>
            <c:dLbl>
              <c:idx val="7"/>
              <c:layout>
                <c:manualLayout>
                  <c:x val="-1.4629211260712737E-2"/>
                  <c:y val="-2.9563932002956393E-3"/>
                </c:manualLayout>
              </c:layout>
              <c:showLegendKey val="0"/>
              <c:showVal val="1"/>
              <c:showCatName val="0"/>
              <c:showSerName val="0"/>
              <c:showPercent val="0"/>
              <c:showBubbleSize val="0"/>
            </c:dLbl>
            <c:txPr>
              <a:bodyPr/>
              <a:lstStyle/>
              <a:p>
                <a:pPr>
                  <a:defRPr sz="1200" b="1">
                    <a:solidFill>
                      <a:srgbClr val="FF0000"/>
                    </a:solidFill>
                  </a:defRPr>
                </a:pPr>
                <a:endParaRPr lang="ru-RU"/>
              </a:p>
            </c:txPr>
            <c:showLegendKey val="0"/>
            <c:showVal val="1"/>
            <c:showCatName val="0"/>
            <c:showSerName val="0"/>
            <c:showPercent val="0"/>
            <c:showBubbleSize val="0"/>
            <c:showLeaderLines val="0"/>
          </c:dLbls>
          <c:cat>
            <c:strRef>
              <c:f>'[Структура конеч цен_Прочие потреб 1ЦК.xlsx]декабрь 2024'!$Y$4:$Y$11</c:f>
              <c:strCache>
                <c:ptCount val="8"/>
                <c:pt idx="0">
                  <c:v>декабрь 2017г.</c:v>
                </c:pt>
                <c:pt idx="1">
                  <c:v>декабрь 2018 г.</c:v>
                </c:pt>
                <c:pt idx="2">
                  <c:v>декабрь 2019 г.</c:v>
                </c:pt>
                <c:pt idx="3">
                  <c:v>декабрь 2020 г.</c:v>
                </c:pt>
                <c:pt idx="4">
                  <c:v>декабрь 2021 г.</c:v>
                </c:pt>
                <c:pt idx="5">
                  <c:v>ноябрь 2022 г.</c:v>
                </c:pt>
                <c:pt idx="6">
                  <c:v>декабрь 2023 г.</c:v>
                </c:pt>
                <c:pt idx="7">
                  <c:v>декабрь 2024 г.</c:v>
                </c:pt>
              </c:strCache>
            </c:strRef>
          </c:cat>
          <c:val>
            <c:numRef>
              <c:f>'[Структура конеч цен_Прочие потреб 1ЦК.xlsx]декабрь 2024'!$AC$4:$AC$11</c:f>
              <c:numCache>
                <c:formatCode>0.0%</c:formatCode>
                <c:ptCount val="8"/>
                <c:pt idx="0">
                  <c:v>2.0591482365783738E-2</c:v>
                </c:pt>
                <c:pt idx="1">
                  <c:v>2.3128405185340338E-2</c:v>
                </c:pt>
                <c:pt idx="2">
                  <c:v>4.6325740775520582E-2</c:v>
                </c:pt>
                <c:pt idx="3">
                  <c:v>8.0769787721939379E-2</c:v>
                </c:pt>
                <c:pt idx="4">
                  <c:v>5.327467239098567E-2</c:v>
                </c:pt>
                <c:pt idx="5">
                  <c:v>5.713661501687526E-2</c:v>
                </c:pt>
                <c:pt idx="6">
                  <c:v>6.4555155494153874E-2</c:v>
                </c:pt>
                <c:pt idx="7">
                  <c:v>5.6402295616435082E-2</c:v>
                </c:pt>
              </c:numCache>
            </c:numRef>
          </c:val>
        </c:ser>
        <c:ser>
          <c:idx val="4"/>
          <c:order val="4"/>
          <c:tx>
            <c:strRef>
              <c:f>'[Структура конеч цен_Прочие потреб 1ЦК.xlsx]декабрь 2024'!$AD$3</c:f>
              <c:strCache>
                <c:ptCount val="1"/>
                <c:pt idx="0">
                  <c:v>Плата за услуги по управл. изм. режима потребл. (с 2024 г.)</c:v>
                </c:pt>
              </c:strCache>
            </c:strRef>
          </c:tx>
          <c:invertIfNegative val="0"/>
          <c:dLbls>
            <c:dLbl>
              <c:idx val="0"/>
              <c:delete val="1"/>
            </c:dLbl>
            <c:dLbl>
              <c:idx val="1"/>
              <c:delete val="1"/>
            </c:dLbl>
            <c:dLbl>
              <c:idx val="2"/>
              <c:delete val="1"/>
            </c:dLbl>
            <c:dLbl>
              <c:idx val="3"/>
              <c:delete val="1"/>
            </c:dLbl>
            <c:dLbl>
              <c:idx val="4"/>
              <c:delete val="1"/>
            </c:dLbl>
            <c:dLbl>
              <c:idx val="5"/>
              <c:delete val="1"/>
            </c:dLbl>
            <c:dLbl>
              <c:idx val="6"/>
              <c:delete val="1"/>
            </c:dLbl>
            <c:dLbl>
              <c:idx val="7"/>
              <c:layout>
                <c:manualLayout>
                  <c:x val="1.4629046704506914E-2"/>
                  <c:y val="-2.6607538802660754E-2"/>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2024'!$Y$4:$Y$11</c:f>
              <c:strCache>
                <c:ptCount val="8"/>
                <c:pt idx="0">
                  <c:v>декабрь 2017г.</c:v>
                </c:pt>
                <c:pt idx="1">
                  <c:v>декабрь 2018 г.</c:v>
                </c:pt>
                <c:pt idx="2">
                  <c:v>декабрь 2019 г.</c:v>
                </c:pt>
                <c:pt idx="3">
                  <c:v>декабрь 2020 г.</c:v>
                </c:pt>
                <c:pt idx="4">
                  <c:v>декабрь 2021 г.</c:v>
                </c:pt>
                <c:pt idx="5">
                  <c:v>ноябрь 2022 г.</c:v>
                </c:pt>
                <c:pt idx="6">
                  <c:v>декабрь 2023 г.</c:v>
                </c:pt>
                <c:pt idx="7">
                  <c:v>декабрь 2024 г.</c:v>
                </c:pt>
              </c:strCache>
            </c:strRef>
          </c:cat>
          <c:val>
            <c:numRef>
              <c:f>'[Структура конеч цен_Прочие потреб 1ЦК.xlsx]декабрь 2024'!$AD$4:$AD$11</c:f>
              <c:numCache>
                <c:formatCode>0%</c:formatCode>
                <c:ptCount val="8"/>
                <c:pt idx="0">
                  <c:v>0</c:v>
                </c:pt>
                <c:pt idx="1">
                  <c:v>0</c:v>
                </c:pt>
                <c:pt idx="2">
                  <c:v>0</c:v>
                </c:pt>
                <c:pt idx="3">
                  <c:v>0</c:v>
                </c:pt>
                <c:pt idx="4">
                  <c:v>0</c:v>
                </c:pt>
                <c:pt idx="5">
                  <c:v>0</c:v>
                </c:pt>
                <c:pt idx="6">
                  <c:v>0</c:v>
                </c:pt>
                <c:pt idx="7" formatCode="0.0%">
                  <c:v>1.1186030089251591E-3</c:v>
                </c:pt>
              </c:numCache>
            </c:numRef>
          </c:val>
        </c:ser>
        <c:dLbls>
          <c:showLegendKey val="0"/>
          <c:showVal val="0"/>
          <c:showCatName val="0"/>
          <c:showSerName val="0"/>
          <c:showPercent val="0"/>
          <c:showBubbleSize val="0"/>
        </c:dLbls>
        <c:gapWidth val="150"/>
        <c:shape val="box"/>
        <c:axId val="223742464"/>
        <c:axId val="224152384"/>
        <c:axId val="0"/>
      </c:bar3DChart>
      <c:catAx>
        <c:axId val="223742464"/>
        <c:scaling>
          <c:orientation val="minMax"/>
        </c:scaling>
        <c:delete val="0"/>
        <c:axPos val="b"/>
        <c:numFmt formatCode="@" sourceLinked="1"/>
        <c:majorTickMark val="out"/>
        <c:minorTickMark val="none"/>
        <c:tickLblPos val="nextTo"/>
        <c:txPr>
          <a:bodyPr/>
          <a:lstStyle/>
          <a:p>
            <a:pPr>
              <a:defRPr sz="900"/>
            </a:pPr>
            <a:endParaRPr lang="ru-RU"/>
          </a:p>
        </c:txPr>
        <c:crossAx val="224152384"/>
        <c:crosses val="autoZero"/>
        <c:auto val="1"/>
        <c:lblAlgn val="ctr"/>
        <c:lblOffset val="100"/>
        <c:noMultiLvlLbl val="0"/>
      </c:catAx>
      <c:valAx>
        <c:axId val="224152384"/>
        <c:scaling>
          <c:orientation val="minMax"/>
        </c:scaling>
        <c:delete val="0"/>
        <c:axPos val="l"/>
        <c:majorGridlines>
          <c:spPr>
            <a:ln>
              <a:noFill/>
            </a:ln>
          </c:spPr>
        </c:majorGridlines>
        <c:numFmt formatCode="0%" sourceLinked="1"/>
        <c:majorTickMark val="out"/>
        <c:minorTickMark val="none"/>
        <c:tickLblPos val="nextTo"/>
        <c:crossAx val="223742464"/>
        <c:crosses val="autoZero"/>
        <c:crossBetween val="between"/>
      </c:valAx>
    </c:plotArea>
    <c:legend>
      <c:legendPos val="r"/>
      <c:layout>
        <c:manualLayout>
          <c:xMode val="edge"/>
          <c:yMode val="edge"/>
          <c:x val="0.78227584852996179"/>
          <c:y val="0.17280607108146959"/>
          <c:w val="0.21772415147003815"/>
          <c:h val="0.63511939056398437"/>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txPr>
    <a:bodyPr/>
    <a:lstStyle/>
    <a:p>
      <a:pPr>
        <a:defRPr baseline="0"/>
      </a:pPr>
      <a:endParaRPr lang="ru-RU"/>
    </a:p>
  </c:txPr>
  <c:externalData r:id="rId2">
    <c:autoUpdate val="0"/>
  </c:externalData>
  <c:userShapes r:id="rId3"/>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20193739588838566"/>
          <c:y val="0.22591011243392811"/>
          <c:w val="0.55445978615011193"/>
          <c:h val="0.57355929077505519"/>
        </c:manualLayout>
      </c:layout>
      <c:lineChart>
        <c:grouping val="standard"/>
        <c:varyColors val="0"/>
        <c:ser>
          <c:idx val="1"/>
          <c:order val="0"/>
          <c:tx>
            <c:strRef>
              <c:f>'[Диаграмма в Microsoft Word]Лист1'!$A$5</c:f>
              <c:strCache>
                <c:ptCount val="1"/>
                <c:pt idx="0">
                  <c:v>Санкт-Петербург</c:v>
                </c:pt>
              </c:strCache>
            </c:strRef>
          </c:tx>
          <c:marker>
            <c:symbol val="none"/>
          </c:marker>
          <c:cat>
            <c:numRef>
              <c:f>'[Диаграмма в Microsoft Word]Лист1'!$K$18:$O$18</c:f>
              <c:numCache>
                <c:formatCode>General</c:formatCode>
                <c:ptCount val="5"/>
                <c:pt idx="0">
                  <c:v>2021</c:v>
                </c:pt>
                <c:pt idx="1">
                  <c:v>2022</c:v>
                </c:pt>
                <c:pt idx="2">
                  <c:v>2023</c:v>
                </c:pt>
                <c:pt idx="3">
                  <c:v>2024</c:v>
                </c:pt>
                <c:pt idx="4">
                  <c:v>2025</c:v>
                </c:pt>
              </c:numCache>
            </c:numRef>
          </c:cat>
          <c:val>
            <c:numRef>
              <c:f>'[Диаграмма в Microsoft Word]Лист1'!$K$7:$O$7</c:f>
              <c:numCache>
                <c:formatCode>#,##0</c:formatCode>
                <c:ptCount val="5"/>
                <c:pt idx="0" formatCode="General">
                  <c:v>43606.52</c:v>
                </c:pt>
                <c:pt idx="1">
                  <c:v>43403.47</c:v>
                </c:pt>
                <c:pt idx="2" formatCode="General">
                  <c:v>47235.18</c:v>
                </c:pt>
                <c:pt idx="3" formatCode="General">
                  <c:v>48666.71</c:v>
                </c:pt>
                <c:pt idx="4" formatCode="General">
                  <c:v>48542.41</c:v>
                </c:pt>
              </c:numCache>
            </c:numRef>
          </c:val>
          <c:smooth val="1"/>
        </c:ser>
        <c:ser>
          <c:idx val="2"/>
          <c:order val="1"/>
          <c:tx>
            <c:strRef>
              <c:f>'[Диаграмма в Microsoft Word]Лист1'!$A$9</c:f>
              <c:strCache>
                <c:ptCount val="1"/>
                <c:pt idx="0">
                  <c:v>Новосибирск</c:v>
                </c:pt>
              </c:strCache>
            </c:strRef>
          </c:tx>
          <c:marker>
            <c:symbol val="none"/>
          </c:marker>
          <c:cat>
            <c:numRef>
              <c:f>'[Диаграмма в Microsoft Word]Лист1'!$K$18:$O$18</c:f>
              <c:numCache>
                <c:formatCode>General</c:formatCode>
                <c:ptCount val="5"/>
                <c:pt idx="0">
                  <c:v>2021</c:v>
                </c:pt>
                <c:pt idx="1">
                  <c:v>2022</c:v>
                </c:pt>
                <c:pt idx="2">
                  <c:v>2023</c:v>
                </c:pt>
                <c:pt idx="3">
                  <c:v>2024</c:v>
                </c:pt>
                <c:pt idx="4">
                  <c:v>2025</c:v>
                </c:pt>
              </c:numCache>
            </c:numRef>
          </c:cat>
          <c:val>
            <c:numRef>
              <c:f>'[Диаграмма в Microsoft Word]Лист1'!$K$11:$O$11</c:f>
              <c:numCache>
                <c:formatCode>General</c:formatCode>
                <c:ptCount val="5"/>
                <c:pt idx="0">
                  <c:v>84796</c:v>
                </c:pt>
                <c:pt idx="1">
                  <c:v>89857</c:v>
                </c:pt>
                <c:pt idx="2">
                  <c:v>74375</c:v>
                </c:pt>
                <c:pt idx="3">
                  <c:v>76546</c:v>
                </c:pt>
                <c:pt idx="4">
                  <c:v>81471</c:v>
                </c:pt>
              </c:numCache>
            </c:numRef>
          </c:val>
          <c:smooth val="1"/>
        </c:ser>
        <c:ser>
          <c:idx val="4"/>
          <c:order val="2"/>
          <c:tx>
            <c:v>Нижний-Новгород</c:v>
          </c:tx>
          <c:marker>
            <c:symbol val="none"/>
          </c:marker>
          <c:cat>
            <c:numRef>
              <c:f>'[Диаграмма в Microsoft Word]Лист1'!$K$18:$O$18</c:f>
              <c:numCache>
                <c:formatCode>General</c:formatCode>
                <c:ptCount val="5"/>
                <c:pt idx="0">
                  <c:v>2021</c:v>
                </c:pt>
                <c:pt idx="1">
                  <c:v>2022</c:v>
                </c:pt>
                <c:pt idx="2">
                  <c:v>2023</c:v>
                </c:pt>
                <c:pt idx="3">
                  <c:v>2024</c:v>
                </c:pt>
                <c:pt idx="4">
                  <c:v>2025</c:v>
                </c:pt>
              </c:numCache>
            </c:numRef>
          </c:cat>
          <c:val>
            <c:numRef>
              <c:f>'[Диаграмма в Microsoft Word]Лист1'!$K$19:$O$19</c:f>
              <c:numCache>
                <c:formatCode>General</c:formatCode>
                <c:ptCount val="5"/>
                <c:pt idx="0">
                  <c:v>5848.37</c:v>
                </c:pt>
                <c:pt idx="1">
                  <c:v>6101.33</c:v>
                </c:pt>
                <c:pt idx="2">
                  <c:v>11514.09</c:v>
                </c:pt>
                <c:pt idx="3">
                  <c:v>18042.759999999998</c:v>
                </c:pt>
                <c:pt idx="4">
                  <c:v>20516.04</c:v>
                </c:pt>
              </c:numCache>
            </c:numRef>
          </c:val>
          <c:smooth val="1"/>
        </c:ser>
        <c:dLbls>
          <c:showLegendKey val="0"/>
          <c:showVal val="0"/>
          <c:showCatName val="0"/>
          <c:showSerName val="0"/>
          <c:showPercent val="0"/>
          <c:showBubbleSize val="0"/>
        </c:dLbls>
        <c:marker val="1"/>
        <c:smooth val="0"/>
        <c:axId val="224341504"/>
        <c:axId val="224155264"/>
      </c:lineChart>
      <c:catAx>
        <c:axId val="224341504"/>
        <c:scaling>
          <c:orientation val="minMax"/>
        </c:scaling>
        <c:delete val="0"/>
        <c:axPos val="b"/>
        <c:numFmt formatCode="General" sourceLinked="1"/>
        <c:majorTickMark val="out"/>
        <c:minorTickMark val="none"/>
        <c:tickLblPos val="nextTo"/>
        <c:crossAx val="224155264"/>
        <c:crosses val="autoZero"/>
        <c:auto val="1"/>
        <c:lblAlgn val="ctr"/>
        <c:lblOffset val="100"/>
        <c:noMultiLvlLbl val="0"/>
      </c:catAx>
      <c:valAx>
        <c:axId val="224155264"/>
        <c:scaling>
          <c:orientation val="minMax"/>
        </c:scaling>
        <c:delete val="0"/>
        <c:axPos val="l"/>
        <c:majorGridlines/>
        <c:numFmt formatCode="General" sourceLinked="1"/>
        <c:majorTickMark val="out"/>
        <c:minorTickMark val="none"/>
        <c:tickLblPos val="nextTo"/>
        <c:crossAx val="224341504"/>
        <c:crosses val="autoZero"/>
        <c:crossBetween val="between"/>
      </c:valAx>
    </c:plotArea>
    <c:legend>
      <c:legendPos val="r"/>
      <c:layout>
        <c:manualLayout>
          <c:xMode val="edge"/>
          <c:yMode val="edge"/>
          <c:x val="0.79734405196153002"/>
          <c:y val="0.22607441636483797"/>
          <c:w val="0.19251996795750084"/>
          <c:h val="0.38514618415053353"/>
        </c:manualLayout>
      </c:layout>
      <c:overlay val="0"/>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defRPr/>
            </a:pPr>
            <a:r>
              <a:rPr lang="ru-RU" sz="1200">
                <a:latin typeface="Times New Roman"/>
                <a:cs typeface="Times New Roman"/>
              </a:rPr>
              <a:t>Динамика изменения объёмов реализации питьевой воды                МУП г.Новосибирска "ГОРВОДОКАНАЛ" за период 2015-2025 годы</a:t>
            </a:r>
            <a:endParaRPr lang="ru-RU"/>
          </a:p>
        </c:rich>
      </c:tx>
      <c:overlay val="0"/>
    </c:title>
    <c:autoTitleDeleted val="0"/>
    <c:plotArea>
      <c:layout>
        <c:manualLayout>
          <c:layoutTarget val="inner"/>
          <c:xMode val="edge"/>
          <c:yMode val="edge"/>
          <c:x val="0.214422"/>
          <c:y val="0.21462500000000001"/>
          <c:w val="0.66432100000000005"/>
          <c:h val="0.62182099999999996"/>
        </c:manualLayout>
      </c:layout>
      <c:lineChart>
        <c:grouping val="standard"/>
        <c:varyColors val="0"/>
        <c:ser>
          <c:idx val="0"/>
          <c:order val="0"/>
          <c:tx>
            <c:v>Факт</c:v>
          </c:tx>
          <c:cat>
            <c:numRef>
              <c:f>Данные!$C$4:$M$4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Данные!$C$6:$M$6</c:f>
              <c:numCache>
                <c:formatCode>#,##0.00</c:formatCode>
                <c:ptCount val="11"/>
                <c:pt idx="0">
                  <c:v>160238.65</c:v>
                </c:pt>
                <c:pt idx="1">
                  <c:v>154708.4</c:v>
                </c:pt>
                <c:pt idx="2">
                  <c:v>148639</c:v>
                </c:pt>
                <c:pt idx="3">
                  <c:v>148906.13</c:v>
                </c:pt>
                <c:pt idx="4">
                  <c:v>148118.15</c:v>
                </c:pt>
                <c:pt idx="5">
                  <c:v>147491.35999999999</c:v>
                </c:pt>
                <c:pt idx="6">
                  <c:v>147795.24799999999</c:v>
                </c:pt>
                <c:pt idx="7">
                  <c:v>147489.31</c:v>
                </c:pt>
                <c:pt idx="8">
                  <c:v>150630.76999999999</c:v>
                </c:pt>
              </c:numCache>
            </c:numRef>
          </c:val>
          <c:smooth val="0"/>
        </c:ser>
        <c:ser>
          <c:idx val="1"/>
          <c:order val="1"/>
          <c:tx>
            <c:v>План</c:v>
          </c:tx>
          <c:cat>
            <c:numRef>
              <c:f>Данные!$C$4:$M$4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Данные!$C$5:$M$5</c:f>
              <c:numCache>
                <c:formatCode>#,##0.00</c:formatCode>
                <c:ptCount val="11"/>
                <c:pt idx="0">
                  <c:v>183662</c:v>
                </c:pt>
                <c:pt idx="1">
                  <c:v>174478.89999999997</c:v>
                </c:pt>
                <c:pt idx="2">
                  <c:v>160238.65</c:v>
                </c:pt>
                <c:pt idx="3">
                  <c:v>160238.65</c:v>
                </c:pt>
                <c:pt idx="4">
                  <c:v>138033.21712242428</c:v>
                </c:pt>
                <c:pt idx="5">
                  <c:v>140068.0829039682</c:v>
                </c:pt>
                <c:pt idx="6">
                  <c:v>142455.96193969349</c:v>
                </c:pt>
                <c:pt idx="7">
                  <c:v>145521.59666315038</c:v>
                </c:pt>
                <c:pt idx="8">
                  <c:v>146085.79495534272</c:v>
                </c:pt>
                <c:pt idx="9">
                  <c:v>147489.31</c:v>
                </c:pt>
                <c:pt idx="10">
                  <c:v>150630.76999999999</c:v>
                </c:pt>
              </c:numCache>
            </c:numRef>
          </c:val>
          <c:smooth val="0"/>
        </c:ser>
        <c:dLbls>
          <c:showLegendKey val="0"/>
          <c:showVal val="0"/>
          <c:showCatName val="0"/>
          <c:showSerName val="0"/>
          <c:showPercent val="0"/>
          <c:showBubbleSize val="0"/>
        </c:dLbls>
        <c:marker val="1"/>
        <c:smooth val="0"/>
        <c:axId val="224339456"/>
        <c:axId val="224151808"/>
      </c:lineChart>
      <c:catAx>
        <c:axId val="224339456"/>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rot="-5400000" vert="horz"/>
          <a:lstStyle/>
          <a:p>
            <a:pPr>
              <a:defRPr sz="1100">
                <a:latin typeface="Times New Roman"/>
                <a:cs typeface="Times New Roman"/>
              </a:defRPr>
            </a:pPr>
            <a:endParaRPr lang="ru-RU"/>
          </a:p>
        </c:txPr>
        <c:crossAx val="224151808"/>
        <c:crosses val="autoZero"/>
        <c:auto val="1"/>
        <c:lblAlgn val="ctr"/>
        <c:lblOffset val="100"/>
        <c:noMultiLvlLbl val="0"/>
      </c:catAx>
      <c:valAx>
        <c:axId val="224151808"/>
        <c:scaling>
          <c:orientation val="minMax"/>
          <c:max val="190000"/>
          <c:min val="130000"/>
        </c:scaling>
        <c:delete val="0"/>
        <c:axPos val="l"/>
        <c:majorGridlines/>
        <c:title>
          <c:tx>
            <c:rich>
              <a:bodyPr rot="-5400000" vert="horz"/>
              <a:lstStyle/>
              <a:p>
                <a:pPr>
                  <a:defRPr sz="1100">
                    <a:latin typeface="Times New Roman"/>
                    <a:cs typeface="Times New Roman"/>
                  </a:defRPr>
                </a:pPr>
                <a:r>
                  <a:rPr lang="ru-RU" sz="1100">
                    <a:latin typeface="Times New Roman"/>
                    <a:cs typeface="Times New Roman"/>
                  </a:rPr>
                  <a:t>Объём реализации, тыс. куб. м.</a:t>
                </a:r>
                <a:endParaRPr lang="ru-RU"/>
              </a:p>
            </c:rich>
          </c:tx>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4339456"/>
        <c:crosses val="autoZero"/>
        <c:crossBetween val="between"/>
        <c:majorUnit val="10000"/>
      </c:valAx>
    </c:plotArea>
    <c:legend>
      <c:legendPos val="r"/>
      <c:overlay val="0"/>
      <c:txPr>
        <a:bodyPr/>
        <a:lstStyle/>
        <a:p>
          <a:pPr>
            <a:defRPr sz="1100">
              <a:latin typeface="Times New Roman"/>
              <a:cs typeface="Times New Roman"/>
            </a:defRPr>
          </a:pPr>
          <a:endParaRPr lang="ru-RU"/>
        </a:p>
      </c:txPr>
    </c:legend>
    <c:plotVisOnly val="1"/>
    <c:dispBlanksAs val="gap"/>
    <c:showDLblsOverMax val="0"/>
  </c:chart>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defRPr/>
            </a:pPr>
            <a:r>
              <a:rPr lang="ru-RU" sz="1200">
                <a:latin typeface="Times New Roman"/>
                <a:cs typeface="Times New Roman"/>
              </a:rPr>
              <a:t>Динамика изменения объёмов реализации сточных вод                          МУП г.Новосибирска "ГОРВОДОКАНАЛ" за период 2015-2025 годы</a:t>
            </a:r>
            <a:endParaRPr lang="ru-RU"/>
          </a:p>
        </c:rich>
      </c:tx>
      <c:overlay val="0"/>
    </c:title>
    <c:autoTitleDeleted val="0"/>
    <c:plotArea>
      <c:layout>
        <c:manualLayout>
          <c:layoutTarget val="inner"/>
          <c:xMode val="edge"/>
          <c:yMode val="edge"/>
          <c:x val="0.19304399999999999"/>
          <c:y val="0.184141"/>
          <c:w val="0.65645699999999996"/>
          <c:h val="0.625023"/>
        </c:manualLayout>
      </c:layout>
      <c:lineChart>
        <c:grouping val="standard"/>
        <c:varyColors val="0"/>
        <c:ser>
          <c:idx val="0"/>
          <c:order val="0"/>
          <c:tx>
            <c:v>Факт</c:v>
          </c:tx>
          <c:cat>
            <c:numRef>
              <c:f>Данные!$C$11:$M$11</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Данные!$C$13:$K$13</c:f>
              <c:numCache>
                <c:formatCode>#,##0.00</c:formatCode>
                <c:ptCount val="9"/>
                <c:pt idx="0">
                  <c:v>141593.84999999998</c:v>
                </c:pt>
                <c:pt idx="1">
                  <c:v>139994.5</c:v>
                </c:pt>
                <c:pt idx="2">
                  <c:v>138564</c:v>
                </c:pt>
                <c:pt idx="3">
                  <c:v>140790.72999999998</c:v>
                </c:pt>
                <c:pt idx="4">
                  <c:v>142593.21</c:v>
                </c:pt>
                <c:pt idx="5">
                  <c:v>140666.07999999999</c:v>
                </c:pt>
                <c:pt idx="6">
                  <c:v>141940.60999999999</c:v>
                </c:pt>
                <c:pt idx="7">
                  <c:v>141540.47100000002</c:v>
                </c:pt>
                <c:pt idx="8">
                  <c:v>144212.54999999999</c:v>
                </c:pt>
              </c:numCache>
            </c:numRef>
          </c:val>
          <c:smooth val="0"/>
        </c:ser>
        <c:ser>
          <c:idx val="1"/>
          <c:order val="1"/>
          <c:tx>
            <c:v>План</c:v>
          </c:tx>
          <c:cat>
            <c:numRef>
              <c:f>Данные!$C$11:$M$11</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Данные!$C$12:$M$12</c:f>
              <c:numCache>
                <c:formatCode>#,##0.00</c:formatCode>
                <c:ptCount val="11"/>
                <c:pt idx="0">
                  <c:v>171120</c:v>
                </c:pt>
                <c:pt idx="1">
                  <c:v>171120</c:v>
                </c:pt>
                <c:pt idx="2">
                  <c:v>141593.84999999998</c:v>
                </c:pt>
                <c:pt idx="3">
                  <c:v>141593.84999999998</c:v>
                </c:pt>
                <c:pt idx="4">
                  <c:v>138564</c:v>
                </c:pt>
                <c:pt idx="5">
                  <c:v>138938.77027100459</c:v>
                </c:pt>
                <c:pt idx="6">
                  <c:v>143338.89000000001</c:v>
                </c:pt>
                <c:pt idx="7">
                  <c:v>141057.97174950136</c:v>
                </c:pt>
                <c:pt idx="8">
                  <c:v>141798.7048751525</c:v>
                </c:pt>
                <c:pt idx="9">
                  <c:v>141540.47100000002</c:v>
                </c:pt>
                <c:pt idx="10">
                  <c:v>144212.54999999999</c:v>
                </c:pt>
              </c:numCache>
            </c:numRef>
          </c:val>
          <c:smooth val="0"/>
        </c:ser>
        <c:dLbls>
          <c:showLegendKey val="0"/>
          <c:showVal val="0"/>
          <c:showCatName val="0"/>
          <c:showSerName val="0"/>
          <c:showPercent val="0"/>
          <c:showBubbleSize val="0"/>
        </c:dLbls>
        <c:marker val="1"/>
        <c:smooth val="0"/>
        <c:axId val="224340480"/>
        <c:axId val="224156992"/>
      </c:lineChart>
      <c:catAx>
        <c:axId val="224340480"/>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rot="-5400000" vert="horz"/>
          <a:lstStyle/>
          <a:p>
            <a:pPr>
              <a:defRPr sz="1100">
                <a:latin typeface="Times New Roman"/>
                <a:cs typeface="Times New Roman"/>
              </a:defRPr>
            </a:pPr>
            <a:endParaRPr lang="ru-RU"/>
          </a:p>
        </c:txPr>
        <c:crossAx val="224156992"/>
        <c:crosses val="autoZero"/>
        <c:auto val="1"/>
        <c:lblAlgn val="ctr"/>
        <c:lblOffset val="100"/>
        <c:noMultiLvlLbl val="0"/>
      </c:catAx>
      <c:valAx>
        <c:axId val="224156992"/>
        <c:scaling>
          <c:orientation val="minMax"/>
          <c:max val="180000"/>
          <c:min val="130000"/>
        </c:scaling>
        <c:delete val="0"/>
        <c:axPos val="l"/>
        <c:majorGridlines/>
        <c:title>
          <c:tx>
            <c:rich>
              <a:bodyPr rot="-5400000" vert="horz"/>
              <a:lstStyle/>
              <a:p>
                <a:pPr>
                  <a:defRPr sz="1100">
                    <a:latin typeface="Times New Roman"/>
                    <a:cs typeface="Times New Roman"/>
                  </a:defRPr>
                </a:pPr>
                <a:r>
                  <a:rPr lang="ru-RU" sz="1100">
                    <a:latin typeface="Times New Roman"/>
                    <a:cs typeface="Times New Roman"/>
                  </a:rPr>
                  <a:t>Объём реализации, тыс. куб. м.</a:t>
                </a:r>
                <a:endParaRPr lang="ru-RU"/>
              </a:p>
            </c:rich>
          </c:tx>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4340480"/>
        <c:crosses val="autoZero"/>
        <c:crossBetween val="between"/>
        <c:majorUnit val="10000"/>
      </c:valAx>
    </c:plotArea>
    <c:legend>
      <c:legendPos val="r"/>
      <c:overlay val="0"/>
      <c:txPr>
        <a:bodyPr/>
        <a:lstStyle/>
        <a:p>
          <a:pPr>
            <a:defRPr sz="1100">
              <a:latin typeface="Times New Roman"/>
              <a:cs typeface="Times New Roman"/>
            </a:defRPr>
          </a:pPr>
          <a:endParaRPr lang="ru-RU"/>
        </a:p>
      </c:txPr>
    </c:legend>
    <c:plotVisOnly val="1"/>
    <c:dispBlanksAs val="gap"/>
    <c:showDLblsOverMax val="0"/>
  </c:chart>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hart>
    <c:title>
      <c:tx>
        <c:rich>
          <a:bodyPr/>
          <a:lstStyle/>
          <a:p>
            <a:pPr>
              <a:defRPr sz="1100">
                <a:latin typeface="Times New Roman"/>
                <a:cs typeface="Times New Roman"/>
              </a:defRPr>
            </a:pPr>
            <a:r>
              <a:rPr lang="ru-RU" sz="1200">
                <a:latin typeface="Times New Roman"/>
                <a:cs typeface="Times New Roman"/>
              </a:rPr>
              <a:t>Динамика изменения тарифов на питьевую воду для</a:t>
            </a:r>
            <a:endParaRPr lang="ru-RU"/>
          </a:p>
          <a:p>
            <a:pPr>
              <a:defRPr sz="1100">
                <a:latin typeface="Times New Roman"/>
                <a:cs typeface="Times New Roman"/>
              </a:defRPr>
            </a:pPr>
            <a:r>
              <a:rPr lang="ru-RU" sz="1200">
                <a:latin typeface="Times New Roman"/>
                <a:cs typeface="Times New Roman"/>
              </a:rPr>
              <a:t>МУП г.Новосибирска "ГОРВОДОКАНАЛ"</a:t>
            </a:r>
            <a:endParaRPr lang="ru-RU"/>
          </a:p>
          <a:p>
            <a:pPr>
              <a:defRPr sz="1100">
                <a:latin typeface="Times New Roman"/>
                <a:cs typeface="Times New Roman"/>
              </a:defRPr>
            </a:pPr>
            <a:r>
              <a:rPr lang="ru-RU" sz="1200">
                <a:latin typeface="Times New Roman"/>
                <a:cs typeface="Times New Roman"/>
              </a:rPr>
              <a:t> за период 2015-2025 годы</a:t>
            </a:r>
            <a:endParaRPr lang="ru-RU"/>
          </a:p>
        </c:rich>
      </c:tx>
      <c:layout>
        <c:manualLayout>
          <c:xMode val="edge"/>
          <c:yMode val="edge"/>
          <c:x val="0.182472"/>
          <c:y val="2.3862999999999999E-2"/>
        </c:manualLayout>
      </c:layout>
      <c:overlay val="0"/>
    </c:title>
    <c:autoTitleDeleted val="0"/>
    <c:plotArea>
      <c:layout>
        <c:manualLayout>
          <c:layoutTarget val="inner"/>
          <c:xMode val="edge"/>
          <c:yMode val="edge"/>
          <c:x val="6.2972E-2"/>
          <c:y val="0.20955499999999999"/>
          <c:w val="0.76144100000000003"/>
          <c:h val="0.63597099999999995"/>
        </c:manualLayout>
      </c:layout>
      <c:barChart>
        <c:barDir val="col"/>
        <c:grouping val="clustered"/>
        <c:varyColors val="0"/>
        <c:ser>
          <c:idx val="1"/>
          <c:order val="0"/>
          <c:tx>
            <c:strRef>
              <c:f>Данные!$B$20</c:f>
              <c:strCache>
                <c:ptCount val="1"/>
                <c:pt idx="0">
                  <c:v>Размер тарифа, руб/куб. м.</c:v>
                </c:pt>
              </c:strCache>
            </c:strRef>
          </c:tx>
          <c:spPr>
            <a:solidFill>
              <a:schemeClr val="accent5">
                <a:lumMod val="40000"/>
                <a:lumOff val="60000"/>
              </a:schemeClr>
            </a:solidFill>
            <a:ln w="25400" cap="flat" cmpd="sng" algn="ctr">
              <a:solidFill>
                <a:schemeClr val="dk1"/>
              </a:solidFill>
              <a:prstDash val="solid"/>
            </a:ln>
            <a:effectLst/>
          </c:spPr>
          <c:invertIfNegative val="0"/>
          <c:dLbls>
            <c:txPr>
              <a:bodyPr/>
              <a:lstStyle/>
              <a:p>
                <a:pPr>
                  <a:defRPr sz="1000" i="1">
                    <a:latin typeface="Times New Roman"/>
                    <a:cs typeface="Times New Roman"/>
                  </a:defRPr>
                </a:pPr>
                <a:endParaRPr lang="ru-RU"/>
              </a:p>
            </c:txPr>
            <c:dLblPos val="inBase"/>
            <c:showLegendKey val="0"/>
            <c:showVal val="1"/>
            <c:showCatName val="0"/>
            <c:showSerName val="0"/>
            <c:showPercent val="0"/>
            <c:showBubbleSize val="0"/>
            <c:showLeaderLines val="0"/>
          </c:dLbls>
          <c:cat>
            <c:numRef>
              <c:f>Данные!$C$19:$M$19</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Данные!$C$20:$M$20</c:f>
              <c:numCache>
                <c:formatCode>#,##0.00</c:formatCode>
                <c:ptCount val="11"/>
                <c:pt idx="0">
                  <c:v>15.94</c:v>
                </c:pt>
                <c:pt idx="1">
                  <c:v>16.5</c:v>
                </c:pt>
                <c:pt idx="2">
                  <c:v>17.16</c:v>
                </c:pt>
                <c:pt idx="3">
                  <c:v>17.68</c:v>
                </c:pt>
                <c:pt idx="4">
                  <c:v>18.564</c:v>
                </c:pt>
                <c:pt idx="5" formatCode="General">
                  <c:v>19.46</c:v>
                </c:pt>
                <c:pt idx="6" formatCode="General">
                  <c:v>20.350000000000001</c:v>
                </c:pt>
                <c:pt idx="7" formatCode="0.00">
                  <c:v>21.4</c:v>
                </c:pt>
                <c:pt idx="8" formatCode="0.00">
                  <c:v>23.95</c:v>
                </c:pt>
                <c:pt idx="9" formatCode="0.00">
                  <c:v>26.22</c:v>
                </c:pt>
                <c:pt idx="10" formatCode="0.00">
                  <c:v>29.34</c:v>
                </c:pt>
              </c:numCache>
            </c:numRef>
          </c:val>
        </c:ser>
        <c:dLbls>
          <c:showLegendKey val="0"/>
          <c:showVal val="0"/>
          <c:showCatName val="0"/>
          <c:showSerName val="0"/>
          <c:showPercent val="0"/>
          <c:showBubbleSize val="0"/>
        </c:dLbls>
        <c:gapWidth val="0"/>
        <c:axId val="224441856"/>
        <c:axId val="223921280"/>
      </c:barChart>
      <c:catAx>
        <c:axId val="224441856"/>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rot="-5400000" vert="horz"/>
          <a:lstStyle/>
          <a:p>
            <a:pPr>
              <a:defRPr sz="1100">
                <a:latin typeface="Times New Roman"/>
                <a:cs typeface="Times New Roman"/>
              </a:defRPr>
            </a:pPr>
            <a:endParaRPr lang="ru-RU"/>
          </a:p>
        </c:txPr>
        <c:crossAx val="223921280"/>
        <c:crosses val="autoZero"/>
        <c:auto val="1"/>
        <c:lblAlgn val="ctr"/>
        <c:lblOffset val="100"/>
        <c:noMultiLvlLbl val="0"/>
      </c:catAx>
      <c:valAx>
        <c:axId val="223921280"/>
        <c:scaling>
          <c:orientation val="minMax"/>
        </c:scaling>
        <c:delete val="1"/>
        <c:axPos val="l"/>
        <c:majorGridlines/>
        <c:numFmt formatCode="#,##0.00" sourceLinked="1"/>
        <c:majorTickMark val="out"/>
        <c:minorTickMark val="none"/>
        <c:tickLblPos val="nextTo"/>
        <c:crossAx val="224441856"/>
        <c:crosses val="autoZero"/>
        <c:crossBetween val="between"/>
      </c:valAx>
    </c:plotArea>
    <c:legend>
      <c:legendPos val="r"/>
      <c:layout>
        <c:manualLayout>
          <c:xMode val="edge"/>
          <c:yMode val="edge"/>
          <c:x val="0.83857300000000001"/>
          <c:y val="0.52926600000000001"/>
          <c:w val="0.14663899999999999"/>
          <c:h val="0.16811799999999999"/>
        </c:manualLayout>
      </c:layout>
      <c:overlay val="0"/>
      <c:txPr>
        <a:bodyPr/>
        <a:lstStyle/>
        <a:p>
          <a:pPr>
            <a:defRPr sz="1100" i="1">
              <a:latin typeface="Times New Roman"/>
              <a:cs typeface="Times New Roman"/>
            </a:defRPr>
          </a:pPr>
          <a:endParaRPr lang="ru-RU"/>
        </a:p>
      </c:txPr>
    </c:legend>
    <c:plotVisOnly val="1"/>
    <c:dispBlanksAs val="gap"/>
    <c:showDLblsOverMax val="0"/>
  </c:chart>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hart>
    <c:title>
      <c:tx>
        <c:rich>
          <a:bodyPr/>
          <a:lstStyle/>
          <a:p>
            <a:pPr>
              <a:defRPr sz="1200">
                <a:latin typeface="Times New Roman"/>
                <a:cs typeface="Times New Roman"/>
              </a:defRPr>
            </a:pPr>
            <a:r>
              <a:rPr lang="ru-RU" sz="1200">
                <a:latin typeface="Times New Roman"/>
                <a:cs typeface="Times New Roman"/>
              </a:rPr>
              <a:t>Динамика изменения тарифов на водоотведение для</a:t>
            </a:r>
            <a:endParaRPr lang="ru-RU"/>
          </a:p>
          <a:p>
            <a:pPr>
              <a:defRPr sz="1200">
                <a:latin typeface="Times New Roman"/>
                <a:cs typeface="Times New Roman"/>
              </a:defRPr>
            </a:pPr>
            <a:r>
              <a:rPr lang="ru-RU" sz="1200">
                <a:latin typeface="Times New Roman"/>
                <a:cs typeface="Times New Roman"/>
              </a:rPr>
              <a:t>МУП г.Новосибирска "ГОРВОДОКАНАЛ"</a:t>
            </a:r>
            <a:endParaRPr lang="ru-RU"/>
          </a:p>
          <a:p>
            <a:pPr>
              <a:defRPr sz="1200">
                <a:latin typeface="Times New Roman"/>
                <a:cs typeface="Times New Roman"/>
              </a:defRPr>
            </a:pPr>
            <a:r>
              <a:rPr lang="ru-RU" sz="1200">
                <a:latin typeface="Times New Roman"/>
                <a:cs typeface="Times New Roman"/>
              </a:rPr>
              <a:t> за период 2015-2025 годы</a:t>
            </a:r>
            <a:endParaRPr lang="ru-RU"/>
          </a:p>
        </c:rich>
      </c:tx>
      <c:layout>
        <c:manualLayout>
          <c:xMode val="edge"/>
          <c:yMode val="edge"/>
          <c:x val="0.163604"/>
          <c:y val="1.3962E-2"/>
        </c:manualLayout>
      </c:layout>
      <c:overlay val="0"/>
    </c:title>
    <c:autoTitleDeleted val="0"/>
    <c:plotArea>
      <c:layout>
        <c:manualLayout>
          <c:layoutTarget val="inner"/>
          <c:xMode val="edge"/>
          <c:yMode val="edge"/>
          <c:x val="5.8429000000000002E-2"/>
          <c:y val="0.202574"/>
          <c:w val="0.77961199999999997"/>
          <c:h val="0.61909400000000003"/>
        </c:manualLayout>
      </c:layout>
      <c:barChart>
        <c:barDir val="col"/>
        <c:grouping val="clustered"/>
        <c:varyColors val="0"/>
        <c:ser>
          <c:idx val="1"/>
          <c:order val="0"/>
          <c:tx>
            <c:strRef>
              <c:f>Данные!$B$26</c:f>
              <c:strCache>
                <c:ptCount val="1"/>
                <c:pt idx="0">
                  <c:v>Размер тарифа, руб/куб. м.</c:v>
                </c:pt>
              </c:strCache>
            </c:strRef>
          </c:tx>
          <c:spPr>
            <a:solidFill>
              <a:schemeClr val="accent3">
                <a:lumMod val="60000"/>
                <a:lumOff val="40000"/>
              </a:schemeClr>
            </a:solidFill>
            <a:ln w="25400" cap="flat" cmpd="sng" algn="ctr">
              <a:solidFill>
                <a:sysClr val="windowText" lastClr="000000"/>
              </a:solidFill>
              <a:prstDash val="solid"/>
            </a:ln>
            <a:effectLst/>
          </c:spPr>
          <c:invertIfNegative val="0"/>
          <c:dLbls>
            <c:txPr>
              <a:bodyPr/>
              <a:lstStyle/>
              <a:p>
                <a:pPr>
                  <a:defRPr sz="1000" i="1">
                    <a:latin typeface="Times New Roman"/>
                    <a:cs typeface="Times New Roman"/>
                  </a:defRPr>
                </a:pPr>
                <a:endParaRPr lang="ru-RU"/>
              </a:p>
            </c:txPr>
            <c:dLblPos val="inBase"/>
            <c:showLegendKey val="0"/>
            <c:showVal val="1"/>
            <c:showCatName val="0"/>
            <c:showSerName val="0"/>
            <c:showPercent val="0"/>
            <c:showBubbleSize val="0"/>
            <c:showLeaderLines val="0"/>
          </c:dLbls>
          <c:cat>
            <c:numRef>
              <c:f>Данные!$C$25:$M$25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Данные!$C$26:$M$26</c:f>
              <c:numCache>
                <c:formatCode>#,##0.00</c:formatCode>
                <c:ptCount val="11"/>
                <c:pt idx="0">
                  <c:v>12.22</c:v>
                </c:pt>
                <c:pt idx="1">
                  <c:v>12.66</c:v>
                </c:pt>
                <c:pt idx="2">
                  <c:v>13.17</c:v>
                </c:pt>
                <c:pt idx="3">
                  <c:v>13.57</c:v>
                </c:pt>
                <c:pt idx="4">
                  <c:v>14.24</c:v>
                </c:pt>
                <c:pt idx="5" formatCode="General">
                  <c:v>15.08</c:v>
                </c:pt>
                <c:pt idx="6" formatCode="General">
                  <c:v>15.77</c:v>
                </c:pt>
                <c:pt idx="7" formatCode="General">
                  <c:v>16.579999999999998</c:v>
                </c:pt>
                <c:pt idx="8" formatCode="0.00">
                  <c:v>19.39</c:v>
                </c:pt>
                <c:pt idx="9" formatCode="0.00">
                  <c:v>21.23</c:v>
                </c:pt>
                <c:pt idx="10" formatCode="0.00">
                  <c:v>23.75</c:v>
                </c:pt>
              </c:numCache>
            </c:numRef>
          </c:val>
        </c:ser>
        <c:dLbls>
          <c:showLegendKey val="0"/>
          <c:showVal val="0"/>
          <c:showCatName val="0"/>
          <c:showSerName val="0"/>
          <c:showPercent val="0"/>
          <c:showBubbleSize val="0"/>
        </c:dLbls>
        <c:gapWidth val="0"/>
        <c:axId val="224479744"/>
        <c:axId val="223923008"/>
      </c:barChart>
      <c:catAx>
        <c:axId val="224479744"/>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rot="-5400000" vert="horz"/>
          <a:lstStyle/>
          <a:p>
            <a:pPr>
              <a:defRPr sz="1100">
                <a:latin typeface="Times New Roman"/>
                <a:cs typeface="Times New Roman"/>
              </a:defRPr>
            </a:pPr>
            <a:endParaRPr lang="ru-RU"/>
          </a:p>
        </c:txPr>
        <c:crossAx val="223923008"/>
        <c:crosses val="autoZero"/>
        <c:auto val="1"/>
        <c:lblAlgn val="ctr"/>
        <c:lblOffset val="100"/>
        <c:noMultiLvlLbl val="0"/>
      </c:catAx>
      <c:valAx>
        <c:axId val="223923008"/>
        <c:scaling>
          <c:orientation val="minMax"/>
        </c:scaling>
        <c:delete val="1"/>
        <c:axPos val="l"/>
        <c:majorGridlines/>
        <c:numFmt formatCode="#,##0.00" sourceLinked="1"/>
        <c:majorTickMark val="out"/>
        <c:minorTickMark val="none"/>
        <c:tickLblPos val="nextTo"/>
        <c:crossAx val="224479744"/>
        <c:crosses val="autoZero"/>
        <c:crossBetween val="between"/>
      </c:valAx>
    </c:plotArea>
    <c:legend>
      <c:legendPos val="r"/>
      <c:layout>
        <c:manualLayout>
          <c:xMode val="edge"/>
          <c:yMode val="edge"/>
          <c:x val="0.83823499999999995"/>
          <c:y val="0.48388999999999999"/>
          <c:w val="0.158335"/>
          <c:h val="0.19604099999999999"/>
        </c:manualLayout>
      </c:layout>
      <c:overlay val="0"/>
      <c:txPr>
        <a:bodyPr/>
        <a:lstStyle/>
        <a:p>
          <a:pPr>
            <a:defRPr sz="1100" i="1">
              <a:latin typeface="Times New Roman"/>
              <a:cs typeface="Times New Roman"/>
            </a:defRPr>
          </a:pPr>
          <a:endParaRPr lang="ru-RU"/>
        </a:p>
      </c:txPr>
    </c:legend>
    <c:plotVisOnly val="1"/>
    <c:dispBlanksAs val="gap"/>
    <c:showDLblsOverMax val="0"/>
  </c:chart>
  <c:externalData r:id="rId1">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50" b="0" i="0" u="none" strike="noStrike">
                <a:solidFill>
                  <a:srgbClr val="000000"/>
                </a:solidFill>
                <a:latin typeface="Times New Roman"/>
                <a:ea typeface="Times New Roman"/>
                <a:cs typeface="Times New Roman"/>
              </a:defRPr>
            </a:pPr>
            <a:r>
              <a:rPr lang="ru-RU" sz="1000" b="1" i="0" u="none" strike="noStrike">
                <a:solidFill>
                  <a:srgbClr val="000000"/>
                </a:solidFill>
                <a:latin typeface="Times New Roman"/>
                <a:cs typeface="Times New Roman"/>
              </a:rPr>
              <a:t>Структура тарифа на холодную воду </a:t>
            </a:r>
            <a:endParaRPr lang="ru-RU"/>
          </a:p>
          <a:p>
            <a:pPr>
              <a:defRPr sz="1050" b="0" i="0" u="none" strike="noStrike">
                <a:solidFill>
                  <a:srgbClr val="000000"/>
                </a:solidFill>
                <a:latin typeface="Times New Roman"/>
                <a:ea typeface="Times New Roman"/>
                <a:cs typeface="Times New Roman"/>
              </a:defRPr>
            </a:pPr>
            <a:r>
              <a:rPr lang="ru-RU" sz="1000" b="1" i="0" u="none" strike="noStrike">
                <a:solidFill>
                  <a:srgbClr val="000000"/>
                </a:solidFill>
                <a:latin typeface="Times New Roman"/>
                <a:cs typeface="Times New Roman"/>
              </a:rPr>
              <a:t>МУП г. Новосибирска "ГОРВОДОКАНАЛ" на 2024 год</a:t>
            </a:r>
            <a:endParaRPr lang="ru-RU"/>
          </a:p>
        </c:rich>
      </c:tx>
      <c:layout>
        <c:manualLayout>
          <c:xMode val="edge"/>
          <c:yMode val="edge"/>
          <c:x val="0.14225399999999999"/>
          <c:y val="2.0690000000000001E-3"/>
        </c:manualLayout>
      </c:layout>
      <c:overlay val="0"/>
      <c:spPr>
        <a:noFill/>
        <a:ln w="25400">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8"/>
          <c:y val="0.46024199999999998"/>
          <c:w val="0.412829"/>
          <c:h val="0.24096400000000001"/>
        </c:manualLayout>
      </c:layout>
      <c:pie3DChart>
        <c:varyColors val="1"/>
        <c:ser>
          <c:idx val="0"/>
          <c:order val="0"/>
          <c:spPr>
            <a:solidFill>
              <a:srgbClr val="9999FF"/>
            </a:solidFill>
            <a:ln w="12700">
              <a:solidFill>
                <a:srgbClr val="000000"/>
              </a:solidFill>
              <a:prstDash val="solid"/>
            </a:ln>
          </c:spPr>
          <c:dPt>
            <c:idx val="0"/>
            <c:bubble3D val="0"/>
          </c:dPt>
          <c:dPt>
            <c:idx val="1"/>
            <c:bubble3D val="0"/>
            <c:spPr>
              <a:solidFill>
                <a:srgbClr val="993366"/>
              </a:solidFill>
              <a:ln w="12700">
                <a:solidFill>
                  <a:srgbClr val="000000"/>
                </a:solidFill>
                <a:prstDash val="solid"/>
              </a:ln>
            </c:spPr>
          </c:dPt>
          <c:dPt>
            <c:idx val="2"/>
            <c:bubble3D val="0"/>
            <c:spPr>
              <a:solidFill>
                <a:srgbClr val="FFFFCC"/>
              </a:solidFill>
              <a:ln w="12700">
                <a:solidFill>
                  <a:srgbClr val="000000"/>
                </a:solidFill>
                <a:prstDash val="solid"/>
              </a:ln>
            </c:spPr>
          </c:dPt>
          <c:dPt>
            <c:idx val="3"/>
            <c:bubble3D val="0"/>
            <c:spPr>
              <a:solidFill>
                <a:srgbClr val="CCFFFF"/>
              </a:solidFill>
              <a:ln w="12700">
                <a:solidFill>
                  <a:srgbClr val="000000"/>
                </a:solidFill>
                <a:prstDash val="solid"/>
              </a:ln>
            </c:spPr>
          </c:dPt>
          <c:dPt>
            <c:idx val="4"/>
            <c:bubble3D val="0"/>
            <c:spPr>
              <a:solidFill>
                <a:srgbClr val="660066"/>
              </a:solidFill>
              <a:ln w="12700">
                <a:solidFill>
                  <a:srgbClr val="000000"/>
                </a:solidFill>
                <a:prstDash val="solid"/>
              </a:ln>
            </c:spPr>
          </c:dPt>
          <c:dPt>
            <c:idx val="5"/>
            <c:bubble3D val="0"/>
            <c:spPr>
              <a:solidFill>
                <a:srgbClr val="FF8080"/>
              </a:solidFill>
              <a:ln w="12700">
                <a:solidFill>
                  <a:srgbClr val="000000"/>
                </a:solidFill>
                <a:prstDash val="solid"/>
              </a:ln>
            </c:spPr>
          </c:dPt>
          <c:dPt>
            <c:idx val="6"/>
            <c:bubble3D val="0"/>
            <c:spPr>
              <a:solidFill>
                <a:srgbClr val="0066CC"/>
              </a:solidFill>
              <a:ln w="12700">
                <a:solidFill>
                  <a:srgbClr val="000000"/>
                </a:solidFill>
                <a:prstDash val="solid"/>
              </a:ln>
            </c:spPr>
          </c:dPt>
          <c:dPt>
            <c:idx val="7"/>
            <c:bubble3D val="0"/>
            <c:spPr>
              <a:solidFill>
                <a:srgbClr val="CCCCFF"/>
              </a:solidFill>
              <a:ln w="12700">
                <a:solidFill>
                  <a:srgbClr val="000000"/>
                </a:solidFill>
                <a:prstDash val="solid"/>
              </a:ln>
            </c:spPr>
          </c:dPt>
          <c:dLbls>
            <c:dLbl>
              <c:idx val="0"/>
              <c:layout>
                <c:manualLayout>
                  <c:x val="2.2561000000000001E-2"/>
                  <c:y val="-8.2838999999999996E-2"/>
                </c:manualLayout>
              </c:layout>
              <c:dLblPos val="bestFit"/>
              <c:showLegendKey val="0"/>
              <c:showVal val="0"/>
              <c:showCatName val="1"/>
              <c:showSerName val="0"/>
              <c:showPercent val="1"/>
              <c:showBubbleSize val="0"/>
            </c:dLbl>
            <c:dLbl>
              <c:idx val="1"/>
              <c:layout>
                <c:manualLayout>
                  <c:x val="0.101856"/>
                  <c:y val="-8.9598999999999998E-2"/>
                </c:manualLayout>
              </c:layout>
              <c:tx>
                <c:rich>
                  <a:bodyPr/>
                  <a:lstStyle/>
                  <a:p>
                    <a:r>
                      <a:rPr lang="ru-RU"/>
                      <a:t>Электро-энергия </a:t>
                    </a:r>
                    <a:br>
                      <a:rPr lang="ru-RU"/>
                    </a:br>
                    <a:r>
                      <a:rPr lang="ru-RU"/>
                      <a:t>18%</a:t>
                    </a:r>
                  </a:p>
                </c:rich>
              </c:tx>
              <c:dLblPos val="bestFit"/>
              <c:showLegendKey val="0"/>
              <c:showVal val="0"/>
              <c:showCatName val="1"/>
              <c:showSerName val="0"/>
              <c:showPercent val="1"/>
              <c:showBubbleSize val="0"/>
            </c:dLbl>
            <c:dLbl>
              <c:idx val="2"/>
              <c:layout>
                <c:manualLayout>
                  <c:x val="6.6405000000000006E-2"/>
                  <c:y val="-1.0139999999999999E-3"/>
                </c:manualLayout>
              </c:layout>
              <c:dLblPos val="bestFit"/>
              <c:showLegendKey val="0"/>
              <c:showVal val="0"/>
              <c:showCatName val="1"/>
              <c:showSerName val="0"/>
              <c:showPercent val="1"/>
              <c:showBubbleSize val="0"/>
            </c:dLbl>
            <c:dLbl>
              <c:idx val="3"/>
              <c:layout>
                <c:manualLayout>
                  <c:x val="0.129577"/>
                  <c:y val="0.104922"/>
                </c:manualLayout>
              </c:layout>
              <c:tx>
                <c:rich>
                  <a:bodyPr/>
                  <a:lstStyle/>
                  <a:p>
                    <a:r>
                      <a:rPr lang="ru-RU"/>
                      <a:t>Амортиза-цияи ремонты </a:t>
                    </a:r>
                    <a:br>
                      <a:rPr lang="ru-RU"/>
                    </a:br>
                    <a:r>
                      <a:rPr lang="ru-RU"/>
                      <a:t>13%</a:t>
                    </a:r>
                  </a:p>
                </c:rich>
              </c:tx>
              <c:dLblPos val="bestFit"/>
              <c:showLegendKey val="0"/>
              <c:showVal val="0"/>
              <c:showCatName val="1"/>
              <c:showSerName val="0"/>
              <c:showPercent val="1"/>
              <c:showBubbleSize val="0"/>
            </c:dLbl>
            <c:dLbl>
              <c:idx val="4"/>
              <c:layout>
                <c:manualLayout>
                  <c:x val="2.4375999999999998E-2"/>
                  <c:y val="9.0804999999999997E-2"/>
                </c:manualLayout>
              </c:layout>
              <c:dLblPos val="bestFit"/>
              <c:showLegendKey val="0"/>
              <c:showVal val="0"/>
              <c:showCatName val="1"/>
              <c:showSerName val="0"/>
              <c:showPercent val="1"/>
              <c:showBubbleSize val="0"/>
            </c:dLbl>
            <c:dLbl>
              <c:idx val="6"/>
              <c:layout>
                <c:manualLayout>
                  <c:x val="-2.4431000000000001E-2"/>
                  <c:y val="-1.2503E-2"/>
                </c:manualLayout>
              </c:layout>
              <c:tx>
                <c:rich>
                  <a:bodyPr/>
                  <a:lstStyle/>
                  <a:p>
                    <a:r>
                      <a:rPr lang="ru-RU"/>
                      <a:t>Общехозяй-ственные</a:t>
                    </a:r>
                    <a:br>
                      <a:rPr lang="ru-RU"/>
                    </a:br>
                    <a:r>
                      <a:rPr lang="ru-RU"/>
                      <a:t>15%</a:t>
                    </a:r>
                  </a:p>
                </c:rich>
              </c:tx>
              <c:dLblPos val="bestFit"/>
              <c:showLegendKey val="0"/>
              <c:showVal val="0"/>
              <c:showCatName val="1"/>
              <c:showSerName val="0"/>
              <c:showPercent val="1"/>
              <c:showBubbleSize val="0"/>
            </c:dLbl>
            <c:dLbl>
              <c:idx val="7"/>
              <c:layout>
                <c:manualLayout>
                  <c:x val="-4.8945000000000002E-2"/>
                  <c:y val="-0.11128399999999999"/>
                </c:manualLayout>
              </c:layout>
              <c:dLblPos val="bestFit"/>
              <c:showLegendKey val="0"/>
              <c:showVal val="0"/>
              <c:showCatName val="1"/>
              <c:showSerName val="0"/>
              <c:showPercent val="1"/>
              <c:showBubbleSize val="0"/>
            </c:dLbl>
            <c:numFmt formatCode="0%" sourceLinked="0"/>
            <c:spPr>
              <a:noFill/>
              <a:ln w="25400">
                <a:noFill/>
              </a:ln>
            </c:spPr>
            <c:txPr>
              <a:bodyPr/>
              <a:lstStyle/>
              <a:p>
                <a:pPr>
                  <a:defRPr sz="800" b="0" i="0" u="none" strike="noStrike">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'[8. Диаграммы к отчету.xls]ВС ГВК'!$I$61:$I$68</c:f>
              <c:strCache>
                <c:ptCount val="8"/>
                <c:pt idx="0">
                  <c:v>Реагенты</c:v>
                </c:pt>
                <c:pt idx="1">
                  <c:v>Электроэнергия </c:v>
                </c:pt>
                <c:pt idx="2">
                  <c:v>Оплата труда ОПР</c:v>
                </c:pt>
                <c:pt idx="3">
                  <c:v>Амортизация и ремонты </c:v>
                </c:pt>
                <c:pt idx="4">
                  <c:v>Прочие </c:v>
                </c:pt>
                <c:pt idx="5">
                  <c:v>Цеховые</c:v>
                </c:pt>
                <c:pt idx="6">
                  <c:v>Общехозяйственные</c:v>
                </c:pt>
                <c:pt idx="7">
                  <c:v>Прибыль</c:v>
                </c:pt>
              </c:strCache>
            </c:strRef>
          </c:cat>
          <c:val>
            <c:numRef>
              <c:f>'[8. Диаграммы к отчету.xls]ВС ГВК'!$J$61:$J$68</c:f>
              <c:numCache>
                <c:formatCode>#,##0.0</c:formatCode>
                <c:ptCount val="8"/>
                <c:pt idx="0">
                  <c:v>73340.824113950075</c:v>
                </c:pt>
                <c:pt idx="1">
                  <c:v>567604.78381101356</c:v>
                </c:pt>
                <c:pt idx="2">
                  <c:v>582206.74544591992</c:v>
                </c:pt>
                <c:pt idx="3">
                  <c:v>384343.125</c:v>
                </c:pt>
                <c:pt idx="4">
                  <c:v>544503.02628189919</c:v>
                </c:pt>
                <c:pt idx="5">
                  <c:v>454511.17707951862</c:v>
                </c:pt>
                <c:pt idx="6">
                  <c:v>475553.95516013401</c:v>
                </c:pt>
                <c:pt idx="7">
                  <c:v>1109.1623933800415</c:v>
                </c:pt>
              </c:numCache>
            </c:numRef>
          </c:val>
        </c:ser>
        <c:dLbls>
          <c:showLegendKey val="0"/>
          <c:showVal val="0"/>
          <c:showCatName val="0"/>
          <c:showSerName val="0"/>
          <c:showPercent val="0"/>
          <c:showBubbleSize val="0"/>
          <c:showLeaderLines val="1"/>
        </c:dLbls>
      </c:pie3DChart>
      <c:spPr>
        <a:noFill/>
        <a:ln w="25400">
          <a:noFill/>
        </a:ln>
      </c:spPr>
    </c:plotArea>
    <c:plotVisOnly val="1"/>
    <c:dispBlanksAs val="zero"/>
    <c:showDLblsOverMax val="0"/>
  </c:chart>
  <c:spPr>
    <a:solidFill>
      <a:srgbClr val="FFFFFF"/>
    </a:solidFill>
    <a:ln w="3175">
      <a:solidFill>
        <a:srgbClr val="000000"/>
      </a:solidFill>
      <a:prstDash val="solid"/>
    </a:ln>
  </c:spPr>
  <c:txPr>
    <a:bodyPr/>
    <a:lstStyle/>
    <a:p>
      <a:pPr>
        <a:defRPr sz="1200" b="0" i="0" u="none" strike="noStrike">
          <a:solidFill>
            <a:srgbClr val="000000"/>
          </a:solidFill>
          <a:latin typeface="Times New Roman"/>
          <a:ea typeface="Times New Roman"/>
          <a:cs typeface="Times New Roman"/>
        </a:defRPr>
      </a:pPr>
      <a:endParaRPr lang="ru-RU"/>
    </a:p>
  </c:txPr>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b="0" i="0" u="none" strike="noStrike">
                <a:solidFill>
                  <a:srgbClr val="000000"/>
                </a:solidFill>
                <a:latin typeface="Times New Roman"/>
                <a:ea typeface="Times New Roman"/>
                <a:cs typeface="Times New Roman"/>
              </a:defRPr>
            </a:pPr>
            <a:r>
              <a:rPr lang="ru-RU" sz="1000" b="1" i="0" u="none" strike="noStrike">
                <a:solidFill>
                  <a:srgbClr val="000000"/>
                </a:solidFill>
                <a:latin typeface="Times New Roman"/>
                <a:cs typeface="Times New Roman"/>
              </a:rPr>
              <a:t>Структура тарифа на водоотведение</a:t>
            </a:r>
            <a:endParaRPr lang="ru-RU"/>
          </a:p>
          <a:p>
            <a:pPr>
              <a:defRPr sz="1200" b="0" i="0" u="none" strike="noStrike">
                <a:solidFill>
                  <a:srgbClr val="000000"/>
                </a:solidFill>
                <a:latin typeface="Times New Roman"/>
                <a:ea typeface="Times New Roman"/>
                <a:cs typeface="Times New Roman"/>
              </a:defRPr>
            </a:pPr>
            <a:r>
              <a:rPr lang="ru-RU" sz="1000" b="1" i="0" u="none" strike="noStrike">
                <a:solidFill>
                  <a:srgbClr val="000000"/>
                </a:solidFill>
                <a:latin typeface="Times New Roman"/>
                <a:cs typeface="Times New Roman"/>
              </a:rPr>
              <a:t>МУП г. Новосибирска "ГОРВОДОКАНАЛ" на 2024 год</a:t>
            </a:r>
            <a:endParaRPr lang="ru-RU"/>
          </a:p>
        </c:rich>
      </c:tx>
      <c:layout>
        <c:manualLayout>
          <c:xMode val="edge"/>
          <c:yMode val="edge"/>
          <c:x val="0.15538399999999999"/>
          <c:y val="1.4630000000000001E-3"/>
        </c:manualLayout>
      </c:layout>
      <c:overlay val="0"/>
      <c:spPr>
        <a:noFill/>
        <a:ln w="25400">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8"/>
          <c:y val="0.46024199999999998"/>
          <c:w val="0.412829"/>
          <c:h val="0.24096400000000001"/>
        </c:manualLayout>
      </c:layout>
      <c:pie3DChart>
        <c:varyColors val="1"/>
        <c:ser>
          <c:idx val="0"/>
          <c:order val="0"/>
          <c:dPt>
            <c:idx val="0"/>
            <c:bubble3D val="0"/>
          </c:dPt>
          <c:dPt>
            <c:idx val="1"/>
            <c:bubble3D val="0"/>
          </c:dPt>
          <c:dPt>
            <c:idx val="2"/>
            <c:bubble3D val="0"/>
          </c:dPt>
          <c:dPt>
            <c:idx val="3"/>
            <c:bubble3D val="0"/>
          </c:dPt>
          <c:dPt>
            <c:idx val="4"/>
            <c:bubble3D val="0"/>
          </c:dPt>
          <c:dPt>
            <c:idx val="5"/>
            <c:bubble3D val="0"/>
          </c:dPt>
          <c:dPt>
            <c:idx val="6"/>
            <c:bubble3D val="0"/>
          </c:dPt>
          <c:dPt>
            <c:idx val="7"/>
            <c:bubble3D val="0"/>
          </c:dPt>
          <c:dLbls>
            <c:dLbl>
              <c:idx val="1"/>
              <c:layout>
                <c:manualLayout>
                  <c:x val="8.8013999999999995E-2"/>
                  <c:y val="-2.8656000000000001E-2"/>
                </c:manualLayout>
              </c:layout>
              <c:tx>
                <c:rich>
                  <a:bodyPr/>
                  <a:lstStyle/>
                  <a:p>
                    <a:r>
                      <a:rPr lang="ru-RU"/>
                      <a:t>Электро-энергия </a:t>
                    </a:r>
                    <a:br>
                      <a:rPr lang="ru-RU"/>
                    </a:br>
                    <a:r>
                      <a:rPr lang="ru-RU"/>
                      <a:t>19%</a:t>
                    </a:r>
                  </a:p>
                </c:rich>
              </c:tx>
              <c:dLblPos val="bestFit"/>
              <c:showLegendKey val="0"/>
              <c:showVal val="0"/>
              <c:showCatName val="1"/>
              <c:showSerName val="0"/>
              <c:showPercent val="1"/>
              <c:showBubbleSize val="0"/>
            </c:dLbl>
            <c:dLbl>
              <c:idx val="2"/>
              <c:layout>
                <c:manualLayout>
                  <c:x val="0.108838"/>
                  <c:y val="0.116953"/>
                </c:manualLayout>
              </c:layout>
              <c:showLegendKey val="0"/>
              <c:showVal val="0"/>
              <c:showCatName val="1"/>
              <c:showSerName val="0"/>
              <c:showPercent val="1"/>
              <c:showBubbleSize val="0"/>
            </c:dLbl>
            <c:dLbl>
              <c:idx val="3"/>
              <c:layout>
                <c:manualLayout>
                  <c:x val="0.102704"/>
                  <c:y val="0.15350900000000001"/>
                </c:manualLayout>
              </c:layout>
              <c:tx>
                <c:rich>
                  <a:bodyPr/>
                  <a:lstStyle/>
                  <a:p>
                    <a:r>
                      <a:rPr lang="ru-RU"/>
                      <a:t>Амортиза-ция и ремонты </a:t>
                    </a:r>
                    <a:br>
                      <a:rPr lang="ru-RU"/>
                    </a:br>
                    <a:r>
                      <a:rPr lang="ru-RU"/>
                      <a:t>18%</a:t>
                    </a:r>
                  </a:p>
                </c:rich>
              </c:tx>
              <c:showLegendKey val="0"/>
              <c:showVal val="0"/>
              <c:showCatName val="1"/>
              <c:showSerName val="0"/>
              <c:showPercent val="1"/>
              <c:showBubbleSize val="0"/>
            </c:dLbl>
            <c:dLbl>
              <c:idx val="4"/>
              <c:layout>
                <c:manualLayout>
                  <c:x val="-0.11185100000000001"/>
                  <c:y val="7.0505999999999999E-2"/>
                </c:manualLayout>
              </c:layout>
              <c:showLegendKey val="0"/>
              <c:showVal val="0"/>
              <c:showCatName val="1"/>
              <c:showSerName val="0"/>
              <c:showPercent val="1"/>
              <c:showBubbleSize val="0"/>
            </c:dLbl>
            <c:dLbl>
              <c:idx val="5"/>
              <c:layout>
                <c:manualLayout>
                  <c:x val="-0.100578"/>
                  <c:y val="-1.6406E-2"/>
                </c:manualLayout>
              </c:layout>
              <c:showLegendKey val="0"/>
              <c:showVal val="0"/>
              <c:showCatName val="1"/>
              <c:showSerName val="0"/>
              <c:showPercent val="1"/>
              <c:showBubbleSize val="0"/>
            </c:dLbl>
            <c:dLbl>
              <c:idx val="7"/>
              <c:layout>
                <c:manualLayout>
                  <c:x val="-6.5180000000000004E-3"/>
                  <c:y val="-9.6297999999999995E-2"/>
                </c:manualLayout>
              </c:layout>
              <c:showLegendKey val="0"/>
              <c:showVal val="0"/>
              <c:showCatName val="1"/>
              <c:showSerName val="0"/>
              <c:showPercent val="1"/>
              <c:showBubbleSize val="0"/>
            </c:dLbl>
            <c:txPr>
              <a:bodyPr/>
              <a:lstStyle/>
              <a:p>
                <a:pPr>
                  <a:defRPr sz="800" b="0" i="0" u="none" strike="noStrike">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'[8. Диаграммы к отчету.xls]ВО ГВК'!$F$50:$F$57</c:f>
              <c:strCache>
                <c:ptCount val="8"/>
                <c:pt idx="0">
                  <c:v>Реагенты</c:v>
                </c:pt>
                <c:pt idx="1">
                  <c:v>Электроэнергия </c:v>
                </c:pt>
                <c:pt idx="2">
                  <c:v>Оплата труда ОПР</c:v>
                </c:pt>
                <c:pt idx="3">
                  <c:v>Амортизация и ремонты </c:v>
                </c:pt>
                <c:pt idx="4">
                  <c:v>Прочие </c:v>
                </c:pt>
                <c:pt idx="5">
                  <c:v>Цеховые</c:v>
                </c:pt>
                <c:pt idx="6">
                  <c:v>Общехозяйственные</c:v>
                </c:pt>
                <c:pt idx="7">
                  <c:v>Прибыль</c:v>
                </c:pt>
              </c:strCache>
            </c:strRef>
          </c:cat>
          <c:val>
            <c:numRef>
              <c:f>'[8. Диаграммы к отчету.xls]ВО ГВК'!$G$50:$G$57</c:f>
              <c:numCache>
                <c:formatCode>#,##0.00</c:formatCode>
                <c:ptCount val="8"/>
                <c:pt idx="0">
                  <c:v>90913.051229254503</c:v>
                </c:pt>
                <c:pt idx="1">
                  <c:v>449230.08936960006</c:v>
                </c:pt>
                <c:pt idx="2">
                  <c:v>656767.31718520913</c:v>
                </c:pt>
                <c:pt idx="3">
                  <c:v>428773.41</c:v>
                </c:pt>
                <c:pt idx="4">
                  <c:v>87669.398612985184</c:v>
                </c:pt>
                <c:pt idx="5">
                  <c:v>344248.49030750053</c:v>
                </c:pt>
                <c:pt idx="6">
                  <c:v>336958.61155651166</c:v>
                </c:pt>
                <c:pt idx="7">
                  <c:v>1012.1058226909616</c:v>
                </c:pt>
              </c:numCache>
            </c:numRef>
          </c:val>
        </c:ser>
        <c:dLbls>
          <c:showLegendKey val="0"/>
          <c:showVal val="0"/>
          <c:showCatName val="0"/>
          <c:showSerName val="0"/>
          <c:showPercent val="0"/>
          <c:showBubbleSize val="0"/>
          <c:showLeaderLines val="1"/>
        </c:dLbls>
      </c:pie3DChart>
      <c:spPr>
        <a:noFill/>
        <a:ln w="25400">
          <a:noFill/>
        </a:ln>
      </c:spPr>
    </c:plotArea>
    <c:plotVisOnly val="1"/>
    <c:dispBlanksAs val="zero"/>
    <c:showDLblsOverMax val="0"/>
  </c:chart>
  <c:spPr>
    <a:solidFill>
      <a:srgbClr val="FFFFFF"/>
    </a:solidFill>
    <a:ln w="3175">
      <a:solidFill>
        <a:srgbClr val="000000"/>
      </a:solidFill>
      <a:prstDash val="solid"/>
    </a:ln>
  </c:spPr>
  <c:txPr>
    <a:bodyPr/>
    <a:lstStyle/>
    <a:p>
      <a:pPr>
        <a:defRPr sz="1200" b="0" i="0" u="none" strike="noStrike">
          <a:solidFill>
            <a:srgbClr val="000000"/>
          </a:solidFill>
          <a:latin typeface="Times New Roman"/>
          <a:ea typeface="Times New Roman"/>
          <a:cs typeface="Times New Roman"/>
        </a:defRPr>
      </a:pPr>
      <a:endParaRPr lang="ru-RU"/>
    </a:p>
  </c:txPr>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defRPr/>
            </a:pPr>
            <a:r>
              <a:rPr lang="ru-RU" sz="1200">
                <a:latin typeface="Times New Roman"/>
                <a:cs typeface="Times New Roman"/>
              </a:rPr>
              <a:t>Динамика изменения объёмов реализации питьевой воды                 МУП  "Комбинат бытовых услуг" за период 2015-2025 годы</a:t>
            </a:r>
            <a:endParaRPr lang="ru-RU"/>
          </a:p>
        </c:rich>
      </c:tx>
      <c:layout>
        <c:manualLayout>
          <c:xMode val="edge"/>
          <c:yMode val="edge"/>
          <c:x val="0.134079"/>
          <c:y val="1.7637E-2"/>
        </c:manualLayout>
      </c:layout>
      <c:overlay val="0"/>
    </c:title>
    <c:autoTitleDeleted val="0"/>
    <c:plotArea>
      <c:layout>
        <c:manualLayout>
          <c:layoutTarget val="inner"/>
          <c:xMode val="edge"/>
          <c:yMode val="edge"/>
          <c:x val="0.15759799999999999"/>
          <c:y val="0.16821900000000001"/>
          <c:w val="0.71964399999999995"/>
          <c:h val="0.66649599999999998"/>
        </c:manualLayout>
      </c:layout>
      <c:lineChart>
        <c:grouping val="standard"/>
        <c:varyColors val="0"/>
        <c:ser>
          <c:idx val="0"/>
          <c:order val="0"/>
          <c:tx>
            <c:v>Факт</c:v>
          </c:tx>
          <c:cat>
            <c:numRef>
              <c:f>Данные!$C$4:$M$4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Данные!$C$6:$M$6</c:f>
              <c:numCache>
                <c:formatCode>#,##0.00</c:formatCode>
                <c:ptCount val="11"/>
                <c:pt idx="0">
                  <c:v>7381.97</c:v>
                </c:pt>
                <c:pt idx="1">
                  <c:v>7327.5999999999995</c:v>
                </c:pt>
                <c:pt idx="2">
                  <c:v>7028.7599999999993</c:v>
                </c:pt>
                <c:pt idx="3">
                  <c:v>7044.68</c:v>
                </c:pt>
                <c:pt idx="4">
                  <c:v>7452.62</c:v>
                </c:pt>
                <c:pt idx="5" formatCode="General">
                  <c:v>7533.24</c:v>
                </c:pt>
                <c:pt idx="6" formatCode="General">
                  <c:v>7489.66</c:v>
                </c:pt>
                <c:pt idx="7" formatCode="General">
                  <c:v>7647.22</c:v>
                </c:pt>
                <c:pt idx="8" formatCode="General">
                  <c:v>7627.38</c:v>
                </c:pt>
              </c:numCache>
            </c:numRef>
          </c:val>
          <c:smooth val="0"/>
        </c:ser>
        <c:ser>
          <c:idx val="1"/>
          <c:order val="1"/>
          <c:tx>
            <c:v>План</c:v>
          </c:tx>
          <c:cat>
            <c:numRef>
              <c:f>Данные!$C$4:$M$4</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Данные!$C$5:$M$5</c:f>
              <c:numCache>
                <c:formatCode>#,##0.00</c:formatCode>
                <c:ptCount val="11"/>
                <c:pt idx="0">
                  <c:v>7968.4499999999989</c:v>
                </c:pt>
                <c:pt idx="1">
                  <c:v>7968.4499999999989</c:v>
                </c:pt>
                <c:pt idx="2">
                  <c:v>7968.4499999999989</c:v>
                </c:pt>
                <c:pt idx="3">
                  <c:v>7968.4499999999989</c:v>
                </c:pt>
                <c:pt idx="4">
                  <c:v>7968.4499999999989</c:v>
                </c:pt>
                <c:pt idx="5">
                  <c:v>7475.64</c:v>
                </c:pt>
                <c:pt idx="6">
                  <c:v>7475.64</c:v>
                </c:pt>
                <c:pt idx="7">
                  <c:v>7533.24</c:v>
                </c:pt>
                <c:pt idx="8">
                  <c:v>7489.66</c:v>
                </c:pt>
                <c:pt idx="9">
                  <c:v>7682.17</c:v>
                </c:pt>
                <c:pt idx="10">
                  <c:v>7627.38</c:v>
                </c:pt>
              </c:numCache>
            </c:numRef>
          </c:val>
          <c:smooth val="0"/>
        </c:ser>
        <c:dLbls>
          <c:showLegendKey val="0"/>
          <c:showVal val="0"/>
          <c:showCatName val="0"/>
          <c:showSerName val="0"/>
          <c:showPercent val="0"/>
          <c:showBubbleSize val="0"/>
        </c:dLbls>
        <c:marker val="1"/>
        <c:smooth val="0"/>
        <c:axId val="224392704"/>
        <c:axId val="223926464"/>
      </c:lineChart>
      <c:catAx>
        <c:axId val="224392704"/>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a:lstStyle/>
          <a:p>
            <a:pPr>
              <a:defRPr sz="1100">
                <a:latin typeface="Times New Roman"/>
                <a:cs typeface="Times New Roman"/>
              </a:defRPr>
            </a:pPr>
            <a:endParaRPr lang="ru-RU"/>
          </a:p>
        </c:txPr>
        <c:crossAx val="223926464"/>
        <c:crosses val="autoZero"/>
        <c:auto val="1"/>
        <c:lblAlgn val="ctr"/>
        <c:lblOffset val="100"/>
        <c:noMultiLvlLbl val="0"/>
      </c:catAx>
      <c:valAx>
        <c:axId val="223926464"/>
        <c:scaling>
          <c:orientation val="minMax"/>
          <c:max val="9000"/>
          <c:min val="6000"/>
        </c:scaling>
        <c:delete val="0"/>
        <c:axPos val="l"/>
        <c:majorGridlines/>
        <c:title>
          <c:tx>
            <c:rich>
              <a:bodyPr rot="-5400000" vert="horz"/>
              <a:lstStyle/>
              <a:p>
                <a:pPr>
                  <a:defRPr sz="1100">
                    <a:latin typeface="Times New Roman"/>
                    <a:cs typeface="Times New Roman"/>
                  </a:defRPr>
                </a:pPr>
                <a:r>
                  <a:rPr lang="ru-RU" sz="1100">
                    <a:latin typeface="Times New Roman"/>
                    <a:cs typeface="Times New Roman"/>
                  </a:rPr>
                  <a:t>Объём реализации, тыс. куб. м.</a:t>
                </a:r>
                <a:endParaRPr lang="ru-RU"/>
              </a:p>
            </c:rich>
          </c:tx>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4392704"/>
        <c:crosses val="autoZero"/>
        <c:crossBetween val="between"/>
        <c:majorUnit val="500"/>
      </c:valAx>
    </c:plotArea>
    <c:legend>
      <c:legendPos val="r"/>
      <c:overlay val="0"/>
      <c:txPr>
        <a:bodyPr/>
        <a:lstStyle/>
        <a:p>
          <a:pPr>
            <a:defRPr sz="1100">
              <a:latin typeface="Times New Roman"/>
              <a:cs typeface="Times New Roman"/>
            </a:defRPr>
          </a:pPr>
          <a:endParaRPr lang="ru-RU"/>
        </a:p>
      </c:txPr>
    </c:legend>
    <c:plotVisOnly val="1"/>
    <c:dispBlanksAs val="gap"/>
    <c:showDLblsOverMax val="0"/>
  </c:chart>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defRPr/>
            </a:pPr>
            <a:r>
              <a:rPr lang="ru-RU" sz="1200">
                <a:latin typeface="Times New Roman"/>
                <a:cs typeface="Times New Roman"/>
              </a:rPr>
              <a:t>Динамика изменения объёмов реализации сточных вод          </a:t>
            </a:r>
            <a:endParaRPr lang="ru-RU"/>
          </a:p>
          <a:p>
            <a:pPr>
              <a:defRPr/>
            </a:pPr>
            <a:r>
              <a:rPr lang="ru-RU" sz="1200">
                <a:latin typeface="Times New Roman"/>
                <a:cs typeface="Times New Roman"/>
              </a:rPr>
              <a:t>МУП "Комбинат бытовых услуг"за период 2015-2025 годы</a:t>
            </a:r>
            <a:endParaRPr lang="ru-RU"/>
          </a:p>
        </c:rich>
      </c:tx>
      <c:layout>
        <c:manualLayout>
          <c:xMode val="edge"/>
          <c:yMode val="edge"/>
          <c:x val="0.16806399999999999"/>
          <c:y val="1.0581999999999999E-2"/>
        </c:manualLayout>
      </c:layout>
      <c:overlay val="0"/>
    </c:title>
    <c:autoTitleDeleted val="0"/>
    <c:plotArea>
      <c:layout/>
      <c:lineChart>
        <c:grouping val="standard"/>
        <c:varyColors val="0"/>
        <c:ser>
          <c:idx val="0"/>
          <c:order val="0"/>
          <c:tx>
            <c:v>Факт</c:v>
          </c:tx>
          <c:cat>
            <c:numRef>
              <c:f>Данные!$C$11:$M$11</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Данные!$C$13:$K$13</c:f>
              <c:numCache>
                <c:formatCode>#,##0.00</c:formatCode>
                <c:ptCount val="9"/>
                <c:pt idx="0">
                  <c:v>6510.1</c:v>
                </c:pt>
                <c:pt idx="1">
                  <c:v>6397.4699999999993</c:v>
                </c:pt>
                <c:pt idx="2">
                  <c:v>6305.11</c:v>
                </c:pt>
                <c:pt idx="3">
                  <c:v>6466.41</c:v>
                </c:pt>
                <c:pt idx="4">
                  <c:v>6700.46</c:v>
                </c:pt>
                <c:pt idx="5" formatCode="General">
                  <c:v>6520.65</c:v>
                </c:pt>
                <c:pt idx="6" formatCode="0.00">
                  <c:v>6623.8</c:v>
                </c:pt>
                <c:pt idx="7" formatCode="0.00">
                  <c:v>6676.43</c:v>
                </c:pt>
                <c:pt idx="8" formatCode="0.00">
                  <c:v>6535.3</c:v>
                </c:pt>
              </c:numCache>
            </c:numRef>
          </c:val>
          <c:smooth val="0"/>
        </c:ser>
        <c:ser>
          <c:idx val="1"/>
          <c:order val="1"/>
          <c:tx>
            <c:v>План</c:v>
          </c:tx>
          <c:cat>
            <c:numRef>
              <c:f>Данные!$C$11:$M$11</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Данные!$C$12:$M$12</c:f>
              <c:numCache>
                <c:formatCode>#,##0.00</c:formatCode>
                <c:ptCount val="11"/>
                <c:pt idx="0">
                  <c:v>7405.4000000000005</c:v>
                </c:pt>
                <c:pt idx="1">
                  <c:v>7405.4000000000005</c:v>
                </c:pt>
                <c:pt idx="2">
                  <c:v>7405.4000000000005</c:v>
                </c:pt>
                <c:pt idx="3">
                  <c:v>7405.4000000000005</c:v>
                </c:pt>
                <c:pt idx="4">
                  <c:v>7405.4000000000005</c:v>
                </c:pt>
                <c:pt idx="5">
                  <c:v>6606.58</c:v>
                </c:pt>
                <c:pt idx="6">
                  <c:v>6606.58</c:v>
                </c:pt>
                <c:pt idx="7">
                  <c:v>6606.5800000000008</c:v>
                </c:pt>
                <c:pt idx="8">
                  <c:v>6606.5800000000008</c:v>
                </c:pt>
                <c:pt idx="9">
                  <c:v>6663.08</c:v>
                </c:pt>
                <c:pt idx="10" formatCode="0.00">
                  <c:v>6535.3</c:v>
                </c:pt>
              </c:numCache>
            </c:numRef>
          </c:val>
          <c:smooth val="0"/>
        </c:ser>
        <c:dLbls>
          <c:showLegendKey val="0"/>
          <c:showVal val="0"/>
          <c:showCatName val="0"/>
          <c:showSerName val="0"/>
          <c:showPercent val="0"/>
          <c:showBubbleSize val="0"/>
        </c:dLbls>
        <c:marker val="1"/>
        <c:smooth val="0"/>
        <c:axId val="225014272"/>
        <c:axId val="225313344"/>
      </c:lineChart>
      <c:catAx>
        <c:axId val="225014272"/>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a:lstStyle/>
          <a:p>
            <a:pPr>
              <a:defRPr sz="1100">
                <a:latin typeface="Times New Roman"/>
                <a:cs typeface="Times New Roman"/>
              </a:defRPr>
            </a:pPr>
            <a:endParaRPr lang="ru-RU"/>
          </a:p>
        </c:txPr>
        <c:crossAx val="225313344"/>
        <c:crosses val="autoZero"/>
        <c:auto val="1"/>
        <c:lblAlgn val="ctr"/>
        <c:lblOffset val="100"/>
        <c:noMultiLvlLbl val="0"/>
      </c:catAx>
      <c:valAx>
        <c:axId val="225313344"/>
        <c:scaling>
          <c:orientation val="minMax"/>
          <c:max val="9000"/>
          <c:min val="6000"/>
        </c:scaling>
        <c:delete val="0"/>
        <c:axPos val="l"/>
        <c:majorGridlines/>
        <c:title>
          <c:tx>
            <c:rich>
              <a:bodyPr rot="-5400000" vert="horz"/>
              <a:lstStyle/>
              <a:p>
                <a:pPr algn="just">
                  <a:defRPr sz="1100">
                    <a:latin typeface="Times New Roman"/>
                    <a:cs typeface="Times New Roman"/>
                  </a:defRPr>
                </a:pPr>
                <a:r>
                  <a:rPr lang="ru-RU" sz="1100">
                    <a:latin typeface="Times New Roman"/>
                    <a:cs typeface="Times New Roman"/>
                  </a:rPr>
                  <a:t>Объём реализации, тыс. куб. м.</a:t>
                </a:r>
                <a:endParaRPr lang="ru-RU"/>
              </a:p>
            </c:rich>
          </c:tx>
          <c:layout>
            <c:manualLayout>
              <c:xMode val="edge"/>
              <c:yMode val="edge"/>
              <c:x val="2.1149676426603963E-2"/>
              <c:y val="3.1401106903582873E-2"/>
            </c:manualLayout>
          </c:layout>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5014272"/>
        <c:crosses val="autoZero"/>
        <c:crossBetween val="between"/>
        <c:majorUnit val="500"/>
      </c:valAx>
    </c:plotArea>
    <c:legend>
      <c:legendPos val="r"/>
      <c:overlay val="0"/>
      <c:txPr>
        <a:bodyPr/>
        <a:lstStyle/>
        <a:p>
          <a:pPr>
            <a:defRPr sz="1100">
              <a:latin typeface="Times New Roman"/>
              <a:cs typeface="Times New Roman"/>
            </a:defRPr>
          </a:pPr>
          <a:endParaRPr lang="ru-RU"/>
        </a:p>
      </c:txPr>
    </c:legend>
    <c:plotVisOnly val="1"/>
    <c:dispBlanksAs val="gap"/>
    <c:showDLblsOverMax val="0"/>
  </c:chart>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hart>
    <c:title>
      <c:tx>
        <c:rich>
          <a:bodyPr/>
          <a:lstStyle/>
          <a:p>
            <a:pPr>
              <a:defRPr sz="1200">
                <a:latin typeface="Times New Roman"/>
                <a:cs typeface="Times New Roman"/>
              </a:defRPr>
            </a:pPr>
            <a:r>
              <a:rPr lang="ru-RU" sz="1200">
                <a:latin typeface="Times New Roman"/>
                <a:cs typeface="Times New Roman"/>
              </a:rPr>
              <a:t>Динамика изменения тарифов на питьевую воду для</a:t>
            </a:r>
            <a:endParaRPr lang="ru-RU"/>
          </a:p>
          <a:p>
            <a:pPr>
              <a:defRPr sz="1200">
                <a:latin typeface="Times New Roman"/>
                <a:cs typeface="Times New Roman"/>
              </a:defRPr>
            </a:pPr>
            <a:r>
              <a:rPr lang="ru-RU" sz="1200">
                <a:latin typeface="Times New Roman"/>
                <a:cs typeface="Times New Roman"/>
              </a:rPr>
              <a:t>МУП  "Комбинат бытовых услуг" за период 2015-2025 годы</a:t>
            </a:r>
            <a:endParaRPr lang="ru-RU"/>
          </a:p>
        </c:rich>
      </c:tx>
      <c:layout>
        <c:manualLayout>
          <c:xMode val="edge"/>
          <c:yMode val="edge"/>
          <c:x val="0.163604"/>
          <c:y val="1.3962E-2"/>
        </c:manualLayout>
      </c:layout>
      <c:overlay val="0"/>
    </c:title>
    <c:autoTitleDeleted val="0"/>
    <c:plotArea>
      <c:layout>
        <c:manualLayout>
          <c:layoutTarget val="inner"/>
          <c:xMode val="edge"/>
          <c:yMode val="edge"/>
          <c:x val="6.2972E-2"/>
          <c:y val="0.202574"/>
          <c:w val="0.76144100000000003"/>
          <c:h val="0.63597099999999995"/>
        </c:manualLayout>
      </c:layout>
      <c:barChart>
        <c:barDir val="col"/>
        <c:grouping val="clustered"/>
        <c:varyColors val="0"/>
        <c:ser>
          <c:idx val="1"/>
          <c:order val="0"/>
          <c:tx>
            <c:v>Величина тарифа, руб./куб.м.</c:v>
          </c:tx>
          <c:spPr>
            <a:solidFill>
              <a:schemeClr val="accent5">
                <a:lumMod val="60000"/>
                <a:lumOff val="40000"/>
              </a:schemeClr>
            </a:solidFill>
            <a:ln>
              <a:solidFill>
                <a:sysClr val="windowText" lastClr="000000"/>
              </a:solidFill>
            </a:ln>
          </c:spPr>
          <c:invertIfNegative val="0"/>
          <c:dLbls>
            <c:txPr>
              <a:bodyPr/>
              <a:lstStyle/>
              <a:p>
                <a:pPr>
                  <a:defRPr sz="1000" i="1">
                    <a:latin typeface="Times New Roman"/>
                    <a:cs typeface="Times New Roman"/>
                  </a:defRPr>
                </a:pPr>
                <a:endParaRPr lang="ru-RU"/>
              </a:p>
            </c:txPr>
            <c:dLblPos val="inBase"/>
            <c:showLegendKey val="0"/>
            <c:showVal val="1"/>
            <c:showCatName val="0"/>
            <c:showSerName val="0"/>
            <c:showPercent val="0"/>
            <c:showBubbleSize val="0"/>
            <c:showLeaderLines val="0"/>
          </c:dLbls>
          <c:cat>
            <c:numRef>
              <c:f>Данные!$C$19:$M$19</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Данные!$C$20:$M$20</c:f>
              <c:numCache>
                <c:formatCode>#,##0.00</c:formatCode>
                <c:ptCount val="11"/>
                <c:pt idx="0">
                  <c:v>17.38</c:v>
                </c:pt>
                <c:pt idx="1">
                  <c:v>17.84</c:v>
                </c:pt>
                <c:pt idx="2">
                  <c:v>18.37</c:v>
                </c:pt>
                <c:pt idx="3">
                  <c:v>18.920000000000002</c:v>
                </c:pt>
                <c:pt idx="4">
                  <c:v>19.850000000000001</c:v>
                </c:pt>
                <c:pt idx="5" formatCode="0.00">
                  <c:v>20.82</c:v>
                </c:pt>
                <c:pt idx="6" formatCode="0.00">
                  <c:v>21.77</c:v>
                </c:pt>
                <c:pt idx="7" formatCode="0.00">
                  <c:v>22.9</c:v>
                </c:pt>
                <c:pt idx="8" formatCode="0.00">
                  <c:v>24.95</c:v>
                </c:pt>
                <c:pt idx="9" formatCode="0.00">
                  <c:v>27.32</c:v>
                </c:pt>
                <c:pt idx="10" formatCode="0.00">
                  <c:v>30.56</c:v>
                </c:pt>
              </c:numCache>
            </c:numRef>
          </c:val>
        </c:ser>
        <c:dLbls>
          <c:showLegendKey val="0"/>
          <c:showVal val="0"/>
          <c:showCatName val="0"/>
          <c:showSerName val="0"/>
          <c:showPercent val="0"/>
          <c:showBubbleSize val="0"/>
        </c:dLbls>
        <c:gapWidth val="0"/>
        <c:axId val="224480768"/>
        <c:axId val="225315072"/>
      </c:barChart>
      <c:catAx>
        <c:axId val="224480768"/>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a:lstStyle/>
          <a:p>
            <a:pPr>
              <a:defRPr sz="1100">
                <a:latin typeface="Times New Roman"/>
                <a:cs typeface="Times New Roman"/>
              </a:defRPr>
            </a:pPr>
            <a:endParaRPr lang="ru-RU"/>
          </a:p>
        </c:txPr>
        <c:crossAx val="225315072"/>
        <c:crosses val="autoZero"/>
        <c:auto val="1"/>
        <c:lblAlgn val="ctr"/>
        <c:lblOffset val="100"/>
        <c:noMultiLvlLbl val="0"/>
      </c:catAx>
      <c:valAx>
        <c:axId val="225315072"/>
        <c:scaling>
          <c:orientation val="minMax"/>
        </c:scaling>
        <c:delete val="1"/>
        <c:axPos val="l"/>
        <c:majorGridlines/>
        <c:numFmt formatCode="#,##0.00" sourceLinked="1"/>
        <c:majorTickMark val="out"/>
        <c:minorTickMark val="none"/>
        <c:tickLblPos val="nextTo"/>
        <c:crossAx val="224480768"/>
        <c:crosses val="autoZero"/>
        <c:crossBetween val="between"/>
      </c:valAx>
    </c:plotArea>
    <c:legend>
      <c:legendPos val="r"/>
      <c:layout>
        <c:manualLayout>
          <c:xMode val="edge"/>
          <c:yMode val="edge"/>
          <c:x val="0.82687699999999997"/>
          <c:y val="0.52926600000000001"/>
          <c:w val="0.158335"/>
          <c:h val="0.16811799999999999"/>
        </c:manualLayout>
      </c:layout>
      <c:overlay val="0"/>
      <c:txPr>
        <a:bodyPr/>
        <a:lstStyle/>
        <a:p>
          <a:pPr>
            <a:defRPr sz="1100" i="1">
              <a:latin typeface="Times New Roman"/>
              <a:cs typeface="Times New Roman"/>
            </a:defRPr>
          </a:pPr>
          <a:endParaRPr lang="ru-RU"/>
        </a:p>
      </c:txPr>
    </c:legend>
    <c:plotVisOnly val="1"/>
    <c:dispBlanksAs val="gap"/>
    <c:showDLblsOverMax val="0"/>
  </c:chart>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hart>
    <c:title>
      <c:tx>
        <c:rich>
          <a:bodyPr/>
          <a:lstStyle/>
          <a:p>
            <a:pPr>
              <a:defRPr sz="1200">
                <a:latin typeface="Times New Roman"/>
                <a:cs typeface="Times New Roman"/>
              </a:defRPr>
            </a:pPr>
            <a:r>
              <a:rPr lang="ru-RU" sz="1200">
                <a:latin typeface="Times New Roman"/>
                <a:cs typeface="Times New Roman"/>
              </a:rPr>
              <a:t>Динамика изменения тарифов на водоотведение для</a:t>
            </a:r>
            <a:endParaRPr lang="ru-RU"/>
          </a:p>
          <a:p>
            <a:pPr>
              <a:defRPr sz="1200">
                <a:latin typeface="Times New Roman"/>
                <a:cs typeface="Times New Roman"/>
              </a:defRPr>
            </a:pPr>
            <a:r>
              <a:rPr lang="ru-RU" sz="1200">
                <a:latin typeface="Times New Roman"/>
                <a:cs typeface="Times New Roman"/>
              </a:rPr>
              <a:t>МУП  "Комбинат бытовых услуг" за период 2015-2025годы</a:t>
            </a:r>
            <a:endParaRPr lang="ru-RU"/>
          </a:p>
        </c:rich>
      </c:tx>
      <c:layout>
        <c:manualLayout>
          <c:xMode val="edge"/>
          <c:yMode val="edge"/>
          <c:x val="0.163604"/>
          <c:y val="1.3962E-2"/>
        </c:manualLayout>
      </c:layout>
      <c:overlay val="0"/>
    </c:title>
    <c:autoTitleDeleted val="0"/>
    <c:plotArea>
      <c:layout>
        <c:manualLayout>
          <c:layoutTarget val="inner"/>
          <c:xMode val="edge"/>
          <c:yMode val="edge"/>
          <c:x val="6.2972E-2"/>
          <c:y val="0.202574"/>
          <c:w val="0.76144100000000003"/>
          <c:h val="0.63597099999999995"/>
        </c:manualLayout>
      </c:layout>
      <c:barChart>
        <c:barDir val="col"/>
        <c:grouping val="clustered"/>
        <c:varyColors val="0"/>
        <c:ser>
          <c:idx val="1"/>
          <c:order val="0"/>
          <c:tx>
            <c:v>Величина тарифа, руб./куб.м.</c:v>
          </c:tx>
          <c:spPr>
            <a:ln>
              <a:solidFill>
                <a:sysClr val="windowText" lastClr="000000"/>
              </a:solidFill>
            </a:ln>
          </c:spPr>
          <c:invertIfNegative val="0"/>
          <c:dLbls>
            <c:txPr>
              <a:bodyPr/>
              <a:lstStyle/>
              <a:p>
                <a:pPr>
                  <a:defRPr sz="1000" i="1">
                    <a:latin typeface="Times New Roman"/>
                    <a:cs typeface="Times New Roman"/>
                  </a:defRPr>
                </a:pPr>
                <a:endParaRPr lang="ru-RU"/>
              </a:p>
            </c:txPr>
            <c:dLblPos val="inBase"/>
            <c:showLegendKey val="0"/>
            <c:showVal val="1"/>
            <c:showCatName val="0"/>
            <c:showSerName val="0"/>
            <c:showPercent val="0"/>
            <c:showBubbleSize val="0"/>
            <c:showLeaderLines val="0"/>
          </c:dLbls>
          <c:cat>
            <c:numRef>
              <c:f>Данные!$C$25:$M$25</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Данные!$C$26:$M$26</c:f>
              <c:numCache>
                <c:formatCode>#,##0.00</c:formatCode>
                <c:ptCount val="11"/>
                <c:pt idx="0">
                  <c:v>26.55</c:v>
                </c:pt>
                <c:pt idx="1">
                  <c:v>27.41</c:v>
                </c:pt>
                <c:pt idx="2">
                  <c:v>28.24</c:v>
                </c:pt>
                <c:pt idx="3">
                  <c:v>29.08</c:v>
                </c:pt>
                <c:pt idx="4">
                  <c:v>30.5</c:v>
                </c:pt>
                <c:pt idx="5" formatCode="General">
                  <c:v>31.99</c:v>
                </c:pt>
                <c:pt idx="6" formatCode="General">
                  <c:v>33.46</c:v>
                </c:pt>
                <c:pt idx="7" formatCode="0.00">
                  <c:v>35.200000000000003</c:v>
                </c:pt>
                <c:pt idx="8" formatCode="0.00">
                  <c:v>40.340000000000003</c:v>
                </c:pt>
                <c:pt idx="9" formatCode="0.00">
                  <c:v>44.17</c:v>
                </c:pt>
                <c:pt idx="10" formatCode="0.00">
                  <c:v>49.42</c:v>
                </c:pt>
              </c:numCache>
            </c:numRef>
          </c:val>
        </c:ser>
        <c:dLbls>
          <c:showLegendKey val="0"/>
          <c:showVal val="0"/>
          <c:showCatName val="0"/>
          <c:showSerName val="0"/>
          <c:showPercent val="0"/>
          <c:showBubbleSize val="0"/>
        </c:dLbls>
        <c:gapWidth val="0"/>
        <c:axId val="224479232"/>
        <c:axId val="225316800"/>
      </c:barChart>
      <c:catAx>
        <c:axId val="224479232"/>
        <c:scaling>
          <c:orientation val="minMax"/>
        </c:scaling>
        <c:delete val="0"/>
        <c:axPos val="b"/>
        <c:title>
          <c:tx>
            <c:rich>
              <a:bodyPr/>
              <a:lstStyle/>
              <a:p>
                <a:pPr>
                  <a:defRPr sz="1100">
                    <a:latin typeface="Times New Roman"/>
                    <a:cs typeface="Times New Roman"/>
                  </a:defRPr>
                </a:pPr>
                <a:r>
                  <a:rPr lang="ru-RU" sz="1100">
                    <a:latin typeface="Times New Roman"/>
                    <a:cs typeface="Times New Roman"/>
                  </a:rPr>
                  <a:t>Год</a:t>
                </a:r>
                <a:endParaRPr lang="ru-RU"/>
              </a:p>
            </c:rich>
          </c:tx>
          <c:overlay val="0"/>
        </c:title>
        <c:numFmt formatCode="General" sourceLinked="1"/>
        <c:majorTickMark val="out"/>
        <c:minorTickMark val="none"/>
        <c:tickLblPos val="nextTo"/>
        <c:txPr>
          <a:bodyPr/>
          <a:lstStyle/>
          <a:p>
            <a:pPr>
              <a:defRPr sz="1100">
                <a:latin typeface="Times New Roman"/>
                <a:cs typeface="Times New Roman"/>
              </a:defRPr>
            </a:pPr>
            <a:endParaRPr lang="ru-RU"/>
          </a:p>
        </c:txPr>
        <c:crossAx val="225316800"/>
        <c:crosses val="autoZero"/>
        <c:auto val="1"/>
        <c:lblAlgn val="ctr"/>
        <c:lblOffset val="100"/>
        <c:noMultiLvlLbl val="0"/>
      </c:catAx>
      <c:valAx>
        <c:axId val="225316800"/>
        <c:scaling>
          <c:orientation val="minMax"/>
        </c:scaling>
        <c:delete val="1"/>
        <c:axPos val="l"/>
        <c:majorGridlines/>
        <c:numFmt formatCode="#,##0.00" sourceLinked="1"/>
        <c:majorTickMark val="out"/>
        <c:minorTickMark val="none"/>
        <c:tickLblPos val="nextTo"/>
        <c:crossAx val="224479232"/>
        <c:crosses val="autoZero"/>
        <c:crossBetween val="between"/>
      </c:valAx>
    </c:plotArea>
    <c:legend>
      <c:legendPos val="r"/>
      <c:layout>
        <c:manualLayout>
          <c:xMode val="edge"/>
          <c:yMode val="edge"/>
          <c:x val="0.82687699999999997"/>
          <c:y val="0.52926600000000001"/>
          <c:w val="0.158335"/>
          <c:h val="0.16811799999999999"/>
        </c:manualLayout>
      </c:layout>
      <c:overlay val="0"/>
      <c:txPr>
        <a:bodyPr/>
        <a:lstStyle/>
        <a:p>
          <a:pPr>
            <a:defRPr sz="1100" i="1">
              <a:latin typeface="Times New Roman"/>
              <a:cs typeface="Times New Roman"/>
            </a:defRPr>
          </a:pPr>
          <a:endParaRPr lang="ru-RU"/>
        </a:p>
      </c:txPr>
    </c:legend>
    <c:plotVisOnly val="1"/>
    <c:dispBlanksAs val="gap"/>
    <c:showDLblsOverMax val="0"/>
  </c:chart>
  <c:externalData r:id="rId1">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a:cs typeface="Times New Roman"/>
              </a:defRPr>
            </a:pPr>
            <a:r>
              <a:rPr lang="ru-RU" sz="1200">
                <a:latin typeface="Times New Roman"/>
                <a:cs typeface="Times New Roman"/>
              </a:rPr>
              <a:t>Динамика величин тарифов на водоснабжение                                                              за период 2021-2025 г.г.</a:t>
            </a:r>
            <a:endParaRPr lang="ru-RU"/>
          </a:p>
        </c:rich>
      </c:tx>
      <c:overlay val="1"/>
    </c:title>
    <c:autoTitleDeleted val="0"/>
    <c:plotArea>
      <c:layout>
        <c:manualLayout>
          <c:layoutTarget val="inner"/>
          <c:xMode val="edge"/>
          <c:yMode val="edge"/>
          <c:x val="0.104948"/>
          <c:y val="0.142373"/>
          <c:w val="0.74767099999999997"/>
          <c:h val="0.781613"/>
        </c:manualLayout>
      </c:layout>
      <c:lineChart>
        <c:grouping val="standard"/>
        <c:varyColors val="0"/>
        <c:ser>
          <c:idx val="1"/>
          <c:order val="0"/>
          <c:tx>
            <c:strRef>
              <c:f>'Милионники ВС'!$A$4</c:f>
              <c:strCache>
                <c:ptCount val="1"/>
                <c:pt idx="0">
                  <c:v>Максимальный тариф </c:v>
                </c:pt>
              </c:strCache>
            </c:strRef>
          </c:tx>
          <c:marker>
            <c:symbol val="none"/>
          </c:marker>
          <c:dLbls>
            <c:dLbl>
              <c:idx val="0"/>
              <c:layout>
                <c:manualLayout>
                  <c:x val="-1.3011E-2"/>
                  <c:y val="-2.8889000000000001E-2"/>
                </c:manualLayout>
              </c:layout>
              <c:showLegendKey val="0"/>
              <c:showVal val="1"/>
              <c:showCatName val="0"/>
              <c:showSerName val="0"/>
              <c:showPercent val="0"/>
              <c:showBubbleSize val="0"/>
            </c:dLbl>
            <c:dLbl>
              <c:idx val="1"/>
              <c:layout>
                <c:manualLayout>
                  <c:x val="-6.5050000000000004E-3"/>
                  <c:y val="-2.4444E-2"/>
                </c:manualLayout>
              </c:layout>
              <c:showLegendKey val="0"/>
              <c:showVal val="1"/>
              <c:showCatName val="0"/>
              <c:showSerName val="0"/>
              <c:showPercent val="0"/>
              <c:showBubbleSize val="0"/>
            </c:dLbl>
            <c:dLbl>
              <c:idx val="2"/>
              <c:layout>
                <c:manualLayout>
                  <c:x val="-9.7579999999999993E-3"/>
                  <c:y val="1.5556E-2"/>
                </c:manualLayout>
              </c:layout>
              <c:showLegendKey val="0"/>
              <c:showVal val="1"/>
              <c:showCatName val="0"/>
              <c:showSerName val="0"/>
              <c:showPercent val="0"/>
              <c:showBubbleSize val="0"/>
            </c:dLbl>
            <c:dLbl>
              <c:idx val="3"/>
              <c:layout>
                <c:manualLayout>
                  <c:x val="3.2529999999999998E-3"/>
                  <c:y val="8.8889999999999993E-3"/>
                </c:manualLayout>
              </c:layout>
              <c:showLegendKey val="0"/>
              <c:showVal val="1"/>
              <c:showCatName val="0"/>
              <c:showSerName val="0"/>
              <c:showPercent val="0"/>
              <c:showBubbleSize val="0"/>
            </c:dLbl>
            <c:dLbl>
              <c:idx val="4"/>
              <c:layout>
                <c:manualLayout>
                  <c:x val="-6.5050000000000004E-3"/>
                  <c:y val="0.02"/>
                </c:manualLayout>
              </c:layout>
              <c:showLegendKey val="0"/>
              <c:showVal val="1"/>
              <c:showCatName val="0"/>
              <c:showSerName val="0"/>
              <c:showPercent val="0"/>
              <c:showBubbleSize val="0"/>
            </c:dLbl>
            <c:dLbl>
              <c:idx val="10"/>
              <c:layout>
                <c:manualLayout>
                  <c:x val="-1.9691E-2"/>
                  <c:y val="-4.2329999999999998E-3"/>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1"/>
            <c:showCatName val="0"/>
            <c:showSerName val="0"/>
            <c:showPercent val="0"/>
            <c:showBubbleSize val="0"/>
            <c:showLeaderLines val="0"/>
          </c:dLbls>
          <c:cat>
            <c:numRef>
              <c:f>'Милионники ВС'!$B$2:$F$2</c:f>
              <c:numCache>
                <c:formatCode>General</c:formatCode>
                <c:ptCount val="5"/>
                <c:pt idx="0">
                  <c:v>2021</c:v>
                </c:pt>
                <c:pt idx="1">
                  <c:v>2022</c:v>
                </c:pt>
                <c:pt idx="2">
                  <c:v>2023</c:v>
                </c:pt>
                <c:pt idx="3">
                  <c:v>2024</c:v>
                </c:pt>
                <c:pt idx="4">
                  <c:v>2025</c:v>
                </c:pt>
              </c:numCache>
            </c:numRef>
          </c:cat>
          <c:val>
            <c:numRef>
              <c:f>'Милионники ВС'!$B$4:$F$4</c:f>
              <c:numCache>
                <c:formatCode>0.00</c:formatCode>
                <c:ptCount val="5"/>
                <c:pt idx="0">
                  <c:v>43.57</c:v>
                </c:pt>
                <c:pt idx="1">
                  <c:v>45.88</c:v>
                </c:pt>
                <c:pt idx="2">
                  <c:v>50.93</c:v>
                </c:pt>
                <c:pt idx="3">
                  <c:v>59.8</c:v>
                </c:pt>
                <c:pt idx="4">
                  <c:v>65.77</c:v>
                </c:pt>
              </c:numCache>
            </c:numRef>
          </c:val>
          <c:smooth val="0"/>
        </c:ser>
        <c:ser>
          <c:idx val="2"/>
          <c:order val="1"/>
          <c:tx>
            <c:strRef>
              <c:f>'Милионники ВС'!$A$5</c:f>
              <c:strCache>
                <c:ptCount val="1"/>
                <c:pt idx="0">
                  <c:v>Новосибирск</c:v>
                </c:pt>
              </c:strCache>
            </c:strRef>
          </c:tx>
          <c:marker>
            <c:symbol val="none"/>
          </c:marker>
          <c:dLbls>
            <c:dLbl>
              <c:idx val="0"/>
              <c:layout>
                <c:manualLayout>
                  <c:x val="-3.2529999999999998E-3"/>
                  <c:y val="-0.02"/>
                </c:manualLayout>
              </c:layout>
              <c:showLegendKey val="0"/>
              <c:showVal val="1"/>
              <c:showCatName val="0"/>
              <c:showSerName val="0"/>
              <c:showPercent val="0"/>
              <c:showBubbleSize val="0"/>
            </c:dLbl>
            <c:dLbl>
              <c:idx val="1"/>
              <c:layout>
                <c:manualLayout>
                  <c:x val="1.6260000000000001E-3"/>
                  <c:y val="-2.2221999999999999E-2"/>
                </c:manualLayout>
              </c:layout>
              <c:showLegendKey val="0"/>
              <c:showVal val="1"/>
              <c:showCatName val="0"/>
              <c:showSerName val="0"/>
              <c:showPercent val="0"/>
              <c:showBubbleSize val="0"/>
            </c:dLbl>
            <c:dLbl>
              <c:idx val="2"/>
              <c:layout>
                <c:manualLayout>
                  <c:x val="-6.5050000000000004E-3"/>
                  <c:y val="-2.2221999999999999E-2"/>
                </c:manualLayout>
              </c:layout>
              <c:showLegendKey val="0"/>
              <c:showVal val="1"/>
              <c:showCatName val="0"/>
              <c:showSerName val="0"/>
              <c:showPercent val="0"/>
              <c:showBubbleSize val="0"/>
            </c:dLbl>
            <c:dLbl>
              <c:idx val="3"/>
              <c:layout>
                <c:manualLayout>
                  <c:x val="-3.2529999999999998E-3"/>
                  <c:y val="-2.2221999999999999E-2"/>
                </c:manualLayout>
              </c:layout>
              <c:showLegendKey val="0"/>
              <c:showVal val="1"/>
              <c:showCatName val="0"/>
              <c:showSerName val="0"/>
              <c:showPercent val="0"/>
              <c:showBubbleSize val="0"/>
            </c:dLbl>
            <c:dLbl>
              <c:idx val="4"/>
              <c:layout>
                <c:manualLayout>
                  <c:x val="0"/>
                  <c:y val="-1.5556E-2"/>
                </c:manualLayout>
              </c:layout>
              <c:showLegendKey val="0"/>
              <c:showVal val="1"/>
              <c:showCatName val="0"/>
              <c:showSerName val="0"/>
              <c:showPercent val="0"/>
              <c:showBubbleSize val="0"/>
            </c:dLbl>
            <c:dLbl>
              <c:idx val="10"/>
              <c:layout>
                <c:manualLayout>
                  <c:x val="-2.1003000000000001E-2"/>
                  <c:y val="-1.4815E-2"/>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1"/>
            <c:showCatName val="0"/>
            <c:showSerName val="0"/>
            <c:showPercent val="0"/>
            <c:showBubbleSize val="0"/>
            <c:showLeaderLines val="0"/>
          </c:dLbls>
          <c:cat>
            <c:numRef>
              <c:f>'Милионники ВС'!$B$2:$F$2</c:f>
              <c:numCache>
                <c:formatCode>General</c:formatCode>
                <c:ptCount val="5"/>
                <c:pt idx="0">
                  <c:v>2021</c:v>
                </c:pt>
                <c:pt idx="1">
                  <c:v>2022</c:v>
                </c:pt>
                <c:pt idx="2">
                  <c:v>2023</c:v>
                </c:pt>
                <c:pt idx="3">
                  <c:v>2024</c:v>
                </c:pt>
                <c:pt idx="4">
                  <c:v>2025</c:v>
                </c:pt>
              </c:numCache>
            </c:numRef>
          </c:cat>
          <c:val>
            <c:numRef>
              <c:f>'Милионники ВС'!$B$5:$F$5</c:f>
              <c:numCache>
                <c:formatCode>0.00</c:formatCode>
                <c:ptCount val="5"/>
                <c:pt idx="0">
                  <c:v>20.350000000000001</c:v>
                </c:pt>
                <c:pt idx="1">
                  <c:v>21.4</c:v>
                </c:pt>
                <c:pt idx="2">
                  <c:v>23.95</c:v>
                </c:pt>
                <c:pt idx="3">
                  <c:v>26.22</c:v>
                </c:pt>
                <c:pt idx="4">
                  <c:v>29.34</c:v>
                </c:pt>
              </c:numCache>
            </c:numRef>
          </c:val>
          <c:smooth val="0"/>
        </c:ser>
        <c:ser>
          <c:idx val="0"/>
          <c:order val="2"/>
          <c:tx>
            <c:strRef>
              <c:f>'Милионники ВС'!$A$6</c:f>
              <c:strCache>
                <c:ptCount val="1"/>
                <c:pt idx="0">
                  <c:v>Минимальный тариф</c:v>
                </c:pt>
              </c:strCache>
            </c:strRef>
          </c:tx>
          <c:marker>
            <c:symbol val="none"/>
          </c:marker>
          <c:dLbls>
            <c:dLbl>
              <c:idx val="0"/>
              <c:layout>
                <c:manualLayout>
                  <c:x val="0"/>
                  <c:y val="2.2221999999999999E-2"/>
                </c:manualLayout>
              </c:layout>
              <c:showLegendKey val="0"/>
              <c:showVal val="1"/>
              <c:showCatName val="0"/>
              <c:showSerName val="0"/>
              <c:showPercent val="0"/>
              <c:showBubbleSize val="0"/>
            </c:dLbl>
            <c:dLbl>
              <c:idx val="1"/>
              <c:layout>
                <c:manualLayout>
                  <c:x val="0"/>
                  <c:y val="0.02"/>
                </c:manualLayout>
              </c:layout>
              <c:showLegendKey val="0"/>
              <c:showVal val="1"/>
              <c:showCatName val="0"/>
              <c:showSerName val="0"/>
              <c:showPercent val="0"/>
              <c:showBubbleSize val="0"/>
            </c:dLbl>
            <c:dLbl>
              <c:idx val="2"/>
              <c:layout>
                <c:manualLayout>
                  <c:x val="0"/>
                  <c:y val="1.5556E-2"/>
                </c:manualLayout>
              </c:layout>
              <c:showLegendKey val="0"/>
              <c:showVal val="1"/>
              <c:showCatName val="0"/>
              <c:showSerName val="0"/>
              <c:showPercent val="0"/>
              <c:showBubbleSize val="0"/>
            </c:dLbl>
            <c:dLbl>
              <c:idx val="3"/>
              <c:layout>
                <c:manualLayout>
                  <c:x val="-1.1384999999999999E-2"/>
                  <c:y val="1.1110999999999999E-2"/>
                </c:manualLayout>
              </c:layout>
              <c:showLegendKey val="0"/>
              <c:showVal val="1"/>
              <c:showCatName val="0"/>
              <c:showSerName val="0"/>
              <c:showPercent val="0"/>
              <c:showBubbleSize val="0"/>
            </c:dLbl>
            <c:dLbl>
              <c:idx val="4"/>
              <c:layout>
                <c:manualLayout>
                  <c:x val="-4.8789999999999997E-3"/>
                  <c:y val="4.444E-3"/>
                </c:manualLayout>
              </c:layout>
              <c:showLegendKey val="0"/>
              <c:showVal val="1"/>
              <c:showCatName val="0"/>
              <c:showSerName val="0"/>
              <c:showPercent val="0"/>
              <c:showBubbleSize val="0"/>
            </c:dLbl>
            <c:dLbl>
              <c:idx val="5"/>
              <c:showLegendKey val="0"/>
              <c:showVal val="1"/>
              <c:showCatName val="0"/>
              <c:showSerName val="0"/>
              <c:showPercent val="0"/>
              <c:showBubbleSize val="0"/>
            </c:dLbl>
            <c:dLbl>
              <c:idx val="6"/>
              <c:showLegendKey val="0"/>
              <c:showVal val="1"/>
              <c:showCatName val="0"/>
              <c:showSerName val="0"/>
              <c:showPercent val="0"/>
              <c:showBubbleSize val="0"/>
            </c:dLbl>
            <c:dLbl>
              <c:idx val="7"/>
              <c:showLegendKey val="0"/>
              <c:showVal val="1"/>
              <c:showCatName val="0"/>
              <c:showSerName val="0"/>
              <c:showPercent val="0"/>
              <c:showBubbleSize val="0"/>
            </c:dLbl>
            <c:dLbl>
              <c:idx val="8"/>
              <c:showLegendKey val="0"/>
              <c:showVal val="1"/>
              <c:showCatName val="0"/>
              <c:showSerName val="0"/>
              <c:showPercent val="0"/>
              <c:showBubbleSize val="0"/>
            </c:dLbl>
            <c:dLbl>
              <c:idx val="9"/>
              <c:showLegendKey val="0"/>
              <c:showVal val="1"/>
              <c:showCatName val="0"/>
              <c:showSerName val="0"/>
              <c:showPercent val="0"/>
              <c:showBubbleSize val="0"/>
            </c:dLbl>
            <c:dLbl>
              <c:idx val="10"/>
              <c:layout>
                <c:manualLayout>
                  <c:x val="-1.1814E-2"/>
                  <c:y val="1.4815E-2"/>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0"/>
            <c:showCatName val="0"/>
            <c:showSerName val="0"/>
            <c:showPercent val="0"/>
            <c:showBubbleSize val="0"/>
          </c:dLbls>
          <c:cat>
            <c:numRef>
              <c:f>'Милионники ВС'!$B$2:$F$2</c:f>
              <c:numCache>
                <c:formatCode>General</c:formatCode>
                <c:ptCount val="5"/>
                <c:pt idx="0">
                  <c:v>2021</c:v>
                </c:pt>
                <c:pt idx="1">
                  <c:v>2022</c:v>
                </c:pt>
                <c:pt idx="2">
                  <c:v>2023</c:v>
                </c:pt>
                <c:pt idx="3">
                  <c:v>2024</c:v>
                </c:pt>
                <c:pt idx="4">
                  <c:v>2025</c:v>
                </c:pt>
              </c:numCache>
            </c:numRef>
          </c:cat>
          <c:val>
            <c:numRef>
              <c:f>'Милионники ВС'!$B$6:$F$6</c:f>
              <c:numCache>
                <c:formatCode>0.00</c:formatCode>
                <c:ptCount val="5"/>
                <c:pt idx="0">
                  <c:v>18.88</c:v>
                </c:pt>
                <c:pt idx="1">
                  <c:v>19.87</c:v>
                </c:pt>
                <c:pt idx="2">
                  <c:v>21.65</c:v>
                </c:pt>
                <c:pt idx="3">
                  <c:v>24.37</c:v>
                </c:pt>
                <c:pt idx="4">
                  <c:v>27.78</c:v>
                </c:pt>
              </c:numCache>
            </c:numRef>
          </c:val>
          <c:smooth val="0"/>
        </c:ser>
        <c:dLbls>
          <c:showLegendKey val="0"/>
          <c:showVal val="0"/>
          <c:showCatName val="0"/>
          <c:showSerName val="0"/>
          <c:showPercent val="0"/>
          <c:showBubbleSize val="0"/>
        </c:dLbls>
        <c:marker val="1"/>
        <c:smooth val="0"/>
        <c:axId val="224393728"/>
        <c:axId val="225317952"/>
      </c:lineChart>
      <c:catAx>
        <c:axId val="224393728"/>
        <c:scaling>
          <c:orientation val="minMax"/>
        </c:scaling>
        <c:delete val="0"/>
        <c:axPos val="b"/>
        <c:numFmt formatCode="General" sourceLinked="1"/>
        <c:majorTickMark val="out"/>
        <c:minorTickMark val="none"/>
        <c:tickLblPos val="nextTo"/>
        <c:txPr>
          <a:bodyPr/>
          <a:lstStyle/>
          <a:p>
            <a:pPr>
              <a:defRPr sz="1100">
                <a:latin typeface="Times New Roman"/>
                <a:cs typeface="Times New Roman"/>
              </a:defRPr>
            </a:pPr>
            <a:endParaRPr lang="ru-RU"/>
          </a:p>
        </c:txPr>
        <c:crossAx val="225317952"/>
        <c:crosses val="autoZero"/>
        <c:auto val="1"/>
        <c:lblAlgn val="ctr"/>
        <c:lblOffset val="100"/>
        <c:noMultiLvlLbl val="0"/>
      </c:catAx>
      <c:valAx>
        <c:axId val="225317952"/>
        <c:scaling>
          <c:orientation val="minMax"/>
        </c:scaling>
        <c:delete val="0"/>
        <c:axPos val="l"/>
        <c:majorGridlines/>
        <c:title>
          <c:tx>
            <c:rich>
              <a:bodyPr rot="-5400000" vert="horz"/>
              <a:lstStyle/>
              <a:p>
                <a:pPr>
                  <a:defRPr b="1">
                    <a:latin typeface="Times New Roman"/>
                    <a:cs typeface="Times New Roman"/>
                  </a:defRPr>
                </a:pPr>
                <a:r>
                  <a:rPr lang="ru-RU" b="1">
                    <a:latin typeface="Times New Roman"/>
                    <a:cs typeface="Times New Roman"/>
                  </a:rPr>
                  <a:t>руб./м3</a:t>
                </a:r>
                <a:endParaRPr lang="ru-RU"/>
              </a:p>
            </c:rich>
          </c:tx>
          <c:layout>
            <c:manualLayout>
              <c:xMode val="edge"/>
              <c:yMode val="edge"/>
              <c:x val="4.8069999999999996E-3"/>
              <c:y val="0.462225"/>
            </c:manualLayout>
          </c:layout>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4393728"/>
        <c:crosses val="autoZero"/>
        <c:crossBetween val="between"/>
      </c:valAx>
    </c:plotArea>
    <c:legend>
      <c:legendPos val="r"/>
      <c:layout>
        <c:manualLayout>
          <c:xMode val="edge"/>
          <c:yMode val="edge"/>
          <c:x val="0.76245099999999999"/>
          <c:y val="0.35011900000000001"/>
          <c:w val="0.22423399999999999"/>
          <c:h val="0.18198300000000001"/>
        </c:manualLayout>
      </c:layout>
      <c:overlay val="0"/>
      <c:txPr>
        <a:bodyPr/>
        <a:lstStyle/>
        <a:p>
          <a:pPr>
            <a:defRPr>
              <a:latin typeface="Times New Roman"/>
              <a:cs typeface="Times New Roman"/>
            </a:defRPr>
          </a:pPr>
          <a:endParaRPr lang="ru-RU"/>
        </a:p>
      </c:txPr>
    </c:legend>
    <c:plotVisOnly val="1"/>
    <c:dispBlanksAs val="gap"/>
    <c:showDLblsOverMax val="0"/>
  </c:chart>
  <c:externalData r:id="rId2">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a:cs typeface="Times New Roman"/>
              </a:defRPr>
            </a:pPr>
            <a:r>
              <a:rPr lang="ru-RU" sz="1200">
                <a:latin typeface="Times New Roman"/>
                <a:cs typeface="Times New Roman"/>
              </a:rPr>
              <a:t>Динамика величин тарифов на водоснабжение за период </a:t>
            </a:r>
            <a:endParaRPr lang="ru-RU"/>
          </a:p>
          <a:p>
            <a:pPr>
              <a:defRPr sz="1200">
                <a:latin typeface="Times New Roman"/>
                <a:cs typeface="Times New Roman"/>
              </a:defRPr>
            </a:pPr>
            <a:r>
              <a:rPr lang="ru-RU" sz="1200">
                <a:latin typeface="Times New Roman"/>
                <a:cs typeface="Times New Roman"/>
              </a:rPr>
              <a:t>2021-2025 г.г.</a:t>
            </a:r>
            <a:endParaRPr lang="ru-RU"/>
          </a:p>
        </c:rich>
      </c:tx>
      <c:layout>
        <c:manualLayout>
          <c:xMode val="edge"/>
          <c:yMode val="edge"/>
          <c:x val="0.170096"/>
          <c:y val="2.3477999999999999E-2"/>
        </c:manualLayout>
      </c:layout>
      <c:overlay val="1"/>
    </c:title>
    <c:autoTitleDeleted val="0"/>
    <c:plotArea>
      <c:layout>
        <c:manualLayout>
          <c:layoutTarget val="inner"/>
          <c:xMode val="edge"/>
          <c:yMode val="edge"/>
          <c:x val="0.108498"/>
          <c:y val="0.145763"/>
          <c:w val="0.70753617104826638"/>
          <c:h val="0.72571385947982081"/>
        </c:manualLayout>
      </c:layout>
      <c:lineChart>
        <c:grouping val="standard"/>
        <c:varyColors val="0"/>
        <c:ser>
          <c:idx val="1"/>
          <c:order val="0"/>
          <c:tx>
            <c:strRef>
              <c:f>'СФО ВС'!$A$4</c:f>
              <c:strCache>
                <c:ptCount val="1"/>
                <c:pt idx="0">
                  <c:v>Максимальный тариф </c:v>
                </c:pt>
              </c:strCache>
            </c:strRef>
          </c:tx>
          <c:marker>
            <c:symbol val="none"/>
          </c:marker>
          <c:dLbls>
            <c:dLbl>
              <c:idx val="0"/>
              <c:layout>
                <c:manualLayout>
                  <c:x val="-2.1309000000000002E-2"/>
                  <c:y val="-1.7777999999999999E-2"/>
                </c:manualLayout>
              </c:layout>
              <c:showLegendKey val="0"/>
              <c:showVal val="1"/>
              <c:showCatName val="0"/>
              <c:showSerName val="0"/>
              <c:showPercent val="0"/>
              <c:showBubbleSize val="0"/>
            </c:dLbl>
            <c:dLbl>
              <c:idx val="1"/>
              <c:layout>
                <c:manualLayout>
                  <c:x val="-4.5659999999999997E-3"/>
                  <c:y val="1.5556E-2"/>
                </c:manualLayout>
              </c:layout>
              <c:showLegendKey val="0"/>
              <c:showVal val="1"/>
              <c:showCatName val="0"/>
              <c:showSerName val="0"/>
              <c:showPercent val="0"/>
              <c:showBubbleSize val="0"/>
            </c:dLbl>
            <c:dLbl>
              <c:idx val="2"/>
              <c:layout>
                <c:manualLayout>
                  <c:x val="7.6099999999999996E-3"/>
                  <c:y val="1.5556E-2"/>
                </c:manualLayout>
              </c:layout>
              <c:showLegendKey val="0"/>
              <c:showVal val="1"/>
              <c:showCatName val="0"/>
              <c:showSerName val="0"/>
              <c:showPercent val="0"/>
              <c:showBubbleSize val="0"/>
            </c:dLbl>
            <c:dLbl>
              <c:idx val="3"/>
              <c:layout>
                <c:manualLayout>
                  <c:x val="3.0439999999999998E-3"/>
                  <c:y val="8.8889999999999993E-3"/>
                </c:manualLayout>
              </c:layout>
              <c:showLegendKey val="0"/>
              <c:showVal val="1"/>
              <c:showCatName val="0"/>
              <c:showSerName val="0"/>
              <c:showPercent val="0"/>
              <c:showBubbleSize val="0"/>
            </c:dLbl>
            <c:dLbl>
              <c:idx val="4"/>
              <c:layout>
                <c:manualLayout>
                  <c:x val="-1.2175999999999999E-2"/>
                  <c:y val="4.444E-3"/>
                </c:manualLayout>
              </c:layout>
              <c:showLegendKey val="0"/>
              <c:showVal val="1"/>
              <c:showCatName val="0"/>
              <c:showSerName val="0"/>
              <c:showPercent val="0"/>
              <c:showBubbleSize val="0"/>
            </c:dLbl>
            <c:dLbl>
              <c:idx val="10"/>
              <c:layout>
                <c:manualLayout>
                  <c:x val="-2.3428999999999998E-2"/>
                  <c:y val="-1.299E-2"/>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1"/>
            <c:showCatName val="0"/>
            <c:showSerName val="0"/>
            <c:showPercent val="0"/>
            <c:showBubbleSize val="0"/>
            <c:showLeaderLines val="0"/>
          </c:dLbls>
          <c:cat>
            <c:numRef>
              <c:f>'СФО ВС'!$B$2:$F$2</c:f>
              <c:numCache>
                <c:formatCode>General</c:formatCode>
                <c:ptCount val="5"/>
                <c:pt idx="0">
                  <c:v>2021</c:v>
                </c:pt>
                <c:pt idx="1">
                  <c:v>2022</c:v>
                </c:pt>
                <c:pt idx="2">
                  <c:v>2023</c:v>
                </c:pt>
                <c:pt idx="3">
                  <c:v>2024</c:v>
                </c:pt>
                <c:pt idx="4">
                  <c:v>2025</c:v>
                </c:pt>
              </c:numCache>
            </c:numRef>
          </c:cat>
          <c:val>
            <c:numRef>
              <c:f>'СФО ВС'!$B$4:$F$4</c:f>
              <c:numCache>
                <c:formatCode>General</c:formatCode>
                <c:ptCount val="5"/>
                <c:pt idx="0" formatCode="0.00">
                  <c:v>53.4</c:v>
                </c:pt>
                <c:pt idx="1">
                  <c:v>56.76</c:v>
                </c:pt>
                <c:pt idx="2" formatCode="0.00">
                  <c:v>63.4</c:v>
                </c:pt>
                <c:pt idx="3" formatCode="0.00">
                  <c:v>72.28</c:v>
                </c:pt>
                <c:pt idx="4" formatCode="0.00">
                  <c:v>78.83</c:v>
                </c:pt>
              </c:numCache>
            </c:numRef>
          </c:val>
          <c:smooth val="0"/>
        </c:ser>
        <c:ser>
          <c:idx val="2"/>
          <c:order val="1"/>
          <c:tx>
            <c:strRef>
              <c:f>'СФО ВС'!$A$5</c:f>
              <c:strCache>
                <c:ptCount val="1"/>
                <c:pt idx="0">
                  <c:v>Новосибирск</c:v>
                </c:pt>
              </c:strCache>
            </c:strRef>
          </c:tx>
          <c:marker>
            <c:symbol val="none"/>
          </c:marker>
          <c:dLbls>
            <c:dLbl>
              <c:idx val="0"/>
              <c:layout>
                <c:manualLayout>
                  <c:x val="1.5219999999999999E-3"/>
                  <c:y val="-2.2221999999999999E-2"/>
                </c:manualLayout>
              </c:layout>
              <c:showLegendKey val="0"/>
              <c:showVal val="1"/>
              <c:showCatName val="0"/>
              <c:showSerName val="0"/>
              <c:showPercent val="0"/>
              <c:showBubbleSize val="0"/>
            </c:dLbl>
            <c:dLbl>
              <c:idx val="1"/>
              <c:layout>
                <c:manualLayout>
                  <c:x val="0"/>
                  <c:y val="-0.02"/>
                </c:manualLayout>
              </c:layout>
              <c:showLegendKey val="0"/>
              <c:showVal val="1"/>
              <c:showCatName val="0"/>
              <c:showSerName val="0"/>
              <c:showPercent val="0"/>
              <c:showBubbleSize val="0"/>
            </c:dLbl>
            <c:dLbl>
              <c:idx val="2"/>
              <c:layout>
                <c:manualLayout>
                  <c:x val="-9.1319999999999995E-3"/>
                  <c:y val="-2.8889000000000001E-2"/>
                </c:manualLayout>
              </c:layout>
              <c:showLegendKey val="0"/>
              <c:showVal val="1"/>
              <c:showCatName val="0"/>
              <c:showSerName val="0"/>
              <c:showPercent val="0"/>
              <c:showBubbleSize val="0"/>
            </c:dLbl>
            <c:dLbl>
              <c:idx val="3"/>
              <c:layout>
                <c:manualLayout>
                  <c:x val="-3.0439999999999998E-3"/>
                  <c:y val="-2.6667E-2"/>
                </c:manualLayout>
              </c:layout>
              <c:showLegendKey val="0"/>
              <c:showVal val="1"/>
              <c:showCatName val="0"/>
              <c:showSerName val="0"/>
              <c:showPercent val="0"/>
              <c:showBubbleSize val="0"/>
            </c:dLbl>
            <c:dLbl>
              <c:idx val="4"/>
              <c:layout>
                <c:manualLayout>
                  <c:x val="-1.6743000000000001E-2"/>
                  <c:y val="-1.7777999999999999E-2"/>
                </c:manualLayout>
              </c:layout>
              <c:showLegendKey val="0"/>
              <c:showVal val="1"/>
              <c:showCatName val="0"/>
              <c:showSerName val="0"/>
              <c:showPercent val="0"/>
              <c:showBubbleSize val="0"/>
            </c:dLbl>
            <c:dLbl>
              <c:idx val="10"/>
              <c:layout>
                <c:manualLayout>
                  <c:x val="-2.3428999999999998E-2"/>
                  <c:y val="-1.299E-2"/>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1"/>
            <c:showCatName val="0"/>
            <c:showSerName val="0"/>
            <c:showPercent val="0"/>
            <c:showBubbleSize val="0"/>
            <c:showLeaderLines val="0"/>
          </c:dLbls>
          <c:cat>
            <c:numRef>
              <c:f>'СФО ВС'!$B$2:$F$2</c:f>
              <c:numCache>
                <c:formatCode>General</c:formatCode>
                <c:ptCount val="5"/>
                <c:pt idx="0">
                  <c:v>2021</c:v>
                </c:pt>
                <c:pt idx="1">
                  <c:v>2022</c:v>
                </c:pt>
                <c:pt idx="2">
                  <c:v>2023</c:v>
                </c:pt>
                <c:pt idx="3">
                  <c:v>2024</c:v>
                </c:pt>
                <c:pt idx="4">
                  <c:v>2025</c:v>
                </c:pt>
              </c:numCache>
            </c:numRef>
          </c:cat>
          <c:val>
            <c:numRef>
              <c:f>'СФО ВС'!$B$5:$F$5</c:f>
              <c:numCache>
                <c:formatCode>0.00</c:formatCode>
                <c:ptCount val="5"/>
                <c:pt idx="0" formatCode="General">
                  <c:v>20.350000000000001</c:v>
                </c:pt>
                <c:pt idx="1">
                  <c:v>21.4</c:v>
                </c:pt>
                <c:pt idx="2">
                  <c:v>23.95</c:v>
                </c:pt>
                <c:pt idx="3">
                  <c:v>26.22</c:v>
                </c:pt>
                <c:pt idx="4">
                  <c:v>29.34</c:v>
                </c:pt>
              </c:numCache>
            </c:numRef>
          </c:val>
          <c:smooth val="0"/>
        </c:ser>
        <c:ser>
          <c:idx val="0"/>
          <c:order val="2"/>
          <c:tx>
            <c:strRef>
              <c:f>'СФО ВС'!$A$6</c:f>
              <c:strCache>
                <c:ptCount val="1"/>
                <c:pt idx="0">
                  <c:v>Минимальный тариф</c:v>
                </c:pt>
              </c:strCache>
            </c:strRef>
          </c:tx>
          <c:marker>
            <c:symbol val="none"/>
          </c:marker>
          <c:dLbls>
            <c:dLbl>
              <c:idx val="0"/>
              <c:layout>
                <c:manualLayout>
                  <c:x val="0"/>
                  <c:y val="0.02"/>
                </c:manualLayout>
              </c:layout>
              <c:showLegendKey val="0"/>
              <c:showVal val="1"/>
              <c:showCatName val="0"/>
              <c:showSerName val="0"/>
              <c:showPercent val="0"/>
              <c:showBubbleSize val="0"/>
            </c:dLbl>
            <c:dLbl>
              <c:idx val="1"/>
              <c:layout>
                <c:manualLayout>
                  <c:x val="1.5219999999999999E-3"/>
                  <c:y val="2.2221999999999999E-2"/>
                </c:manualLayout>
              </c:layout>
              <c:showLegendKey val="0"/>
              <c:showVal val="1"/>
              <c:showCatName val="0"/>
              <c:showSerName val="0"/>
              <c:showPercent val="0"/>
              <c:showBubbleSize val="0"/>
            </c:dLbl>
            <c:dLbl>
              <c:idx val="2"/>
              <c:layout>
                <c:manualLayout>
                  <c:x val="3.0439999999999998E-3"/>
                  <c:y val="2.2221999999999999E-2"/>
                </c:manualLayout>
              </c:layout>
              <c:showLegendKey val="0"/>
              <c:showVal val="1"/>
              <c:showCatName val="0"/>
              <c:showSerName val="0"/>
              <c:showPercent val="0"/>
              <c:showBubbleSize val="0"/>
            </c:dLbl>
            <c:dLbl>
              <c:idx val="3"/>
              <c:layout>
                <c:manualLayout>
                  <c:x val="0"/>
                  <c:y val="0.02"/>
                </c:manualLayout>
              </c:layout>
              <c:showLegendKey val="0"/>
              <c:showVal val="1"/>
              <c:showCatName val="0"/>
              <c:showSerName val="0"/>
              <c:showPercent val="0"/>
              <c:showBubbleSize val="0"/>
            </c:dLbl>
            <c:dLbl>
              <c:idx val="4"/>
              <c:layout>
                <c:manualLayout>
                  <c:x val="-9.1319999999999995E-3"/>
                  <c:y val="1.5556E-2"/>
                </c:manualLayout>
              </c:layout>
              <c:showLegendKey val="0"/>
              <c:showVal val="1"/>
              <c:showCatName val="0"/>
              <c:showSerName val="0"/>
              <c:showPercent val="0"/>
              <c:showBubbleSize val="0"/>
            </c:dLbl>
            <c:dLbl>
              <c:idx val="5"/>
              <c:showLegendKey val="0"/>
              <c:showVal val="1"/>
              <c:showCatName val="0"/>
              <c:showSerName val="0"/>
              <c:showPercent val="0"/>
              <c:showBubbleSize val="0"/>
            </c:dLbl>
            <c:dLbl>
              <c:idx val="6"/>
              <c:showLegendKey val="0"/>
              <c:showVal val="1"/>
              <c:showCatName val="0"/>
              <c:showSerName val="0"/>
              <c:showPercent val="0"/>
              <c:showBubbleSize val="0"/>
            </c:dLbl>
            <c:dLbl>
              <c:idx val="7"/>
              <c:showLegendKey val="0"/>
              <c:showVal val="1"/>
              <c:showCatName val="0"/>
              <c:showSerName val="0"/>
              <c:showPercent val="0"/>
              <c:showBubbleSize val="0"/>
            </c:dLbl>
            <c:dLbl>
              <c:idx val="8"/>
              <c:showLegendKey val="0"/>
              <c:showVal val="1"/>
              <c:showCatName val="0"/>
              <c:showSerName val="0"/>
              <c:showPercent val="0"/>
              <c:showBubbleSize val="0"/>
            </c:dLbl>
            <c:dLbl>
              <c:idx val="9"/>
              <c:showLegendKey val="0"/>
              <c:showVal val="1"/>
              <c:showCatName val="0"/>
              <c:showSerName val="0"/>
              <c:showPercent val="0"/>
              <c:showBubbleSize val="0"/>
            </c:dLbl>
            <c:dLbl>
              <c:idx val="10"/>
              <c:layout>
                <c:manualLayout>
                  <c:x val="-2.4990999999999999E-2"/>
                  <c:y val="-1.8186000000000001E-2"/>
                </c:manualLayout>
              </c:layout>
              <c:showLegendKey val="0"/>
              <c:showVal val="1"/>
              <c:showCatName val="0"/>
              <c:showSerName val="0"/>
              <c:showPercent val="0"/>
              <c:showBubbleSize val="0"/>
            </c:dLbl>
            <c:txPr>
              <a:bodyPr/>
              <a:lstStyle/>
              <a:p>
                <a:pPr>
                  <a:defRPr>
                    <a:latin typeface="Times New Roman"/>
                    <a:cs typeface="Times New Roman"/>
                  </a:defRPr>
                </a:pPr>
                <a:endParaRPr lang="ru-RU"/>
              </a:p>
            </c:txPr>
            <c:showLegendKey val="0"/>
            <c:showVal val="0"/>
            <c:showCatName val="0"/>
            <c:showSerName val="0"/>
            <c:showPercent val="0"/>
            <c:showBubbleSize val="0"/>
          </c:dLbls>
          <c:cat>
            <c:numRef>
              <c:f>'СФО ВС'!$B$2:$F$2</c:f>
              <c:numCache>
                <c:formatCode>General</c:formatCode>
                <c:ptCount val="5"/>
                <c:pt idx="0">
                  <c:v>2021</c:v>
                </c:pt>
                <c:pt idx="1">
                  <c:v>2022</c:v>
                </c:pt>
                <c:pt idx="2">
                  <c:v>2023</c:v>
                </c:pt>
                <c:pt idx="3">
                  <c:v>2024</c:v>
                </c:pt>
                <c:pt idx="4">
                  <c:v>2025</c:v>
                </c:pt>
              </c:numCache>
            </c:numRef>
          </c:cat>
          <c:val>
            <c:numRef>
              <c:f>'СФО ВС'!$B$6:$F$6</c:f>
              <c:numCache>
                <c:formatCode>General</c:formatCode>
                <c:ptCount val="5"/>
                <c:pt idx="0">
                  <c:v>13.45</c:v>
                </c:pt>
                <c:pt idx="1">
                  <c:v>13.94</c:v>
                </c:pt>
                <c:pt idx="2">
                  <c:v>15.19</c:v>
                </c:pt>
                <c:pt idx="3" formatCode="0.00">
                  <c:v>16.21</c:v>
                </c:pt>
                <c:pt idx="4" formatCode="0.00">
                  <c:v>18.68</c:v>
                </c:pt>
              </c:numCache>
            </c:numRef>
          </c:val>
          <c:smooth val="0"/>
        </c:ser>
        <c:dLbls>
          <c:showLegendKey val="0"/>
          <c:showVal val="0"/>
          <c:showCatName val="0"/>
          <c:showSerName val="0"/>
          <c:showPercent val="0"/>
          <c:showBubbleSize val="0"/>
        </c:dLbls>
        <c:marker val="1"/>
        <c:smooth val="0"/>
        <c:axId val="224394752"/>
        <c:axId val="225320256"/>
      </c:lineChart>
      <c:catAx>
        <c:axId val="224394752"/>
        <c:scaling>
          <c:orientation val="minMax"/>
        </c:scaling>
        <c:delete val="0"/>
        <c:axPos val="b"/>
        <c:numFmt formatCode="General" sourceLinked="1"/>
        <c:majorTickMark val="out"/>
        <c:minorTickMark val="none"/>
        <c:tickLblPos val="nextTo"/>
        <c:txPr>
          <a:bodyPr/>
          <a:lstStyle/>
          <a:p>
            <a:pPr>
              <a:defRPr>
                <a:latin typeface="Times New Roman"/>
                <a:cs typeface="Times New Roman"/>
              </a:defRPr>
            </a:pPr>
            <a:endParaRPr lang="ru-RU"/>
          </a:p>
        </c:txPr>
        <c:crossAx val="225320256"/>
        <c:crosses val="autoZero"/>
        <c:auto val="1"/>
        <c:lblAlgn val="ctr"/>
        <c:lblOffset val="100"/>
        <c:noMultiLvlLbl val="0"/>
      </c:catAx>
      <c:valAx>
        <c:axId val="225320256"/>
        <c:scaling>
          <c:orientation val="minMax"/>
        </c:scaling>
        <c:delete val="0"/>
        <c:axPos val="l"/>
        <c:majorGridlines/>
        <c:title>
          <c:tx>
            <c:rich>
              <a:bodyPr rot="-5400000" vert="horz"/>
              <a:lstStyle/>
              <a:p>
                <a:pPr>
                  <a:defRPr b="1">
                    <a:latin typeface="Times New Roman"/>
                    <a:cs typeface="Times New Roman"/>
                  </a:defRPr>
                </a:pPr>
                <a:r>
                  <a:rPr lang="ru-RU" b="1">
                    <a:latin typeface="Times New Roman"/>
                    <a:cs typeface="Times New Roman"/>
                  </a:rPr>
                  <a:t>руб./м3</a:t>
                </a:r>
                <a:endParaRPr lang="ru-RU"/>
              </a:p>
              <a:p>
                <a:pPr>
                  <a:defRPr b="1">
                    <a:latin typeface="Times New Roman"/>
                    <a:cs typeface="Times New Roman"/>
                  </a:defRPr>
                </a:pPr>
                <a:endParaRPr lang="ru-RU" b="1">
                  <a:latin typeface="Times New Roman"/>
                  <a:cs typeface="Times New Roman"/>
                </a:endParaRPr>
              </a:p>
            </c:rich>
          </c:tx>
          <c:layout>
            <c:manualLayout>
              <c:xMode val="edge"/>
              <c:yMode val="edge"/>
              <c:x val="2.6250000000000002E-3"/>
              <c:y val="0.44457400000000002"/>
            </c:manualLayout>
          </c:layout>
          <c:overlay val="0"/>
        </c:title>
        <c:numFmt formatCode="0.00" sourceLinked="1"/>
        <c:majorTickMark val="out"/>
        <c:minorTickMark val="none"/>
        <c:tickLblPos val="nextTo"/>
        <c:txPr>
          <a:bodyPr/>
          <a:lstStyle/>
          <a:p>
            <a:pPr>
              <a:defRPr>
                <a:latin typeface="Times New Roman"/>
                <a:cs typeface="Times New Roman"/>
              </a:defRPr>
            </a:pPr>
            <a:endParaRPr lang="ru-RU"/>
          </a:p>
        </c:txPr>
        <c:crossAx val="224394752"/>
        <c:crosses val="autoZero"/>
        <c:crossBetween val="between"/>
      </c:valAx>
    </c:plotArea>
    <c:legend>
      <c:legendPos val="r"/>
      <c:layout>
        <c:manualLayout>
          <c:xMode val="edge"/>
          <c:yMode val="edge"/>
          <c:x val="0.67973212290854013"/>
          <c:y val="0.34035421416017492"/>
          <c:w val="0.31044107448735719"/>
          <c:h val="0.2008783093942742"/>
        </c:manualLayout>
      </c:layout>
      <c:overlay val="0"/>
      <c:txPr>
        <a:bodyPr/>
        <a:lstStyle/>
        <a:p>
          <a:pPr>
            <a:defRPr>
              <a:latin typeface="Times New Roman"/>
              <a:cs typeface="Times New Roman"/>
            </a:defRPr>
          </a:pPr>
          <a:endParaRPr lang="ru-RU"/>
        </a:p>
      </c:txPr>
    </c:legend>
    <c:plotVisOnly val="1"/>
    <c:dispBlanksAs val="gap"/>
    <c:showDLblsOverMax val="0"/>
  </c:chart>
  <c:externalData r:id="rId2">
    <c:autoUpdate val="0"/>
  </c:externalData>
</c:chartSpace>
</file>

<file path=word/charts/chart5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a:cs typeface="Times New Roman"/>
              </a:defRPr>
            </a:pPr>
            <a:r>
              <a:rPr lang="ru-RU" sz="1200">
                <a:latin typeface="Times New Roman"/>
                <a:cs typeface="Times New Roman"/>
              </a:rPr>
              <a:t>Динамика величин тарифов на водоотведение за период</a:t>
            </a:r>
            <a:endParaRPr lang="ru-RU"/>
          </a:p>
          <a:p>
            <a:pPr>
              <a:defRPr sz="1200">
                <a:latin typeface="Times New Roman"/>
                <a:cs typeface="Times New Roman"/>
              </a:defRPr>
            </a:pPr>
            <a:r>
              <a:rPr lang="ru-RU" sz="1200">
                <a:latin typeface="Times New Roman"/>
                <a:cs typeface="Times New Roman"/>
              </a:rPr>
              <a:t> 2021-2025 г.г.</a:t>
            </a:r>
            <a:endParaRPr lang="ru-RU"/>
          </a:p>
        </c:rich>
      </c:tx>
      <c:layout>
        <c:manualLayout>
          <c:xMode val="edge"/>
          <c:yMode val="edge"/>
          <c:x val="0.199346"/>
          <c:y val="2.3866999999999999E-2"/>
        </c:manualLayout>
      </c:layout>
      <c:overlay val="1"/>
    </c:title>
    <c:autoTitleDeleted val="0"/>
    <c:plotArea>
      <c:layout>
        <c:manualLayout>
          <c:layoutTarget val="inner"/>
          <c:xMode val="edge"/>
          <c:yMode val="edge"/>
          <c:x val="0.12451588616525806"/>
          <c:y val="0.11647010696357277"/>
          <c:w val="0.71245506296317263"/>
          <c:h val="0.60974857016112416"/>
        </c:manualLayout>
      </c:layout>
      <c:lineChart>
        <c:grouping val="standard"/>
        <c:varyColors val="0"/>
        <c:ser>
          <c:idx val="1"/>
          <c:order val="0"/>
          <c:tx>
            <c:strRef>
              <c:f>'Милионники ВО'!$A$4</c:f>
              <c:strCache>
                <c:ptCount val="1"/>
                <c:pt idx="0">
                  <c:v>Максимальный тариф </c:v>
                </c:pt>
              </c:strCache>
            </c:strRef>
          </c:tx>
          <c:marker>
            <c:symbol val="none"/>
          </c:marker>
          <c:dLbls>
            <c:dLbl>
              <c:idx val="0"/>
              <c:layout>
                <c:manualLayout>
                  <c:x val="-6.5500000000000003E-3"/>
                  <c:y val="1.5858000000000001E-2"/>
                </c:manualLayout>
              </c:layout>
              <c:showLegendKey val="0"/>
              <c:showVal val="1"/>
              <c:showCatName val="0"/>
              <c:showSerName val="0"/>
              <c:showPercent val="0"/>
              <c:showBubbleSize val="0"/>
            </c:dLbl>
            <c:dLbl>
              <c:idx val="1"/>
              <c:layout>
                <c:manualLayout>
                  <c:x val="-8.1869999999999998E-3"/>
                  <c:y val="1.8123E-2"/>
                </c:manualLayout>
              </c:layout>
              <c:showLegendKey val="0"/>
              <c:showVal val="1"/>
              <c:showCatName val="0"/>
              <c:showSerName val="0"/>
              <c:showPercent val="0"/>
              <c:showBubbleSize val="0"/>
            </c:dLbl>
            <c:dLbl>
              <c:idx val="2"/>
              <c:layout>
                <c:manualLayout>
                  <c:x val="-2.7836E-2"/>
                  <c:y val="-2.0389000000000001E-2"/>
                </c:manualLayout>
              </c:layout>
              <c:showLegendKey val="0"/>
              <c:showVal val="1"/>
              <c:showCatName val="0"/>
              <c:showSerName val="0"/>
              <c:showPercent val="0"/>
              <c:showBubbleSize val="0"/>
            </c:dLbl>
            <c:dLbl>
              <c:idx val="3"/>
              <c:layout>
                <c:manualLayout>
                  <c:x val="-3.2750000000000001E-3"/>
                  <c:y val="4.5310000000000003E-3"/>
                </c:manualLayout>
              </c:layout>
              <c:showLegendKey val="0"/>
              <c:showVal val="1"/>
              <c:showCatName val="0"/>
              <c:showSerName val="0"/>
              <c:showPercent val="0"/>
              <c:showBubbleSize val="0"/>
            </c:dLbl>
            <c:dLbl>
              <c:idx val="4"/>
              <c:layout>
                <c:manualLayout>
                  <c:x val="-3.2750000000000001E-3"/>
                  <c:y val="0"/>
                </c:manualLayout>
              </c:layout>
              <c:showLegendKey val="0"/>
              <c:showVal val="1"/>
              <c:showCatName val="0"/>
              <c:showSerName val="0"/>
              <c:showPercent val="0"/>
              <c:showBubbleSize val="0"/>
            </c:dLbl>
            <c:dLbl>
              <c:idx val="10"/>
              <c:layout>
                <c:manualLayout>
                  <c:x val="-2.3709000000000001E-2"/>
                  <c:y val="-1.3813000000000001E-2"/>
                </c:manualLayout>
              </c:layout>
              <c:showLegendKey val="0"/>
              <c:showVal val="1"/>
              <c:showCatName val="0"/>
              <c:showSerName val="0"/>
              <c:showPercent val="0"/>
              <c:showBubbleSize val="0"/>
            </c:dLbl>
            <c:txPr>
              <a:bodyPr/>
              <a:lstStyle/>
              <a:p>
                <a:pPr>
                  <a:defRPr sz="1100">
                    <a:latin typeface="Times New Roman"/>
                    <a:cs typeface="Times New Roman"/>
                  </a:defRPr>
                </a:pPr>
                <a:endParaRPr lang="ru-RU"/>
              </a:p>
            </c:txPr>
            <c:showLegendKey val="0"/>
            <c:showVal val="1"/>
            <c:showCatName val="0"/>
            <c:showSerName val="0"/>
            <c:showPercent val="0"/>
            <c:showBubbleSize val="0"/>
            <c:showLeaderLines val="0"/>
          </c:dLbls>
          <c:cat>
            <c:numRef>
              <c:f>'Милионники ВО'!$B$2:$F$2</c:f>
              <c:numCache>
                <c:formatCode>General</c:formatCode>
                <c:ptCount val="5"/>
                <c:pt idx="0">
                  <c:v>2021</c:v>
                </c:pt>
                <c:pt idx="1">
                  <c:v>2022</c:v>
                </c:pt>
                <c:pt idx="2">
                  <c:v>2023</c:v>
                </c:pt>
                <c:pt idx="3">
                  <c:v>2024</c:v>
                </c:pt>
                <c:pt idx="4">
                  <c:v>2025</c:v>
                </c:pt>
              </c:numCache>
            </c:numRef>
          </c:cat>
          <c:val>
            <c:numRef>
              <c:f>'Милионники ВО'!$B$4:$F$4</c:f>
              <c:numCache>
                <c:formatCode>0.00</c:formatCode>
                <c:ptCount val="5"/>
                <c:pt idx="0">
                  <c:v>33.119999999999997</c:v>
                </c:pt>
                <c:pt idx="1">
                  <c:v>35.53</c:v>
                </c:pt>
                <c:pt idx="2">
                  <c:v>39.97</c:v>
                </c:pt>
                <c:pt idx="3">
                  <c:v>45.91</c:v>
                </c:pt>
                <c:pt idx="4">
                  <c:v>51.62</c:v>
                </c:pt>
              </c:numCache>
            </c:numRef>
          </c:val>
          <c:smooth val="0"/>
        </c:ser>
        <c:ser>
          <c:idx val="2"/>
          <c:order val="1"/>
          <c:tx>
            <c:strRef>
              <c:f>'Милионники ВО'!$A$5</c:f>
              <c:strCache>
                <c:ptCount val="1"/>
                <c:pt idx="0">
                  <c:v>Новосибирск (минимальный тариф)</c:v>
                </c:pt>
              </c:strCache>
            </c:strRef>
          </c:tx>
          <c:marker>
            <c:symbol val="none"/>
          </c:marker>
          <c:dLbls>
            <c:dLbl>
              <c:idx val="0"/>
              <c:layout>
                <c:manualLayout>
                  <c:x val="1.637E-3"/>
                  <c:y val="2.4919E-2"/>
                </c:manualLayout>
              </c:layout>
              <c:showLegendKey val="0"/>
              <c:showVal val="1"/>
              <c:showCatName val="0"/>
              <c:showSerName val="0"/>
              <c:showPercent val="0"/>
              <c:showBubbleSize val="0"/>
            </c:dLbl>
            <c:dLbl>
              <c:idx val="1"/>
              <c:layout>
                <c:manualLayout>
                  <c:x val="1.637E-3"/>
                  <c:y val="2.7184E-2"/>
                </c:manualLayout>
              </c:layout>
              <c:showLegendKey val="0"/>
              <c:showVal val="1"/>
              <c:showCatName val="0"/>
              <c:showSerName val="0"/>
              <c:showPercent val="0"/>
              <c:showBubbleSize val="0"/>
            </c:dLbl>
            <c:dLbl>
              <c:idx val="2"/>
              <c:layout>
                <c:manualLayout>
                  <c:x val="-1.3099E-2"/>
                  <c:y val="2.0388E-2"/>
                </c:manualLayout>
              </c:layout>
              <c:showLegendKey val="0"/>
              <c:showVal val="1"/>
              <c:showCatName val="0"/>
              <c:showSerName val="0"/>
              <c:showPercent val="0"/>
              <c:showBubbleSize val="0"/>
            </c:dLbl>
            <c:dLbl>
              <c:idx val="3"/>
              <c:layout>
                <c:manualLayout>
                  <c:x val="4.9119999999999997E-3"/>
                  <c:y val="2.0388E-2"/>
                </c:manualLayout>
              </c:layout>
              <c:showLegendKey val="0"/>
              <c:showVal val="1"/>
              <c:showCatName val="0"/>
              <c:showSerName val="0"/>
              <c:showPercent val="0"/>
              <c:showBubbleSize val="0"/>
            </c:dLbl>
            <c:dLbl>
              <c:idx val="4"/>
              <c:layout>
                <c:manualLayout>
                  <c:x val="-9.8250000000000004E-3"/>
                  <c:y val="-6.796E-3"/>
                </c:manualLayout>
              </c:layout>
              <c:showLegendKey val="0"/>
              <c:showVal val="1"/>
              <c:showCatName val="0"/>
              <c:showSerName val="0"/>
              <c:showPercent val="0"/>
              <c:showBubbleSize val="0"/>
            </c:dLbl>
            <c:dLbl>
              <c:idx val="10"/>
              <c:layout>
                <c:manualLayout>
                  <c:x val="-1.1854E-2"/>
                  <c:y val="-3.9459999999999999E-3"/>
                </c:manualLayout>
              </c:layout>
              <c:showLegendKey val="0"/>
              <c:showVal val="1"/>
              <c:showCatName val="0"/>
              <c:showSerName val="0"/>
              <c:showPercent val="0"/>
              <c:showBubbleSize val="0"/>
            </c:dLbl>
            <c:txPr>
              <a:bodyPr/>
              <a:lstStyle/>
              <a:p>
                <a:pPr>
                  <a:defRPr sz="1100">
                    <a:latin typeface="Times New Roman"/>
                    <a:cs typeface="Times New Roman"/>
                  </a:defRPr>
                </a:pPr>
                <a:endParaRPr lang="ru-RU"/>
              </a:p>
            </c:txPr>
            <c:showLegendKey val="0"/>
            <c:showVal val="1"/>
            <c:showCatName val="0"/>
            <c:showSerName val="0"/>
            <c:showPercent val="0"/>
            <c:showBubbleSize val="0"/>
            <c:showLeaderLines val="0"/>
          </c:dLbls>
          <c:cat>
            <c:numRef>
              <c:f>'Милионники ВО'!$B$2:$F$2</c:f>
              <c:numCache>
                <c:formatCode>General</c:formatCode>
                <c:ptCount val="5"/>
                <c:pt idx="0">
                  <c:v>2021</c:v>
                </c:pt>
                <c:pt idx="1">
                  <c:v>2022</c:v>
                </c:pt>
                <c:pt idx="2">
                  <c:v>2023</c:v>
                </c:pt>
                <c:pt idx="3">
                  <c:v>2024</c:v>
                </c:pt>
                <c:pt idx="4">
                  <c:v>2025</c:v>
                </c:pt>
              </c:numCache>
            </c:numRef>
          </c:cat>
          <c:val>
            <c:numRef>
              <c:f>'Милионники ВО'!$B$5:$F$5</c:f>
              <c:numCache>
                <c:formatCode>0.00</c:formatCode>
                <c:ptCount val="5"/>
                <c:pt idx="0">
                  <c:v>15.77</c:v>
                </c:pt>
                <c:pt idx="1">
                  <c:v>16.579999999999998</c:v>
                </c:pt>
                <c:pt idx="2">
                  <c:v>19.39</c:v>
                </c:pt>
                <c:pt idx="3">
                  <c:v>21.23</c:v>
                </c:pt>
                <c:pt idx="4">
                  <c:v>23.75</c:v>
                </c:pt>
              </c:numCache>
            </c:numRef>
          </c:val>
          <c:smooth val="0"/>
        </c:ser>
        <c:dLbls>
          <c:showLegendKey val="0"/>
          <c:showVal val="0"/>
          <c:showCatName val="0"/>
          <c:showSerName val="0"/>
          <c:showPercent val="0"/>
          <c:showBubbleSize val="0"/>
        </c:dLbls>
        <c:marker val="1"/>
        <c:smooth val="0"/>
        <c:axId val="224393216"/>
        <c:axId val="227811904"/>
      </c:lineChart>
      <c:catAx>
        <c:axId val="224393216"/>
        <c:scaling>
          <c:orientation val="minMax"/>
        </c:scaling>
        <c:delete val="0"/>
        <c:axPos val="b"/>
        <c:numFmt formatCode="General" sourceLinked="1"/>
        <c:majorTickMark val="out"/>
        <c:minorTickMark val="none"/>
        <c:tickLblPos val="nextTo"/>
        <c:txPr>
          <a:bodyPr/>
          <a:lstStyle/>
          <a:p>
            <a:pPr>
              <a:defRPr sz="1100">
                <a:latin typeface="Times New Roman"/>
                <a:cs typeface="Times New Roman"/>
              </a:defRPr>
            </a:pPr>
            <a:endParaRPr lang="ru-RU"/>
          </a:p>
        </c:txPr>
        <c:crossAx val="227811904"/>
        <c:crosses val="autoZero"/>
        <c:auto val="1"/>
        <c:lblAlgn val="ctr"/>
        <c:lblOffset val="100"/>
        <c:noMultiLvlLbl val="0"/>
      </c:catAx>
      <c:valAx>
        <c:axId val="227811904"/>
        <c:scaling>
          <c:orientation val="minMax"/>
        </c:scaling>
        <c:delete val="0"/>
        <c:axPos val="l"/>
        <c:majorGridlines/>
        <c:title>
          <c:tx>
            <c:rich>
              <a:bodyPr rot="-5400000" vert="horz"/>
              <a:lstStyle/>
              <a:p>
                <a:pPr>
                  <a:defRPr sz="1100" b="1">
                    <a:latin typeface="Times New Roman"/>
                    <a:cs typeface="Times New Roman"/>
                  </a:defRPr>
                </a:pPr>
                <a:r>
                  <a:rPr lang="ru-RU" sz="1100" b="1">
                    <a:latin typeface="Times New Roman"/>
                    <a:cs typeface="Times New Roman"/>
                  </a:rPr>
                  <a:t>руб./м3</a:t>
                </a:r>
                <a:endParaRPr lang="ru-RU"/>
              </a:p>
            </c:rich>
          </c:tx>
          <c:layout>
            <c:manualLayout>
              <c:xMode val="edge"/>
              <c:yMode val="edge"/>
              <c:x val="4.4539999999999996E-3"/>
              <c:y val="0.46799400000000002"/>
            </c:manualLayout>
          </c:layout>
          <c:overlay val="0"/>
        </c:title>
        <c:numFmt formatCode="0.00" sourceLinked="1"/>
        <c:majorTickMark val="out"/>
        <c:minorTickMark val="none"/>
        <c:tickLblPos val="nextTo"/>
        <c:txPr>
          <a:bodyPr/>
          <a:lstStyle/>
          <a:p>
            <a:pPr>
              <a:defRPr sz="1100">
                <a:latin typeface="Times New Roman"/>
                <a:cs typeface="Times New Roman"/>
              </a:defRPr>
            </a:pPr>
            <a:endParaRPr lang="ru-RU"/>
          </a:p>
        </c:txPr>
        <c:crossAx val="224393216"/>
        <c:crosses val="autoZero"/>
        <c:crossBetween val="between"/>
      </c:valAx>
    </c:plotArea>
    <c:legend>
      <c:legendPos val="r"/>
      <c:layout>
        <c:manualLayout>
          <c:xMode val="edge"/>
          <c:yMode val="edge"/>
          <c:x val="7.4673293076074912E-2"/>
          <c:y val="0.83548049562638327"/>
          <c:w val="0.88807337062331393"/>
          <c:h val="0.1644873860174744"/>
        </c:manualLayout>
      </c:layout>
      <c:overlay val="0"/>
      <c:txPr>
        <a:bodyPr/>
        <a:lstStyle/>
        <a:p>
          <a:pPr>
            <a:defRPr sz="1200">
              <a:latin typeface="Times New Roman"/>
              <a:cs typeface="Times New Roman"/>
            </a:defRPr>
          </a:pPr>
          <a:endParaRPr lang="ru-RU"/>
        </a:p>
      </c:txPr>
    </c:legend>
    <c:plotVisOnly val="1"/>
    <c:dispBlanksAs val="gap"/>
    <c:showDLblsOverMax val="0"/>
  </c:chart>
  <c:externalData r:id="rId2">
    <c:autoUpdate val="0"/>
  </c:externalData>
</c:chartSpace>
</file>

<file path=word/charts/chart5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a:cs typeface="Times New Roman"/>
              </a:defRPr>
            </a:pPr>
            <a:r>
              <a:rPr lang="ru-RU" sz="1200">
                <a:latin typeface="Times New Roman"/>
                <a:cs typeface="Times New Roman"/>
              </a:rPr>
              <a:t>Динамика величин тарифов на водоотведение за период </a:t>
            </a:r>
            <a:endParaRPr lang="ru-RU"/>
          </a:p>
          <a:p>
            <a:pPr>
              <a:defRPr sz="1200">
                <a:latin typeface="Times New Roman"/>
                <a:cs typeface="Times New Roman"/>
              </a:defRPr>
            </a:pPr>
            <a:r>
              <a:rPr lang="ru-RU" sz="1200">
                <a:latin typeface="Times New Roman"/>
                <a:cs typeface="Times New Roman"/>
              </a:rPr>
              <a:t>2021-2025 г.г.</a:t>
            </a:r>
            <a:endParaRPr lang="ru-RU"/>
          </a:p>
        </c:rich>
      </c:tx>
      <c:layout>
        <c:manualLayout>
          <c:xMode val="edge"/>
          <c:yMode val="edge"/>
          <c:x val="0.16955200000000001"/>
          <c:y val="4.2446999999999999E-2"/>
        </c:manualLayout>
      </c:layout>
      <c:overlay val="0"/>
    </c:title>
    <c:autoTitleDeleted val="0"/>
    <c:plotArea>
      <c:layout>
        <c:manualLayout>
          <c:layoutTarget val="inner"/>
          <c:xMode val="edge"/>
          <c:yMode val="edge"/>
          <c:x val="8.6822999999999997E-2"/>
          <c:y val="0.19597800000000001"/>
          <c:w val="0.71404000000000001"/>
          <c:h val="0.66788599999999998"/>
        </c:manualLayout>
      </c:layout>
      <c:lineChart>
        <c:grouping val="standard"/>
        <c:varyColors val="0"/>
        <c:ser>
          <c:idx val="0"/>
          <c:order val="0"/>
          <c:tx>
            <c:strRef>
              <c:f>'СФО ВО'!$A$4</c:f>
              <c:strCache>
                <c:ptCount val="1"/>
                <c:pt idx="0">
                  <c:v>Максимальный тариф </c:v>
                </c:pt>
              </c:strCache>
            </c:strRef>
          </c:tx>
          <c:marker>
            <c:symbol val="none"/>
          </c:marker>
          <c:dLbls>
            <c:dLbl>
              <c:idx val="0"/>
              <c:layout>
                <c:manualLayout>
                  <c:x val="-8.8830000000000003E-3"/>
                  <c:y val="-2.4568E-2"/>
                </c:manualLayout>
              </c:layout>
              <c:showLegendKey val="0"/>
              <c:showVal val="1"/>
              <c:showCatName val="0"/>
              <c:showSerName val="0"/>
              <c:showPercent val="0"/>
              <c:showBubbleSize val="0"/>
            </c:dLbl>
            <c:dLbl>
              <c:idx val="1"/>
              <c:layout>
                <c:manualLayout>
                  <c:x val="-7.4029999999999999E-3"/>
                  <c:y val="-2.4568E-2"/>
                </c:manualLayout>
              </c:layout>
              <c:showLegendKey val="0"/>
              <c:showVal val="1"/>
              <c:showCatName val="0"/>
              <c:showSerName val="0"/>
              <c:showPercent val="0"/>
              <c:showBubbleSize val="0"/>
            </c:dLbl>
            <c:dLbl>
              <c:idx val="2"/>
              <c:layout>
                <c:manualLayout>
                  <c:x val="0"/>
                  <c:y val="-2.2110999999999999E-2"/>
                </c:manualLayout>
              </c:layout>
              <c:showLegendKey val="0"/>
              <c:showVal val="1"/>
              <c:showCatName val="0"/>
              <c:showSerName val="0"/>
              <c:showPercent val="0"/>
              <c:showBubbleSize val="0"/>
            </c:dLbl>
            <c:dLbl>
              <c:idx val="3"/>
              <c:layout>
                <c:manualLayout>
                  <c:x val="-2.9610000000000001E-3"/>
                  <c:y val="-2.2110999999999999E-2"/>
                </c:manualLayout>
              </c:layout>
              <c:showLegendKey val="0"/>
              <c:showVal val="1"/>
              <c:showCatName val="0"/>
              <c:showSerName val="0"/>
              <c:showPercent val="0"/>
              <c:showBubbleSize val="0"/>
            </c:dLbl>
            <c:dLbl>
              <c:idx val="4"/>
              <c:layout>
                <c:manualLayout>
                  <c:x val="-1.0364E-2"/>
                  <c:y val="0"/>
                </c:manualLayout>
              </c:layout>
              <c:showLegendKey val="0"/>
              <c:showVal val="1"/>
              <c:showCatName val="0"/>
              <c:showSerName val="0"/>
              <c:showPercent val="0"/>
              <c:showBubbleSize val="0"/>
            </c:dLbl>
            <c:dLbl>
              <c:idx val="10"/>
              <c:layout>
                <c:manualLayout>
                  <c:x val="-1.1261E-2"/>
                  <c:y val="-1.4911000000000001E-2"/>
                </c:manualLayout>
              </c:layout>
              <c:showLegendKey val="0"/>
              <c:showVal val="1"/>
              <c:showCatName val="0"/>
              <c:showSerName val="0"/>
              <c:showPercent val="0"/>
              <c:showBubbleSize val="0"/>
            </c:dLbl>
            <c:txPr>
              <a:bodyPr/>
              <a:lstStyle/>
              <a:p>
                <a:pPr>
                  <a:defRPr sz="1100">
                    <a:latin typeface="Times New Roman"/>
                    <a:cs typeface="Times New Roman"/>
                  </a:defRPr>
                </a:pPr>
                <a:endParaRPr lang="ru-RU"/>
              </a:p>
            </c:txPr>
            <c:showLegendKey val="0"/>
            <c:showVal val="1"/>
            <c:showCatName val="0"/>
            <c:showSerName val="0"/>
            <c:showPercent val="0"/>
            <c:showBubbleSize val="0"/>
            <c:showLeaderLines val="0"/>
          </c:dLbls>
          <c:cat>
            <c:numRef>
              <c:f>'СФО ВО'!$B$2:$F$2</c:f>
              <c:numCache>
                <c:formatCode>General</c:formatCode>
                <c:ptCount val="5"/>
                <c:pt idx="0">
                  <c:v>2021</c:v>
                </c:pt>
                <c:pt idx="1">
                  <c:v>2022</c:v>
                </c:pt>
                <c:pt idx="2">
                  <c:v>2023</c:v>
                </c:pt>
                <c:pt idx="3">
                  <c:v>2024</c:v>
                </c:pt>
                <c:pt idx="4">
                  <c:v>2025</c:v>
                </c:pt>
              </c:numCache>
            </c:numRef>
          </c:cat>
          <c:val>
            <c:numRef>
              <c:f>'СФО ВО'!$B$4:$F$4</c:f>
              <c:numCache>
                <c:formatCode>General</c:formatCode>
                <c:ptCount val="5"/>
                <c:pt idx="0">
                  <c:v>54.67</c:v>
                </c:pt>
                <c:pt idx="1">
                  <c:v>54.23</c:v>
                </c:pt>
                <c:pt idx="2">
                  <c:v>54.23</c:v>
                </c:pt>
                <c:pt idx="3">
                  <c:v>57.67</c:v>
                </c:pt>
                <c:pt idx="4">
                  <c:v>62.82</c:v>
                </c:pt>
              </c:numCache>
            </c:numRef>
          </c:val>
          <c:smooth val="0"/>
        </c:ser>
        <c:ser>
          <c:idx val="1"/>
          <c:order val="1"/>
          <c:tx>
            <c:strRef>
              <c:f>'СФО ВО'!$A$5</c:f>
              <c:strCache>
                <c:ptCount val="1"/>
                <c:pt idx="0">
                  <c:v>Новосибирск</c:v>
                </c:pt>
              </c:strCache>
            </c:strRef>
          </c:tx>
          <c:marker>
            <c:symbol val="none"/>
          </c:marker>
          <c:dLbls>
            <c:dLbl>
              <c:idx val="0"/>
              <c:layout>
                <c:manualLayout>
                  <c:x val="-4.2230000000000002E-3"/>
                  <c:y val="-2.4851999999999999E-2"/>
                </c:manualLayout>
              </c:layout>
              <c:showLegendKey val="0"/>
              <c:showVal val="1"/>
              <c:showCatName val="0"/>
              <c:showSerName val="0"/>
              <c:showPercent val="0"/>
              <c:showBubbleSize val="0"/>
            </c:dLbl>
            <c:dLbl>
              <c:idx val="1"/>
              <c:layout>
                <c:manualLayout>
                  <c:x val="-2.8149999999999998E-3"/>
                  <c:y val="-2.2367000000000001E-2"/>
                </c:manualLayout>
              </c:layout>
              <c:showLegendKey val="0"/>
              <c:showVal val="1"/>
              <c:showCatName val="0"/>
              <c:showSerName val="0"/>
              <c:showPercent val="0"/>
              <c:showBubbleSize val="0"/>
            </c:dLbl>
            <c:dLbl>
              <c:idx val="2"/>
              <c:layout>
                <c:manualLayout>
                  <c:x val="-7.2999999999999999E-5"/>
                  <c:y val="-2.9652000000000001E-2"/>
                </c:manualLayout>
              </c:layout>
              <c:showLegendKey val="0"/>
              <c:showVal val="1"/>
              <c:showCatName val="0"/>
              <c:showSerName val="0"/>
              <c:showPercent val="0"/>
              <c:showBubbleSize val="0"/>
            </c:dLbl>
            <c:dLbl>
              <c:idx val="3"/>
              <c:layout>
                <c:manualLayout>
                  <c:x val="-1.3313999999999999E-2"/>
                  <c:y val="-2.1328E-2"/>
                </c:manualLayout>
              </c:layout>
              <c:showLegendKey val="0"/>
              <c:showVal val="1"/>
              <c:showCatName val="0"/>
              <c:showSerName val="0"/>
              <c:showPercent val="0"/>
              <c:showBubbleSize val="0"/>
            </c:dLbl>
            <c:dLbl>
              <c:idx val="4"/>
              <c:layout>
                <c:manualLayout>
                  <c:x val="-2.3834999999999999E-2"/>
                  <c:y val="-2.7338000000000001E-2"/>
                </c:manualLayout>
              </c:layout>
              <c:showLegendKey val="0"/>
              <c:showVal val="1"/>
              <c:showCatName val="0"/>
              <c:showSerName val="0"/>
              <c:showPercent val="0"/>
              <c:showBubbleSize val="0"/>
            </c:dLbl>
            <c:dLbl>
              <c:idx val="5"/>
              <c:layout>
                <c:manualLayout>
                  <c:x val="0"/>
                  <c:y val="-2.4851999999999999E-2"/>
                </c:manualLayout>
              </c:layout>
              <c:showLegendKey val="0"/>
              <c:showVal val="1"/>
              <c:showCatName val="0"/>
              <c:showSerName val="0"/>
              <c:showPercent val="0"/>
              <c:showBubbleSize val="0"/>
            </c:dLbl>
            <c:dLbl>
              <c:idx val="6"/>
              <c:layout>
                <c:manualLayout>
                  <c:x val="-2.8149999999999998E-3"/>
                  <c:y val="-2.4851999999999999E-2"/>
                </c:manualLayout>
              </c:layout>
              <c:showLegendKey val="0"/>
              <c:showVal val="1"/>
              <c:showCatName val="0"/>
              <c:showSerName val="0"/>
              <c:showPercent val="0"/>
              <c:showBubbleSize val="0"/>
            </c:dLbl>
            <c:dLbl>
              <c:idx val="7"/>
              <c:layout>
                <c:manualLayout>
                  <c:x val="0"/>
                  <c:y val="-3.4792999999999998E-2"/>
                </c:manualLayout>
              </c:layout>
              <c:showLegendKey val="0"/>
              <c:showVal val="1"/>
              <c:showCatName val="0"/>
              <c:showSerName val="0"/>
              <c:showPercent val="0"/>
              <c:showBubbleSize val="0"/>
            </c:dLbl>
            <c:dLbl>
              <c:idx val="8"/>
              <c:layout>
                <c:manualLayout>
                  <c:x val="-7.038E-3"/>
                  <c:y val="-3.4792999999999998E-2"/>
                </c:manualLayout>
              </c:layout>
              <c:showLegendKey val="0"/>
              <c:showVal val="1"/>
              <c:showCatName val="0"/>
              <c:showSerName val="0"/>
              <c:showPercent val="0"/>
              <c:showBubbleSize val="0"/>
            </c:dLbl>
            <c:dLbl>
              <c:idx val="9"/>
              <c:layout>
                <c:manualLayout>
                  <c:x val="-7.038E-3"/>
                  <c:y val="-2.7338000000000001E-2"/>
                </c:manualLayout>
              </c:layout>
              <c:showLegendKey val="0"/>
              <c:showVal val="1"/>
              <c:showCatName val="0"/>
              <c:showSerName val="0"/>
              <c:showPercent val="0"/>
              <c:showBubbleSize val="0"/>
            </c:dLbl>
            <c:dLbl>
              <c:idx val="10"/>
              <c:layout>
                <c:manualLayout>
                  <c:x val="-2.8152E-2"/>
                  <c:y val="-2.4851999999999999E-2"/>
                </c:manualLayout>
              </c:layout>
              <c:showLegendKey val="0"/>
              <c:showVal val="1"/>
              <c:showCatName val="0"/>
              <c:showSerName val="0"/>
              <c:showPercent val="0"/>
              <c:showBubbleSize val="0"/>
            </c:dLbl>
            <c:txPr>
              <a:bodyPr/>
              <a:lstStyle/>
              <a:p>
                <a:pPr>
                  <a:defRPr sz="1100">
                    <a:latin typeface="Times New Roman"/>
                    <a:cs typeface="Times New Roman"/>
                  </a:defRPr>
                </a:pPr>
                <a:endParaRPr lang="ru-RU"/>
              </a:p>
            </c:txPr>
            <c:showLegendKey val="0"/>
            <c:showVal val="1"/>
            <c:showCatName val="0"/>
            <c:showSerName val="0"/>
            <c:showPercent val="0"/>
            <c:showBubbleSize val="0"/>
            <c:showLeaderLines val="0"/>
          </c:dLbls>
          <c:cat>
            <c:numRef>
              <c:f>'СФО ВО'!$B$2:$F$2</c:f>
              <c:numCache>
                <c:formatCode>General</c:formatCode>
                <c:ptCount val="5"/>
                <c:pt idx="0">
                  <c:v>2021</c:v>
                </c:pt>
                <c:pt idx="1">
                  <c:v>2022</c:v>
                </c:pt>
                <c:pt idx="2">
                  <c:v>2023</c:v>
                </c:pt>
                <c:pt idx="3">
                  <c:v>2024</c:v>
                </c:pt>
                <c:pt idx="4">
                  <c:v>2025</c:v>
                </c:pt>
              </c:numCache>
            </c:numRef>
          </c:cat>
          <c:val>
            <c:numRef>
              <c:f>'СФО ВО'!$B$5:$F$5</c:f>
              <c:numCache>
                <c:formatCode>General</c:formatCode>
                <c:ptCount val="5"/>
                <c:pt idx="0">
                  <c:v>15.77</c:v>
                </c:pt>
                <c:pt idx="1">
                  <c:v>16.579999999999998</c:v>
                </c:pt>
                <c:pt idx="2">
                  <c:v>19.39</c:v>
                </c:pt>
                <c:pt idx="3">
                  <c:v>21.23</c:v>
                </c:pt>
                <c:pt idx="4">
                  <c:v>23.75</c:v>
                </c:pt>
              </c:numCache>
            </c:numRef>
          </c:val>
          <c:smooth val="0"/>
        </c:ser>
        <c:ser>
          <c:idx val="2"/>
          <c:order val="2"/>
          <c:tx>
            <c:strRef>
              <c:f>'СФО ВО'!$A$6</c:f>
              <c:strCache>
                <c:ptCount val="1"/>
                <c:pt idx="0">
                  <c:v>Минимальный тариф</c:v>
                </c:pt>
              </c:strCache>
            </c:strRef>
          </c:tx>
          <c:marker>
            <c:symbol val="none"/>
          </c:marker>
          <c:dLbls>
            <c:dLbl>
              <c:idx val="0"/>
              <c:layout>
                <c:manualLayout>
                  <c:x val="0"/>
                  <c:y val="3.2108999999999999E-2"/>
                </c:manualLayout>
              </c:layout>
              <c:showLegendKey val="0"/>
              <c:showVal val="1"/>
              <c:showCatName val="0"/>
              <c:showSerName val="0"/>
              <c:showPercent val="0"/>
              <c:showBubbleSize val="0"/>
            </c:dLbl>
            <c:dLbl>
              <c:idx val="1"/>
              <c:layout>
                <c:manualLayout>
                  <c:x val="-1.46E-4"/>
                  <c:y val="2.7251999999999998E-2"/>
                </c:manualLayout>
              </c:layout>
              <c:showLegendKey val="0"/>
              <c:showVal val="1"/>
              <c:showCatName val="0"/>
              <c:showSerName val="0"/>
              <c:showPercent val="0"/>
              <c:showBubbleSize val="0"/>
            </c:dLbl>
            <c:dLbl>
              <c:idx val="2"/>
              <c:layout>
                <c:manualLayout>
                  <c:x val="4.2230000000000002E-3"/>
                  <c:y val="1.9882E-2"/>
                </c:manualLayout>
              </c:layout>
              <c:showLegendKey val="0"/>
              <c:showVal val="1"/>
              <c:showCatName val="0"/>
              <c:showSerName val="0"/>
              <c:showPercent val="0"/>
              <c:showBubbleSize val="0"/>
            </c:dLbl>
            <c:dLbl>
              <c:idx val="3"/>
              <c:layout>
                <c:manualLayout>
                  <c:x val="0"/>
                  <c:y val="1.4911000000000001E-2"/>
                </c:manualLayout>
              </c:layout>
              <c:showLegendKey val="0"/>
              <c:showVal val="1"/>
              <c:showCatName val="0"/>
              <c:showSerName val="0"/>
              <c:showPercent val="0"/>
              <c:showBubbleSize val="0"/>
            </c:dLbl>
            <c:dLbl>
              <c:idx val="4"/>
              <c:layout>
                <c:manualLayout>
                  <c:x val="-1.3544E-2"/>
                  <c:y val="2.2395999999999999E-2"/>
                </c:manualLayout>
              </c:layout>
              <c:showLegendKey val="0"/>
              <c:showVal val="1"/>
              <c:showCatName val="0"/>
              <c:showSerName val="0"/>
              <c:showPercent val="0"/>
              <c:showBubbleSize val="0"/>
            </c:dLbl>
            <c:dLbl>
              <c:idx val="5"/>
              <c:layout>
                <c:manualLayout>
                  <c:x val="5.6299999999999996E-3"/>
                  <c:y val="1.9882E-2"/>
                </c:manualLayout>
              </c:layout>
              <c:showLegendKey val="0"/>
              <c:showVal val="1"/>
              <c:showCatName val="0"/>
              <c:showSerName val="0"/>
              <c:showPercent val="0"/>
              <c:showBubbleSize val="0"/>
            </c:dLbl>
            <c:dLbl>
              <c:idx val="6"/>
              <c:layout>
                <c:manualLayout>
                  <c:x val="0"/>
                  <c:y val="1.7396999999999999E-2"/>
                </c:manualLayout>
              </c:layout>
              <c:showLegendKey val="0"/>
              <c:showVal val="1"/>
              <c:showCatName val="0"/>
              <c:showSerName val="0"/>
              <c:showPercent val="0"/>
              <c:showBubbleSize val="0"/>
            </c:dLbl>
            <c:dLbl>
              <c:idx val="7"/>
              <c:layout>
                <c:manualLayout>
                  <c:x val="0"/>
                  <c:y val="3.2308000000000003E-2"/>
                </c:manualLayout>
              </c:layout>
              <c:showLegendKey val="0"/>
              <c:showVal val="1"/>
              <c:showCatName val="0"/>
              <c:showSerName val="0"/>
              <c:showPercent val="0"/>
              <c:showBubbleSize val="0"/>
            </c:dLbl>
            <c:dLbl>
              <c:idx val="8"/>
              <c:layout>
                <c:manualLayout>
                  <c:x val="0"/>
                  <c:y val="2.4851999999999999E-2"/>
                </c:manualLayout>
              </c:layout>
              <c:showLegendKey val="0"/>
              <c:showVal val="1"/>
              <c:showCatName val="0"/>
              <c:showSerName val="0"/>
              <c:showPercent val="0"/>
              <c:showBubbleSize val="0"/>
            </c:dLbl>
            <c:dLbl>
              <c:idx val="9"/>
              <c:layout>
                <c:manualLayout>
                  <c:x val="1.408E-3"/>
                  <c:y val="2.4851999999999999E-2"/>
                </c:manualLayout>
              </c:layout>
              <c:showLegendKey val="0"/>
              <c:showVal val="1"/>
              <c:showCatName val="0"/>
              <c:showSerName val="0"/>
              <c:showPercent val="0"/>
              <c:showBubbleSize val="0"/>
            </c:dLbl>
            <c:dLbl>
              <c:idx val="10"/>
              <c:layout>
                <c:manualLayout>
                  <c:x val="0"/>
                  <c:y val="2.7338000000000001E-2"/>
                </c:manualLayout>
              </c:layout>
              <c:showLegendKey val="0"/>
              <c:showVal val="1"/>
              <c:showCatName val="0"/>
              <c:showSerName val="0"/>
              <c:showPercent val="0"/>
              <c:showBubbleSize val="0"/>
            </c:dLbl>
            <c:txPr>
              <a:bodyPr/>
              <a:lstStyle/>
              <a:p>
                <a:pPr>
                  <a:defRPr sz="1100">
                    <a:latin typeface="Times New Roman"/>
                    <a:cs typeface="Times New Roman"/>
                  </a:defRPr>
                </a:pPr>
                <a:endParaRPr lang="ru-RU"/>
              </a:p>
            </c:txPr>
            <c:showLegendKey val="0"/>
            <c:showVal val="1"/>
            <c:showCatName val="0"/>
            <c:showSerName val="0"/>
            <c:showPercent val="0"/>
            <c:showBubbleSize val="0"/>
            <c:showLeaderLines val="0"/>
          </c:dLbls>
          <c:cat>
            <c:numRef>
              <c:f>'СФО ВО'!$B$2:$F$2</c:f>
              <c:numCache>
                <c:formatCode>General</c:formatCode>
                <c:ptCount val="5"/>
                <c:pt idx="0">
                  <c:v>2021</c:v>
                </c:pt>
                <c:pt idx="1">
                  <c:v>2022</c:v>
                </c:pt>
                <c:pt idx="2">
                  <c:v>2023</c:v>
                </c:pt>
                <c:pt idx="3">
                  <c:v>2024</c:v>
                </c:pt>
                <c:pt idx="4">
                  <c:v>2025</c:v>
                </c:pt>
              </c:numCache>
            </c:numRef>
          </c:cat>
          <c:val>
            <c:numRef>
              <c:f>'СФО ВО'!$B$6:$F$6</c:f>
              <c:numCache>
                <c:formatCode>General</c:formatCode>
                <c:ptCount val="5"/>
                <c:pt idx="0">
                  <c:v>16.350000000000001</c:v>
                </c:pt>
                <c:pt idx="1">
                  <c:v>16.95</c:v>
                </c:pt>
                <c:pt idx="2">
                  <c:v>18.47</c:v>
                </c:pt>
                <c:pt idx="3">
                  <c:v>20.309999999999999</c:v>
                </c:pt>
                <c:pt idx="4">
                  <c:v>22.72</c:v>
                </c:pt>
              </c:numCache>
            </c:numRef>
          </c:val>
          <c:smooth val="0"/>
        </c:ser>
        <c:dLbls>
          <c:showLegendKey val="0"/>
          <c:showVal val="0"/>
          <c:showCatName val="0"/>
          <c:showSerName val="0"/>
          <c:showPercent val="0"/>
          <c:showBubbleSize val="0"/>
        </c:dLbls>
        <c:marker val="1"/>
        <c:smooth val="0"/>
        <c:axId val="228036608"/>
        <c:axId val="227813632"/>
      </c:lineChart>
      <c:catAx>
        <c:axId val="228036608"/>
        <c:scaling>
          <c:orientation val="minMax"/>
        </c:scaling>
        <c:delete val="0"/>
        <c:axPos val="b"/>
        <c:numFmt formatCode="General" sourceLinked="1"/>
        <c:majorTickMark val="out"/>
        <c:minorTickMark val="none"/>
        <c:tickLblPos val="nextTo"/>
        <c:txPr>
          <a:bodyPr/>
          <a:lstStyle/>
          <a:p>
            <a:pPr>
              <a:defRPr>
                <a:latin typeface="Times New Roman"/>
                <a:cs typeface="Times New Roman"/>
              </a:defRPr>
            </a:pPr>
            <a:endParaRPr lang="ru-RU"/>
          </a:p>
        </c:txPr>
        <c:crossAx val="227813632"/>
        <c:crosses val="autoZero"/>
        <c:auto val="1"/>
        <c:lblAlgn val="ctr"/>
        <c:lblOffset val="100"/>
        <c:noMultiLvlLbl val="0"/>
      </c:catAx>
      <c:valAx>
        <c:axId val="227813632"/>
        <c:scaling>
          <c:orientation val="minMax"/>
        </c:scaling>
        <c:delete val="0"/>
        <c:axPos val="l"/>
        <c:majorGridlines/>
        <c:title>
          <c:tx>
            <c:rich>
              <a:bodyPr rot="-5400000" vert="horz"/>
              <a:lstStyle/>
              <a:p>
                <a:pPr>
                  <a:defRPr b="0">
                    <a:latin typeface="Times New Roman"/>
                    <a:cs typeface="Times New Roman"/>
                  </a:defRPr>
                </a:pPr>
                <a:r>
                  <a:rPr lang="ru-RU" b="0">
                    <a:latin typeface="Times New Roman"/>
                    <a:cs typeface="Times New Roman"/>
                  </a:rPr>
                  <a:t>руб./м3</a:t>
                </a:r>
              </a:p>
            </c:rich>
          </c:tx>
          <c:layout>
            <c:manualLayout>
              <c:xMode val="edge"/>
              <c:yMode val="edge"/>
              <c:x val="1.8657E-2"/>
              <c:y val="0.43861499999999998"/>
            </c:manualLayout>
          </c:layout>
          <c:overlay val="0"/>
        </c:title>
        <c:numFmt formatCode="General" sourceLinked="1"/>
        <c:majorTickMark val="out"/>
        <c:minorTickMark val="none"/>
        <c:tickLblPos val="nextTo"/>
        <c:txPr>
          <a:bodyPr/>
          <a:lstStyle/>
          <a:p>
            <a:pPr>
              <a:defRPr sz="1100">
                <a:latin typeface="Times New Roman"/>
                <a:cs typeface="Times New Roman"/>
              </a:defRPr>
            </a:pPr>
            <a:endParaRPr lang="ru-RU"/>
          </a:p>
        </c:txPr>
        <c:crossAx val="228036608"/>
        <c:crosses val="autoZero"/>
        <c:crossBetween val="between"/>
      </c:valAx>
    </c:plotArea>
    <c:legend>
      <c:legendPos val="r"/>
      <c:layout>
        <c:manualLayout>
          <c:xMode val="edge"/>
          <c:yMode val="edge"/>
          <c:x val="0.68910888785707158"/>
          <c:y val="0.34915299999999999"/>
          <c:w val="0.30232517562166733"/>
          <c:h val="0.28184086808393116"/>
        </c:manualLayout>
      </c:layout>
      <c:overlay val="0"/>
      <c:txPr>
        <a:bodyPr/>
        <a:lstStyle/>
        <a:p>
          <a:pPr>
            <a:defRPr sz="1100">
              <a:latin typeface="Times New Roman"/>
              <a:cs typeface="Times New Roman"/>
            </a:defRPr>
          </a:pPr>
          <a:endParaRPr lang="ru-RU"/>
        </a:p>
      </c:txPr>
    </c:legend>
    <c:plotVisOnly val="1"/>
    <c:dispBlanksAs val="gap"/>
    <c:showDLblsOverMax val="0"/>
  </c:chart>
  <c:externalData r:id="rId2">
    <c:autoUpdate val="0"/>
  </c:externalData>
</c:chartSpace>
</file>

<file path=word/charts/chart5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100">
                <a:latin typeface="Times New Roman" panose="02020603050405020304" pitchFamily="18" charset="0"/>
                <a:cs typeface="Times New Roman" panose="02020603050405020304" pitchFamily="18" charset="0"/>
              </a:rPr>
              <a:t>Динамика себестоимости  услуг по перевозке</a:t>
            </a:r>
            <a:r>
              <a:rPr lang="ru-RU" sz="1100" baseline="0">
                <a:latin typeface="Times New Roman" panose="02020603050405020304" pitchFamily="18" charset="0"/>
                <a:cs typeface="Times New Roman" panose="02020603050405020304" pitchFamily="18" charset="0"/>
              </a:rPr>
              <a:t> пассажиров железнодорожным транспортом в пригородном сообщении, выполняемых АО "Экспресс-пригород"</a:t>
            </a:r>
            <a:r>
              <a:rPr lang="ru-RU" sz="1100">
                <a:latin typeface="Times New Roman" panose="02020603050405020304" pitchFamily="18" charset="0"/>
                <a:cs typeface="Times New Roman" panose="02020603050405020304" pitchFamily="18" charset="0"/>
              </a:rPr>
              <a:t> </a:t>
            </a:r>
          </a:p>
        </c:rich>
      </c:tx>
      <c:layout>
        <c:manualLayout>
          <c:xMode val="edge"/>
          <c:yMode val="edge"/>
          <c:x val="0.12532821868015728"/>
          <c:y val="1.0637195177392663E-2"/>
        </c:manualLayout>
      </c:layout>
      <c:overlay val="0"/>
    </c:title>
    <c:autoTitleDeleted val="0"/>
    <c:view3D>
      <c:rotX val="15"/>
      <c:rotY val="20"/>
      <c:rAngAx val="1"/>
    </c:view3D>
    <c:floor>
      <c:thickness val="0"/>
    </c:floor>
    <c:sideWall>
      <c:thickness val="0"/>
      <c:spPr>
        <a:solidFill>
          <a:schemeClr val="bg1">
            <a:lumMod val="95000"/>
          </a:schemeClr>
        </a:solidFill>
        <a:ln>
          <a:solidFill>
            <a:schemeClr val="tx1">
              <a:lumMod val="75000"/>
              <a:lumOff val="25000"/>
            </a:schemeClr>
          </a:solidFill>
        </a:ln>
      </c:spPr>
    </c:sideWall>
    <c:backWall>
      <c:thickness val="0"/>
      <c:spPr>
        <a:solidFill>
          <a:schemeClr val="bg1">
            <a:lumMod val="95000"/>
          </a:schemeClr>
        </a:solidFill>
        <a:ln>
          <a:solidFill>
            <a:schemeClr val="tx1">
              <a:lumMod val="75000"/>
              <a:lumOff val="25000"/>
            </a:schemeClr>
          </a:solidFill>
        </a:ln>
      </c:spPr>
    </c:backWall>
    <c:plotArea>
      <c:layout>
        <c:manualLayout>
          <c:layoutTarget val="inner"/>
          <c:xMode val="edge"/>
          <c:yMode val="edge"/>
          <c:x val="0.10490529408754247"/>
          <c:y val="0.23672247415616954"/>
          <c:w val="0.5212108326971191"/>
          <c:h val="0.65542428235027372"/>
        </c:manualLayout>
      </c:layout>
      <c:bar3DChart>
        <c:barDir val="col"/>
        <c:grouping val="clustered"/>
        <c:varyColors val="0"/>
        <c:ser>
          <c:idx val="0"/>
          <c:order val="0"/>
          <c:tx>
            <c:strRef>
              <c:f>'Лист1 (2)'!$B$3</c:f>
              <c:strCache>
                <c:ptCount val="1"/>
                <c:pt idx="0">
                  <c:v>Оплата услуг инфраструктуры ОАО "РЖД"</c:v>
                </c:pt>
              </c:strCache>
            </c:strRef>
          </c:tx>
          <c:spPr>
            <a:pattFill prst="pct90">
              <a:fgClr>
                <a:schemeClr val="tx1"/>
              </a:fgClr>
              <a:bgClr>
                <a:schemeClr val="bg1"/>
              </a:bgClr>
            </a:pattFill>
          </c:spPr>
          <c:invertIfNegative val="0"/>
          <c:dLbls>
            <c:dLbl>
              <c:idx val="2"/>
              <c:layout>
                <c:manualLayout>
                  <c:x val="-1.0025061337719391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 (2)'!$C$2:$F$2</c:f>
              <c:strCache>
                <c:ptCount val="3"/>
                <c:pt idx="0">
                  <c:v>Тариф 2023</c:v>
                </c:pt>
                <c:pt idx="1">
                  <c:v>Тариф 2024</c:v>
                </c:pt>
                <c:pt idx="2">
                  <c:v>Тариф 2025</c:v>
                </c:pt>
              </c:strCache>
            </c:strRef>
          </c:cat>
          <c:val>
            <c:numRef>
              <c:f>'Лист1 (2)'!$C$3:$F$3</c:f>
              <c:numCache>
                <c:formatCode>#,##0</c:formatCode>
                <c:ptCount val="3"/>
                <c:pt idx="0">
                  <c:v>9808</c:v>
                </c:pt>
                <c:pt idx="1">
                  <c:v>11069</c:v>
                </c:pt>
                <c:pt idx="2">
                  <c:v>13308</c:v>
                </c:pt>
              </c:numCache>
            </c:numRef>
          </c:val>
        </c:ser>
        <c:ser>
          <c:idx val="1"/>
          <c:order val="1"/>
          <c:tx>
            <c:strRef>
              <c:f>'Лист1 (2)'!$B$4</c:f>
              <c:strCache>
                <c:ptCount val="1"/>
                <c:pt idx="0">
                  <c:v>Комплексные услуги по обеспечению перевозок</c:v>
                </c:pt>
              </c:strCache>
            </c:strRef>
          </c:tx>
          <c:spPr>
            <a:pattFill prst="wdDnDiag">
              <a:fgClr>
                <a:schemeClr val="tx1"/>
              </a:fgClr>
              <a:bgClr>
                <a:schemeClr val="bg1"/>
              </a:bgClr>
            </a:pattFill>
          </c:spPr>
          <c:invertIfNegative val="0"/>
          <c:dLbls>
            <c:dLbl>
              <c:idx val="0"/>
              <c:layout>
                <c:manualLayout>
                  <c:x val="9.1228078997051647E-3"/>
                  <c:y val="-2.309058722211758E-2"/>
                </c:manualLayout>
              </c:layout>
              <c:showLegendKey val="0"/>
              <c:showVal val="1"/>
              <c:showCatName val="0"/>
              <c:showSerName val="0"/>
              <c:showPercent val="0"/>
              <c:showBubbleSize val="0"/>
            </c:dLbl>
            <c:dLbl>
              <c:idx val="1"/>
              <c:layout>
                <c:manualLayout>
                  <c:x val="6.842105924778857E-3"/>
                  <c:y val="-1.924215601843126E-2"/>
                </c:manualLayout>
              </c:layout>
              <c:showLegendKey val="0"/>
              <c:showVal val="1"/>
              <c:showCatName val="0"/>
              <c:showSerName val="0"/>
              <c:showPercent val="0"/>
              <c:showBubbleSize val="0"/>
            </c:dLbl>
            <c:dLbl>
              <c:idx val="2"/>
              <c:layout>
                <c:manualLayout>
                  <c:x val="7.5262985589734752E-2"/>
                  <c:y val="3.463557780709723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 (2)'!$C$2:$F$2</c:f>
              <c:strCache>
                <c:ptCount val="3"/>
                <c:pt idx="0">
                  <c:v>Тариф 2023</c:v>
                </c:pt>
                <c:pt idx="1">
                  <c:v>Тариф 2024</c:v>
                </c:pt>
                <c:pt idx="2">
                  <c:v>Тариф 2025</c:v>
                </c:pt>
              </c:strCache>
            </c:strRef>
          </c:cat>
          <c:val>
            <c:numRef>
              <c:f>'Лист1 (2)'!$C$4:$F$4</c:f>
              <c:numCache>
                <c:formatCode>#,##0</c:formatCode>
                <c:ptCount val="3"/>
                <c:pt idx="0">
                  <c:v>1339561</c:v>
                </c:pt>
                <c:pt idx="1">
                  <c:v>1564427.3</c:v>
                </c:pt>
                <c:pt idx="2">
                  <c:v>1954328</c:v>
                </c:pt>
              </c:numCache>
            </c:numRef>
          </c:val>
        </c:ser>
        <c:ser>
          <c:idx val="2"/>
          <c:order val="2"/>
          <c:tx>
            <c:strRef>
              <c:f>'Лист1 (2)'!$B$5</c:f>
              <c:strCache>
                <c:ptCount val="1"/>
                <c:pt idx="0">
                  <c:v>Собстренные расходы пригородной компании</c:v>
                </c:pt>
              </c:strCache>
            </c:strRef>
          </c:tx>
          <c:spPr>
            <a:pattFill prst="pct10">
              <a:fgClr>
                <a:schemeClr val="tx1"/>
              </a:fgClr>
              <a:bgClr>
                <a:schemeClr val="bg1"/>
              </a:bgClr>
            </a:pattFill>
          </c:spPr>
          <c:invertIfNegative val="0"/>
          <c:dLbls>
            <c:dLbl>
              <c:idx val="0"/>
              <c:layout>
                <c:manualLayout>
                  <c:x val="3.508771468201808E-2"/>
                  <c:y val="-1.0509027937671535E-2"/>
                </c:manualLayout>
              </c:layout>
              <c:showLegendKey val="0"/>
              <c:showVal val="1"/>
              <c:showCatName val="0"/>
              <c:showSerName val="0"/>
              <c:showPercent val="0"/>
              <c:showBubbleSize val="0"/>
            </c:dLbl>
            <c:dLbl>
              <c:idx val="1"/>
              <c:layout>
                <c:manualLayout>
                  <c:x val="6.550535237653636E-2"/>
                  <c:y val="1.258164280134284E-2"/>
                </c:manualLayout>
              </c:layout>
              <c:showLegendKey val="0"/>
              <c:showVal val="1"/>
              <c:showCatName val="0"/>
              <c:showSerName val="0"/>
              <c:showPercent val="0"/>
              <c:showBubbleSize val="0"/>
            </c:dLbl>
            <c:dLbl>
              <c:idx val="2"/>
              <c:layout>
                <c:manualLayout>
                  <c:x val="3.5087791761493882E-2"/>
                  <c:y val="-1.5908869149096709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 (2)'!$C$2:$F$2</c:f>
              <c:strCache>
                <c:ptCount val="3"/>
                <c:pt idx="0">
                  <c:v>Тариф 2023</c:v>
                </c:pt>
                <c:pt idx="1">
                  <c:v>Тариф 2024</c:v>
                </c:pt>
                <c:pt idx="2">
                  <c:v>Тариф 2025</c:v>
                </c:pt>
              </c:strCache>
            </c:strRef>
          </c:cat>
          <c:val>
            <c:numRef>
              <c:f>'Лист1 (2)'!$C$5:$F$5</c:f>
              <c:numCache>
                <c:formatCode>#,##0</c:formatCode>
                <c:ptCount val="3"/>
                <c:pt idx="0">
                  <c:v>820843</c:v>
                </c:pt>
                <c:pt idx="1">
                  <c:v>897328</c:v>
                </c:pt>
                <c:pt idx="2">
                  <c:v>1068509</c:v>
                </c:pt>
              </c:numCache>
            </c:numRef>
          </c:val>
        </c:ser>
        <c:ser>
          <c:idx val="3"/>
          <c:order val="3"/>
          <c:tx>
            <c:strRef>
              <c:f>'Лист1 (2)'!$B$6</c:f>
              <c:strCache>
                <c:ptCount val="1"/>
                <c:pt idx="0">
                  <c:v>Прибыль</c:v>
                </c:pt>
              </c:strCache>
            </c:strRef>
          </c:tx>
          <c:spPr>
            <a:pattFill prst="lgCheck">
              <a:fgClr>
                <a:schemeClr val="tx1"/>
              </a:fgClr>
              <a:bgClr>
                <a:schemeClr val="bg1"/>
              </a:bgClr>
            </a:pattFill>
          </c:spPr>
          <c:invertIfNegative val="0"/>
          <c:dLbls>
            <c:dLbl>
              <c:idx val="0"/>
              <c:layout>
                <c:manualLayout>
                  <c:x val="1.3366748450292601E-2"/>
                  <c:y val="-1.5763541906507302E-2"/>
                </c:manualLayout>
              </c:layout>
              <c:showLegendKey val="0"/>
              <c:showVal val="1"/>
              <c:showCatName val="0"/>
              <c:showSerName val="0"/>
              <c:showPercent val="0"/>
              <c:showBubbleSize val="0"/>
            </c:dLbl>
            <c:dLbl>
              <c:idx val="1"/>
              <c:layout>
                <c:manualLayout>
                  <c:x val="2.0050122675438903E-2"/>
                  <c:y val="-2.1018055875342972E-2"/>
                </c:manualLayout>
              </c:layout>
              <c:showLegendKey val="0"/>
              <c:showVal val="1"/>
              <c:showCatName val="0"/>
              <c:showSerName val="0"/>
              <c:showPercent val="0"/>
              <c:showBubbleSize val="0"/>
            </c:dLbl>
            <c:dLbl>
              <c:idx val="2"/>
              <c:layout>
                <c:manualLayout>
                  <c:x val="3.8429401794591228E-2"/>
                  <c:y val="-7.8817709532536511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 (2)'!$C$2:$F$2</c:f>
              <c:strCache>
                <c:ptCount val="3"/>
                <c:pt idx="0">
                  <c:v>Тариф 2023</c:v>
                </c:pt>
                <c:pt idx="1">
                  <c:v>Тариф 2024</c:v>
                </c:pt>
                <c:pt idx="2">
                  <c:v>Тариф 2025</c:v>
                </c:pt>
              </c:strCache>
            </c:strRef>
          </c:cat>
          <c:val>
            <c:numRef>
              <c:f>'Лист1 (2)'!$C$6:$F$6</c:f>
              <c:numCache>
                <c:formatCode>#,##0</c:formatCode>
                <c:ptCount val="3"/>
                <c:pt idx="0">
                  <c:v>22073</c:v>
                </c:pt>
                <c:pt idx="1">
                  <c:v>20738</c:v>
                </c:pt>
                <c:pt idx="2">
                  <c:v>26496</c:v>
                </c:pt>
              </c:numCache>
            </c:numRef>
          </c:val>
        </c:ser>
        <c:dLbls>
          <c:showLegendKey val="0"/>
          <c:showVal val="0"/>
          <c:showCatName val="0"/>
          <c:showSerName val="0"/>
          <c:showPercent val="0"/>
          <c:showBubbleSize val="0"/>
        </c:dLbls>
        <c:gapWidth val="150"/>
        <c:shape val="cylinder"/>
        <c:axId val="252416000"/>
        <c:axId val="248439360"/>
        <c:axId val="0"/>
      </c:bar3DChart>
      <c:catAx>
        <c:axId val="252416000"/>
        <c:scaling>
          <c:orientation val="minMax"/>
        </c:scaling>
        <c:delete val="0"/>
        <c:axPos val="b"/>
        <c:majorTickMark val="out"/>
        <c:minorTickMark val="none"/>
        <c:tickLblPos val="nextTo"/>
        <c:txPr>
          <a:bodyPr/>
          <a:lstStyle/>
          <a:p>
            <a:pPr>
              <a:defRPr sz="1100" baseline="0"/>
            </a:pPr>
            <a:endParaRPr lang="ru-RU"/>
          </a:p>
        </c:txPr>
        <c:crossAx val="248439360"/>
        <c:crosses val="autoZero"/>
        <c:auto val="1"/>
        <c:lblAlgn val="ctr"/>
        <c:lblOffset val="100"/>
        <c:noMultiLvlLbl val="0"/>
      </c:catAx>
      <c:valAx>
        <c:axId val="248439360"/>
        <c:scaling>
          <c:orientation val="minMax"/>
        </c:scaling>
        <c:delete val="0"/>
        <c:axPos val="l"/>
        <c:majorGridlines/>
        <c:numFmt formatCode="#,##0" sourceLinked="1"/>
        <c:majorTickMark val="out"/>
        <c:minorTickMark val="none"/>
        <c:tickLblPos val="nextTo"/>
        <c:crossAx val="252416000"/>
        <c:crosses val="autoZero"/>
        <c:crossBetween val="between"/>
      </c:valAx>
    </c:plotArea>
    <c:legend>
      <c:legendPos val="r"/>
      <c:overlay val="0"/>
      <c:txPr>
        <a:bodyPr/>
        <a:lstStyle/>
        <a:p>
          <a:pPr>
            <a:defRPr sz="1200" baseline="0"/>
          </a:pPr>
          <a:endParaRPr lang="ru-RU"/>
        </a:p>
      </c:txPr>
    </c:legend>
    <c:plotVisOnly val="1"/>
    <c:dispBlanksAs val="gap"/>
    <c:showDLblsOverMax val="0"/>
  </c:chart>
  <c:spPr>
    <a:solidFill>
      <a:schemeClr val="bg1"/>
    </a:solidFill>
  </c:spPr>
  <c:externalData r:id="rId2">
    <c:autoUpdate val="0"/>
  </c:externalData>
</c:chartSpace>
</file>

<file path=word/charts/chart5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manualLayout>
          <c:layoutTarget val="inner"/>
          <c:xMode val="edge"/>
          <c:yMode val="edge"/>
          <c:x val="0.21192725265864665"/>
          <c:y val="0.35998487477200941"/>
          <c:w val="0.51646278543557345"/>
          <c:h val="0.50596896973122629"/>
        </c:manualLayout>
      </c:layout>
      <c:pie3DChart>
        <c:varyColors val="1"/>
        <c:ser>
          <c:idx val="0"/>
          <c:order val="0"/>
          <c:tx>
            <c:strRef>
              <c:f>'Ф-1  2024'!$B$26:$B$44</c:f>
              <c:strCache>
                <c:ptCount val="1"/>
                <c:pt idx="0">
                  <c:v>Инфраструктура Эксплуатация транспорта Аренда транспорта Ремонт транспорта КР собственоого ПС Собственные расходы: Расходы собственные ФОТ отчисления материалы амортизация электроэнергия теплоэнергия прочие материальные прочие Прямые специфические расходы</c:v>
                </c:pt>
              </c:strCache>
            </c:strRef>
          </c:tx>
          <c:dPt>
            <c:idx val="0"/>
            <c:bubble3D val="0"/>
            <c:spPr>
              <a:pattFill prst="pct75">
                <a:fgClr>
                  <a:schemeClr val="tx1"/>
                </a:fgClr>
                <a:bgClr>
                  <a:schemeClr val="bg1"/>
                </a:bgClr>
              </a:pattFill>
            </c:spPr>
          </c:dPt>
          <c:dPt>
            <c:idx val="1"/>
            <c:bubble3D val="0"/>
            <c:spPr>
              <a:pattFill prst="pct10">
                <a:fgClr>
                  <a:schemeClr val="tx1"/>
                </a:fgClr>
                <a:bgClr>
                  <a:schemeClr val="bg1"/>
                </a:bgClr>
              </a:pattFill>
            </c:spPr>
          </c:dPt>
          <c:dPt>
            <c:idx val="2"/>
            <c:bubble3D val="0"/>
            <c:spPr>
              <a:pattFill prst="lgCheck">
                <a:fgClr>
                  <a:schemeClr val="tx1"/>
                </a:fgClr>
                <a:bgClr>
                  <a:schemeClr val="bg1"/>
                </a:bgClr>
              </a:pattFill>
            </c:spPr>
          </c:dPt>
          <c:dPt>
            <c:idx val="3"/>
            <c:bubble3D val="0"/>
            <c:spPr>
              <a:pattFill prst="pct20">
                <a:fgClr>
                  <a:schemeClr val="tx1"/>
                </a:fgClr>
                <a:bgClr>
                  <a:schemeClr val="bg1"/>
                </a:bgClr>
              </a:pattFill>
            </c:spPr>
          </c:dPt>
          <c:dPt>
            <c:idx val="4"/>
            <c:bubble3D val="0"/>
            <c:spPr>
              <a:pattFill prst="wdUpDiag">
                <a:fgClr>
                  <a:schemeClr val="tx1"/>
                </a:fgClr>
                <a:bgClr>
                  <a:schemeClr val="bg1"/>
                </a:bgClr>
              </a:pattFill>
              <a:ln>
                <a:solidFill>
                  <a:schemeClr val="tx1"/>
                </a:solidFill>
              </a:ln>
            </c:spPr>
          </c:dPt>
          <c:dPt>
            <c:idx val="5"/>
            <c:bubble3D val="0"/>
            <c:spPr>
              <a:pattFill prst="ltHorz">
                <a:fgClr>
                  <a:schemeClr val="tx1"/>
                </a:fgClr>
                <a:bgClr>
                  <a:schemeClr val="bg1"/>
                </a:bgClr>
              </a:pattFill>
            </c:spPr>
          </c:dPt>
          <c:dLbls>
            <c:dLbl>
              <c:idx val="0"/>
              <c:layout>
                <c:manualLayout>
                  <c:x val="0.16644385700178732"/>
                  <c:y val="-7.0177389451452729E-2"/>
                </c:manualLayout>
              </c:layout>
              <c:showLegendKey val="0"/>
              <c:showVal val="1"/>
              <c:showCatName val="1"/>
              <c:showSerName val="0"/>
              <c:showPercent val="0"/>
              <c:showBubbleSize val="0"/>
            </c:dLbl>
            <c:dLbl>
              <c:idx val="1"/>
              <c:layout>
                <c:manualLayout>
                  <c:x val="0.16201031749053876"/>
                  <c:y val="9.0905879822689037E-2"/>
                </c:manualLayout>
              </c:layout>
              <c:tx>
                <c:rich>
                  <a:bodyPr/>
                  <a:lstStyle/>
                  <a:p>
                    <a:r>
                      <a:rPr lang="ru-RU">
                        <a:latin typeface="Times New Roman" panose="02020603050405020304" pitchFamily="18" charset="0"/>
                        <a:cs typeface="Times New Roman" panose="02020603050405020304" pitchFamily="18" charset="0"/>
                      </a:rPr>
                      <a:t>Эксплуатация моторвагонного</a:t>
                    </a:r>
                    <a:r>
                      <a:rPr lang="ru-RU" baseline="0">
                        <a:latin typeface="Times New Roman" panose="02020603050405020304" pitchFamily="18" charset="0"/>
                        <a:cs typeface="Times New Roman" panose="02020603050405020304" pitchFamily="18" charset="0"/>
                      </a:rPr>
                      <a:t> подвижного сост</a:t>
                    </a:r>
                    <a:r>
                      <a:rPr lang="ru-RU">
                        <a:latin typeface="Times New Roman" panose="02020603050405020304" pitchFamily="18" charset="0"/>
                        <a:cs typeface="Times New Roman" panose="02020603050405020304" pitchFamily="18" charset="0"/>
                      </a:rPr>
                      <a:t>ава 23,7%</a:t>
                    </a:r>
                    <a:endParaRPr lang="ru-RU"/>
                  </a:p>
                </c:rich>
              </c:tx>
              <c:showLegendKey val="0"/>
              <c:showVal val="1"/>
              <c:showCatName val="1"/>
              <c:showSerName val="0"/>
              <c:showPercent val="0"/>
              <c:showBubbleSize val="0"/>
            </c:dLbl>
            <c:dLbl>
              <c:idx val="2"/>
              <c:layout>
                <c:manualLayout>
                  <c:x val="7.6943700189720923E-2"/>
                  <c:y val="0.10210209267211488"/>
                </c:manualLayout>
              </c:layout>
              <c:tx>
                <c:rich>
                  <a:bodyPr/>
                  <a:lstStyle/>
                  <a:p>
                    <a:r>
                      <a:rPr lang="ru-RU">
                        <a:latin typeface="Times New Roman" panose="02020603050405020304" pitchFamily="18" charset="0"/>
                        <a:cs typeface="Times New Roman" panose="02020603050405020304" pitchFamily="18" charset="0"/>
                      </a:rPr>
                      <a:t>Аренда моторвагонного</a:t>
                    </a:r>
                    <a:r>
                      <a:rPr lang="ru-RU" baseline="0">
                        <a:latin typeface="Times New Roman" panose="02020603050405020304" pitchFamily="18" charset="0"/>
                        <a:cs typeface="Times New Roman" panose="02020603050405020304" pitchFamily="18" charset="0"/>
                      </a:rPr>
                      <a:t> подвижного состава</a:t>
                    </a:r>
                    <a:r>
                      <a:rPr lang="ru-RU">
                        <a:latin typeface="Times New Roman" panose="02020603050405020304" pitchFamily="18" charset="0"/>
                        <a:cs typeface="Times New Roman" panose="02020603050405020304" pitchFamily="18" charset="0"/>
                      </a:rPr>
                      <a:t> 15,2%</a:t>
                    </a:r>
                    <a:endParaRPr lang="ru-RU"/>
                  </a:p>
                </c:rich>
              </c:tx>
              <c:dLblPos val="bestFit"/>
              <c:showLegendKey val="0"/>
              <c:showVal val="1"/>
              <c:showCatName val="1"/>
              <c:showSerName val="0"/>
              <c:showPercent val="0"/>
              <c:showBubbleSize val="0"/>
              <c:separator> </c:separator>
            </c:dLbl>
            <c:dLbl>
              <c:idx val="3"/>
              <c:layout>
                <c:manualLayout>
                  <c:x val="-0.20530325551032083"/>
                  <c:y val="-4.4888906411000344E-2"/>
                </c:manualLayout>
              </c:layout>
              <c:tx>
                <c:rich>
                  <a:bodyPr/>
                  <a:lstStyle/>
                  <a:p>
                    <a:r>
                      <a:rPr lang="ru-RU">
                        <a:latin typeface="Times New Roman" panose="02020603050405020304" pitchFamily="18" charset="0"/>
                        <a:cs typeface="Times New Roman" panose="02020603050405020304" pitchFamily="18" charset="0"/>
                      </a:rPr>
                      <a:t>Ремонт моторвагонного подвижного состава 22,2%</a:t>
                    </a:r>
                    <a:endParaRPr lang="ru-RU"/>
                  </a:p>
                </c:rich>
              </c:tx>
              <c:showLegendKey val="0"/>
              <c:showVal val="1"/>
              <c:showCatName val="1"/>
              <c:showSerName val="0"/>
              <c:showPercent val="0"/>
              <c:showBubbleSize val="0"/>
            </c:dLbl>
            <c:dLbl>
              <c:idx val="4"/>
              <c:layout>
                <c:manualLayout>
                  <c:x val="-0.13796429091628135"/>
                  <c:y val="-3.2848890602948308E-2"/>
                </c:manualLayout>
              </c:layout>
              <c:showLegendKey val="0"/>
              <c:showVal val="1"/>
              <c:showCatName val="1"/>
              <c:showSerName val="0"/>
              <c:showPercent val="0"/>
              <c:showBubbleSize val="0"/>
            </c:dLbl>
            <c:dLbl>
              <c:idx val="5"/>
              <c:layout>
                <c:manualLayout>
                  <c:x val="-0.25604117570418983"/>
                  <c:y val="-2.9649768471156097E-2"/>
                </c:manualLayout>
              </c:layout>
              <c:showLegendKey val="0"/>
              <c:showVal val="1"/>
              <c:showCatName val="1"/>
              <c:showSerName val="0"/>
              <c:showPercent val="0"/>
              <c:showBubbleSize val="0"/>
            </c:dLbl>
            <c:spPr>
              <a:effectLst>
                <a:softEdge rad="63500"/>
              </a:effectLst>
            </c:spPr>
            <c:txPr>
              <a:bodyPr/>
              <a:lstStyle/>
              <a:p>
                <a:pPr>
                  <a:defRPr sz="1100">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'Ф-1  2024'!$B$26:$B$44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2024'!$D$26:$D$44</c:f>
              <c:numCache>
                <c:formatCode>0.0%</c:formatCode>
                <c:ptCount val="6"/>
                <c:pt idx="0">
                  <c:v>4.3452693280080822E-3</c:v>
                </c:pt>
                <c:pt idx="1">
                  <c:v>0.22181672615236328</c:v>
                </c:pt>
                <c:pt idx="2">
                  <c:v>0.19731956830722241</c:v>
                </c:pt>
                <c:pt idx="3">
                  <c:v>0.21898224440931863</c:v>
                </c:pt>
                <c:pt idx="4">
                  <c:v>0.34888483501657558</c:v>
                </c:pt>
                <c:pt idx="5">
                  <c:v>8.6513567865120333E-3</c:v>
                </c:pt>
              </c:numCache>
            </c:numRef>
          </c:val>
        </c:ser>
        <c:dLbls>
          <c:showLegendKey val="0"/>
          <c:showVal val="1"/>
          <c:showCatName val="1"/>
          <c:showSerName val="0"/>
          <c:showPercent val="0"/>
          <c:showBubbleSize val="0"/>
          <c:showLeaderLines val="1"/>
        </c:dLbls>
      </c:pie3DChart>
      <c:spPr>
        <a:solidFill>
          <a:schemeClr val="bg1"/>
        </a:solidFill>
      </c:spPr>
    </c:plotArea>
    <c:plotVisOnly val="1"/>
    <c:dispBlanksAs val="gap"/>
    <c:showDLblsOverMax val="0"/>
  </c:chart>
  <c:spPr>
    <a:noFill/>
  </c:spPr>
  <c:externalData r:id="rId1">
    <c:autoUpdate val="0"/>
  </c:externalData>
  <c:userShapes r:id="rId2"/>
</c:chartSpace>
</file>

<file path=word/charts/chart5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975" b="1" i="0" u="none" strike="noStrike" baseline="0">
                <a:solidFill>
                  <a:srgbClr val="000000"/>
                </a:solidFill>
                <a:latin typeface="Arial Cyr"/>
                <a:ea typeface="Arial Cyr"/>
                <a:cs typeface="Arial Cyr"/>
              </a:defRPr>
            </a:pPr>
            <a:r>
              <a:rPr lang="ru-RU"/>
              <a:t>Динамика тарифов на услугу по подаче и уборке вагонов</a:t>
            </a:r>
          </a:p>
        </c:rich>
      </c:tx>
      <c:layout>
        <c:manualLayout>
          <c:xMode val="edge"/>
          <c:yMode val="edge"/>
          <c:x val="0.25445329719541732"/>
          <c:y val="2.9880388567665204E-2"/>
        </c:manualLayout>
      </c:layout>
      <c:overlay val="0"/>
      <c:spPr>
        <a:noFill/>
        <a:ln w="25400">
          <a:noFill/>
        </a:ln>
      </c:spPr>
    </c:title>
    <c:autoTitleDeleted val="0"/>
    <c:plotArea>
      <c:layout>
        <c:manualLayout>
          <c:layoutTarget val="inner"/>
          <c:xMode val="edge"/>
          <c:yMode val="edge"/>
          <c:x val="0.10050903072945333"/>
          <c:y val="0.13745033289725195"/>
          <c:w val="0.88168048475330552"/>
          <c:h val="0.69521979972667858"/>
        </c:manualLayout>
      </c:layout>
      <c:barChart>
        <c:barDir val="col"/>
        <c:grouping val="clustered"/>
        <c:varyColors val="0"/>
        <c:ser>
          <c:idx val="2"/>
          <c:order val="0"/>
          <c:tx>
            <c:strRef>
              <c:f>'2024'!$A$3</c:f>
              <c:strCache>
                <c:ptCount val="1"/>
                <c:pt idx="0">
                  <c:v>2023</c:v>
                </c:pt>
              </c:strCache>
            </c:strRef>
          </c:tx>
          <c:spPr>
            <a:solidFill>
              <a:srgbClr val="99CCFF"/>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'2024'!$B$2:$K$2</c:f>
              <c:strCache>
                <c:ptCount val="10"/>
                <c:pt idx="0">
                  <c:v>АО "СПЖТ"</c:v>
                </c:pt>
                <c:pt idx="1">
                  <c:v>ООО "ПЖТ "Изынское"</c:v>
                </c:pt>
                <c:pt idx="2">
                  <c:v>ООО "НТТ"</c:v>
                </c:pt>
                <c:pt idx="3">
                  <c:v>ООО  "ТЖК"</c:v>
                </c:pt>
                <c:pt idx="4">
                  <c:v>ООО "ППЖТ"</c:v>
                </c:pt>
                <c:pt idx="5">
                  <c:v>ООО "Сервис-Эклон"</c:v>
                </c:pt>
                <c:pt idx="6">
                  <c:v>АО ПЖТ "Луч"</c:v>
                </c:pt>
                <c:pt idx="7">
                  <c:v>АО "НЗИВ"</c:v>
                </c:pt>
                <c:pt idx="8">
                  <c:v>ООО "ТГК 1"</c:v>
                </c:pt>
                <c:pt idx="9">
                  <c:v>АО "ППЖТ Юбилейное"</c:v>
                </c:pt>
              </c:strCache>
            </c:strRef>
          </c:cat>
          <c:val>
            <c:numRef>
              <c:f>'2024'!$B$3:$K$3</c:f>
              <c:numCache>
                <c:formatCode>General</c:formatCode>
                <c:ptCount val="10"/>
                <c:pt idx="0">
                  <c:v>6862.7</c:v>
                </c:pt>
                <c:pt idx="1">
                  <c:v>4898</c:v>
                </c:pt>
                <c:pt idx="3">
                  <c:v>3873.5</c:v>
                </c:pt>
                <c:pt idx="4">
                  <c:v>5381.9</c:v>
                </c:pt>
                <c:pt idx="5">
                  <c:v>6900</c:v>
                </c:pt>
                <c:pt idx="6">
                  <c:v>5573</c:v>
                </c:pt>
                <c:pt idx="7">
                  <c:v>5423</c:v>
                </c:pt>
                <c:pt idx="8">
                  <c:v>8038.7</c:v>
                </c:pt>
                <c:pt idx="9">
                  <c:v>10223.9</c:v>
                </c:pt>
              </c:numCache>
            </c:numRef>
          </c:val>
        </c:ser>
        <c:ser>
          <c:idx val="3"/>
          <c:order val="1"/>
          <c:tx>
            <c:strRef>
              <c:f>'2024'!$A$4</c:f>
              <c:strCache>
                <c:ptCount val="1"/>
                <c:pt idx="0">
                  <c:v>2024</c:v>
                </c:pt>
              </c:strCache>
            </c:strRef>
          </c:tx>
          <c:spPr>
            <a:solidFill>
              <a:srgbClr val="000080"/>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'2024'!$B$2:$K$2</c:f>
              <c:strCache>
                <c:ptCount val="10"/>
                <c:pt idx="0">
                  <c:v>АО "СПЖТ"</c:v>
                </c:pt>
                <c:pt idx="1">
                  <c:v>ООО "ПЖТ "Изынское"</c:v>
                </c:pt>
                <c:pt idx="2">
                  <c:v>ООО "НТТ"</c:v>
                </c:pt>
                <c:pt idx="3">
                  <c:v>ООО  "ТЖК"</c:v>
                </c:pt>
                <c:pt idx="4">
                  <c:v>ООО "ППЖТ"</c:v>
                </c:pt>
                <c:pt idx="5">
                  <c:v>ООО "Сервис-Эклон"</c:v>
                </c:pt>
                <c:pt idx="6">
                  <c:v>АО ПЖТ "Луч"</c:v>
                </c:pt>
                <c:pt idx="7">
                  <c:v>АО "НЗИВ"</c:v>
                </c:pt>
                <c:pt idx="8">
                  <c:v>ООО "ТГК 1"</c:v>
                </c:pt>
                <c:pt idx="9">
                  <c:v>АО "ППЖТ Юбилейное"</c:v>
                </c:pt>
              </c:strCache>
            </c:strRef>
          </c:cat>
          <c:val>
            <c:numRef>
              <c:f>'2024'!$B$4:$K$4</c:f>
              <c:numCache>
                <c:formatCode>General</c:formatCode>
                <c:ptCount val="10"/>
                <c:pt idx="0">
                  <c:v>7153.5</c:v>
                </c:pt>
                <c:pt idx="1">
                  <c:v>6644</c:v>
                </c:pt>
                <c:pt idx="3">
                  <c:v>4115.3999999999996</c:v>
                </c:pt>
                <c:pt idx="4">
                  <c:v>5381.9</c:v>
                </c:pt>
                <c:pt idx="5">
                  <c:v>6900</c:v>
                </c:pt>
                <c:pt idx="6">
                  <c:v>5573</c:v>
                </c:pt>
                <c:pt idx="7">
                  <c:v>5423</c:v>
                </c:pt>
                <c:pt idx="8">
                  <c:v>8038.7</c:v>
                </c:pt>
                <c:pt idx="9">
                  <c:v>10706.7</c:v>
                </c:pt>
              </c:numCache>
            </c:numRef>
          </c:val>
        </c:ser>
        <c:ser>
          <c:idx val="4"/>
          <c:order val="2"/>
          <c:tx>
            <c:strRef>
              <c:f>'2024'!$A$5</c:f>
              <c:strCache>
                <c:ptCount val="1"/>
                <c:pt idx="0">
                  <c:v>2025</c:v>
                </c:pt>
              </c:strCache>
            </c:strRef>
          </c:tx>
          <c:invertIfNegative val="0"/>
          <c:dLbls>
            <c:txPr>
              <a:bodyPr rot="-5400000" vert="horz"/>
              <a:lstStyle/>
              <a:p>
                <a:pPr>
                  <a:defRPr sz="900" baseline="0"/>
                </a:pPr>
                <a:endParaRPr lang="ru-RU"/>
              </a:p>
            </c:txPr>
            <c:showLegendKey val="0"/>
            <c:showVal val="1"/>
            <c:showCatName val="0"/>
            <c:showSerName val="0"/>
            <c:showPercent val="0"/>
            <c:showBubbleSize val="0"/>
            <c:showLeaderLines val="0"/>
          </c:dLbls>
          <c:cat>
            <c:strRef>
              <c:f>'2024'!$B$2:$K$2</c:f>
              <c:strCache>
                <c:ptCount val="10"/>
                <c:pt idx="0">
                  <c:v>АО "СПЖТ"</c:v>
                </c:pt>
                <c:pt idx="1">
                  <c:v>ООО "ПЖТ "Изынское"</c:v>
                </c:pt>
                <c:pt idx="2">
                  <c:v>ООО "НТТ"</c:v>
                </c:pt>
                <c:pt idx="3">
                  <c:v>ООО  "ТЖК"</c:v>
                </c:pt>
                <c:pt idx="4">
                  <c:v>ООО "ППЖТ"</c:v>
                </c:pt>
                <c:pt idx="5">
                  <c:v>ООО "Сервис-Эклон"</c:v>
                </c:pt>
                <c:pt idx="6">
                  <c:v>АО ПЖТ "Луч"</c:v>
                </c:pt>
                <c:pt idx="7">
                  <c:v>АО "НЗИВ"</c:v>
                </c:pt>
                <c:pt idx="8">
                  <c:v>ООО "ТГК 1"</c:v>
                </c:pt>
                <c:pt idx="9">
                  <c:v>АО "ППЖТ Юбилейное"</c:v>
                </c:pt>
              </c:strCache>
            </c:strRef>
          </c:cat>
          <c:val>
            <c:numRef>
              <c:f>'2024'!$B$5:$K$5</c:f>
              <c:numCache>
                <c:formatCode>General</c:formatCode>
                <c:ptCount val="10"/>
                <c:pt idx="0">
                  <c:v>8005.54</c:v>
                </c:pt>
                <c:pt idx="1">
                  <c:v>8321.2999999999993</c:v>
                </c:pt>
                <c:pt idx="2">
                  <c:v>5345</c:v>
                </c:pt>
                <c:pt idx="3">
                  <c:v>4115.3999999999996</c:v>
                </c:pt>
                <c:pt idx="4">
                  <c:v>5381.9</c:v>
                </c:pt>
                <c:pt idx="5">
                  <c:v>6900</c:v>
                </c:pt>
                <c:pt idx="6">
                  <c:v>6243.3</c:v>
                </c:pt>
                <c:pt idx="7">
                  <c:v>5423</c:v>
                </c:pt>
                <c:pt idx="8">
                  <c:v>8994.7999999999993</c:v>
                </c:pt>
                <c:pt idx="9">
                  <c:v>13449</c:v>
                </c:pt>
              </c:numCache>
            </c:numRef>
          </c:val>
        </c:ser>
        <c:dLbls>
          <c:showLegendKey val="0"/>
          <c:showVal val="0"/>
          <c:showCatName val="0"/>
          <c:showSerName val="0"/>
          <c:showPercent val="0"/>
          <c:showBubbleSize val="0"/>
        </c:dLbls>
        <c:gapWidth val="150"/>
        <c:axId val="252418560"/>
        <c:axId val="223878464"/>
      </c:barChart>
      <c:catAx>
        <c:axId val="252418560"/>
        <c:scaling>
          <c:orientation val="minMax"/>
        </c:scaling>
        <c:delete val="0"/>
        <c:axPos val="b"/>
        <c:numFmt formatCode="General" sourceLinked="1"/>
        <c:majorTickMark val="out"/>
        <c:minorTickMark val="none"/>
        <c:tickLblPos val="nextTo"/>
        <c:spPr>
          <a:ln w="3175">
            <a:solidFill>
              <a:srgbClr val="000000"/>
            </a:solidFill>
            <a:prstDash val="solid"/>
          </a:ln>
        </c:spPr>
        <c:txPr>
          <a:bodyPr rot="-5400000" vert="horz"/>
          <a:lstStyle/>
          <a:p>
            <a:pPr>
              <a:defRPr sz="900" b="0" i="0" u="none" strike="noStrike" baseline="0">
                <a:solidFill>
                  <a:srgbClr val="000000"/>
                </a:solidFill>
                <a:latin typeface="Arial Cyr"/>
                <a:ea typeface="Arial Cyr"/>
                <a:cs typeface="Arial Cyr"/>
              </a:defRPr>
            </a:pPr>
            <a:endParaRPr lang="ru-RU"/>
          </a:p>
        </c:txPr>
        <c:crossAx val="223878464"/>
        <c:crosses val="autoZero"/>
        <c:auto val="1"/>
        <c:lblAlgn val="ctr"/>
        <c:lblOffset val="100"/>
        <c:tickLblSkip val="1"/>
        <c:tickMarkSkip val="1"/>
        <c:noMultiLvlLbl val="0"/>
      </c:catAx>
      <c:valAx>
        <c:axId val="223878464"/>
        <c:scaling>
          <c:orientation val="minMax"/>
        </c:scaling>
        <c:delete val="0"/>
        <c:axPos val="l"/>
        <c:majorGridlines>
          <c:spPr>
            <a:ln w="3175">
              <a:solidFill>
                <a:srgbClr val="000000"/>
              </a:solidFill>
              <a:prstDash val="solid"/>
            </a:ln>
          </c:spPr>
        </c:majorGridlines>
        <c:title>
          <c:tx>
            <c:rich>
              <a:bodyPr/>
              <a:lstStyle/>
              <a:p>
                <a:pPr>
                  <a:defRPr sz="975" b="1" i="0" u="none" strike="noStrike" baseline="0">
                    <a:solidFill>
                      <a:srgbClr val="000000"/>
                    </a:solidFill>
                    <a:latin typeface="Arial Cyr"/>
                    <a:ea typeface="Arial Cyr"/>
                    <a:cs typeface="Arial Cyr"/>
                  </a:defRPr>
                </a:pPr>
                <a:r>
                  <a:rPr lang="ru-RU"/>
                  <a:t>Тариф, руб. за вагон</a:t>
                </a:r>
              </a:p>
            </c:rich>
          </c:tx>
          <c:layout>
            <c:manualLayout>
              <c:xMode val="edge"/>
              <c:yMode val="edge"/>
              <c:x val="1.6780765905745462E-3"/>
              <c:y val="0.3645810694327416"/>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Arial Cyr"/>
                <a:ea typeface="Arial Cyr"/>
                <a:cs typeface="Arial Cyr"/>
              </a:defRPr>
            </a:pPr>
            <a:endParaRPr lang="ru-RU"/>
          </a:p>
        </c:txPr>
        <c:crossAx val="252418560"/>
        <c:crosses val="autoZero"/>
        <c:crossBetween val="between"/>
      </c:valAx>
      <c:spPr>
        <a:solidFill>
          <a:srgbClr val="CCFFFF"/>
        </a:solidFill>
        <a:ln w="12700">
          <a:solidFill>
            <a:srgbClr val="808080"/>
          </a:solidFill>
          <a:prstDash val="solid"/>
        </a:ln>
      </c:spPr>
    </c:plotArea>
    <c:legend>
      <c:legendPos val="b"/>
      <c:layout>
        <c:manualLayout>
          <c:xMode val="edge"/>
          <c:yMode val="edge"/>
          <c:x val="0.38943043840588176"/>
          <c:y val="0.94621592042692082"/>
          <c:w val="0.18402813149839947"/>
          <c:h val="4.7316926712574259E-2"/>
        </c:manualLayout>
      </c:layout>
      <c:overlay val="0"/>
      <c:spPr>
        <a:solidFill>
          <a:srgbClr val="FFFFFF"/>
        </a:solidFill>
        <a:ln w="25400">
          <a:noFill/>
        </a:ln>
      </c:spPr>
      <c:txPr>
        <a:bodyPr/>
        <a:lstStyle/>
        <a:p>
          <a:pPr>
            <a:defRPr sz="82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600" b="0" i="0" u="none" strike="noStrike" baseline="0">
          <a:solidFill>
            <a:srgbClr val="000000"/>
          </a:solidFill>
          <a:latin typeface="Arial Cyr"/>
          <a:ea typeface="Arial Cyr"/>
          <a:cs typeface="Arial Cyr"/>
        </a:defRPr>
      </a:pPr>
      <a:endParaRPr lang="ru-RU"/>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4_1">
  <dgm:title val=""/>
  <dgm:desc val=""/>
  <dgm:catLst>
    <dgm:cat type="accent4" pri="11100"/>
  </dgm:catLst>
  <dgm:styleLbl name="node0">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4">
        <a:shade val="80000"/>
      </a:schemeClr>
    </dgm:linClrLst>
    <dgm:effectClrLst/>
    <dgm:txLinClrLst/>
    <dgm:txFillClrLst/>
    <dgm:txEffectClrLst/>
  </dgm:styleLbl>
  <dgm:styleLbl name="node2">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fg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align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bg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fg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bg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sibTrans1D1">
    <dgm:fillClrLst meth="repeat">
      <a:schemeClr val="accent4"/>
    </dgm:fillClrLst>
    <dgm:linClrLst meth="repeat">
      <a:schemeClr val="accent4"/>
    </dgm:linClrLst>
    <dgm:effectClrLst/>
    <dgm:txLinClrLst/>
    <dgm:txFillClrLst meth="repeat">
      <a:schemeClr val="tx1"/>
    </dgm:txFillClrLst>
    <dgm:txEffectClrLst/>
  </dgm:styleLbl>
  <dgm:styleLbl name="callout">
    <dgm:fillClrLst meth="repeat">
      <a:schemeClr val="accent4"/>
    </dgm:fillClrLst>
    <dgm:linClrLst meth="repeat">
      <a:schemeClr val="accent4"/>
    </dgm:linClrLst>
    <dgm:effectClrLst/>
    <dgm:txLinClrLst/>
    <dgm:txFillClrLst meth="repeat">
      <a:schemeClr val="tx1"/>
    </dgm:txFillClrLst>
    <dgm:txEffectClrLst/>
  </dgm:styleLbl>
  <dgm:styleLbl name="asst0">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parChTrans2D1">
    <dgm:fillClrLst meth="repeat">
      <a:schemeClr val="accent4">
        <a:tint val="60000"/>
      </a:schemeClr>
    </dgm:fillClrLst>
    <dgm:linClrLst meth="repeat">
      <a:schemeClr val="accent4">
        <a:tint val="60000"/>
      </a:schemeClr>
    </dgm:linClrLst>
    <dgm:effectClrLst/>
    <dgm:txLinClrLst/>
    <dgm:txFillClrLst/>
    <dgm:txEffectClrLst/>
  </dgm:styleLbl>
  <dgm:styleLbl name="parChTrans2D2">
    <dgm:fillClrLst meth="repeat">
      <a:schemeClr val="accent4"/>
    </dgm:fillClrLst>
    <dgm:linClrLst meth="repeat">
      <a:schemeClr val="accent4"/>
    </dgm:linClrLst>
    <dgm:effectClrLst/>
    <dgm:txLinClrLst/>
    <dgm:txFillClrLst/>
    <dgm:txEffectClrLst/>
  </dgm:styleLbl>
  <dgm:styleLbl name="parChTrans2D3">
    <dgm:fillClrLst meth="repeat">
      <a:schemeClr val="accent4"/>
    </dgm:fillClrLst>
    <dgm:linClrLst meth="repeat">
      <a:schemeClr val="accent4"/>
    </dgm:linClrLst>
    <dgm:effectClrLst/>
    <dgm:txLinClrLst/>
    <dgm:txFillClrLst/>
    <dgm:txEffectClrLst/>
  </dgm:styleLbl>
  <dgm:styleLbl name="parChTrans2D4">
    <dgm:fillClrLst meth="repeat">
      <a:schemeClr val="accent4"/>
    </dgm:fillClrLst>
    <dgm:linClrLst meth="repeat">
      <a:schemeClr val="accent4"/>
    </dgm:linClrLst>
    <dgm:effectClrLst/>
    <dgm:txLinClrLst/>
    <dgm:txFillClrLst meth="repeat">
      <a:schemeClr val="lt1"/>
    </dgm:txFillClrLst>
    <dgm:txEffectClrLst/>
  </dgm:styleLbl>
  <dgm:styleLbl name="parChTrans1D1">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2">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3">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parChTrans1D4">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f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conF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align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trAlignAcc1">
    <dgm:fillClrLst meth="repeat">
      <a:schemeClr val="accent4">
        <a:alpha val="40000"/>
        <a:tint val="40000"/>
      </a:schemeClr>
    </dgm:fillClrLst>
    <dgm:linClrLst meth="repeat">
      <a:schemeClr val="accent4"/>
    </dgm:linClrLst>
    <dgm:effectClrLst/>
    <dgm:txLinClrLst/>
    <dgm:txFillClrLst meth="repeat">
      <a:schemeClr val="dk1"/>
    </dgm:txFillClrLst>
    <dgm:txEffectClrLst/>
  </dgm:styleLbl>
  <dgm:styleLbl name="b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solidFgAcc1">
    <dgm:fillClrLst meth="repeat">
      <a:schemeClr val="lt1"/>
    </dgm:fillClrLst>
    <dgm:linClrLst meth="repeat">
      <a:schemeClr val="accent4"/>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fgAcc0">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2">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3">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4">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accent4"/>
    </dgm:linClrLst>
    <dgm:effectClrLst/>
    <dgm:txLinClrLst/>
    <dgm:txFillClrLst meth="repeat">
      <a:schemeClr val="dk1"/>
    </dgm:txFillClrLst>
    <dgm:txEffectClrLst/>
  </dgm:styleLbl>
  <dgm:styleLbl name="dkBgShp">
    <dgm:fillClrLst meth="repeat">
      <a:schemeClr val="accent4">
        <a:shade val="80000"/>
      </a:schemeClr>
    </dgm:fillClrLst>
    <dgm:linClrLst meth="repeat">
      <a:schemeClr val="accent4"/>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3_1">
  <dgm:title val=""/>
  <dgm:desc val=""/>
  <dgm:catLst>
    <dgm:cat type="accent3" pri="11100"/>
  </dgm:catLst>
  <dgm:styleLbl name="node0">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3">
        <a:shade val="80000"/>
      </a:schemeClr>
    </dgm:linClrLst>
    <dgm:effectClrLst/>
    <dgm:txLinClrLst/>
    <dgm:txFillClrLst/>
    <dgm:txEffectClrLst/>
  </dgm:styleLbl>
  <dgm:styleLbl name="node2">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fg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align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bg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dgm:linClrLst>
    <dgm:effectClrLst/>
    <dgm:txLinClrLst/>
    <dgm:txFillClrLst meth="repeat">
      <a:schemeClr val="tx1"/>
    </dgm:txFillClrLst>
    <dgm:txEffectClrLst/>
  </dgm:styleLbl>
  <dgm:styleLbl name="asst0">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dgm:txEffectClrLst/>
  </dgm:styleLbl>
  <dgm:styleLbl name="parChTrans2D2">
    <dgm:fillClrLst meth="repeat">
      <a:schemeClr val="accent3"/>
    </dgm:fillClrLst>
    <dgm:linClrLst meth="repeat">
      <a:schemeClr val="accent3"/>
    </dgm:linClrLst>
    <dgm:effectClrLst/>
    <dgm:txLinClrLst/>
    <dgm:txFillClrLst/>
    <dgm:txEffectClrLst/>
  </dgm:styleLbl>
  <dgm:styleLbl name="parChTrans2D3">
    <dgm:fillClrLst meth="repeat">
      <a:schemeClr val="accent3"/>
    </dgm:fillClrLst>
    <dgm:linClrLst meth="repeat">
      <a:schemeClr val="accent3"/>
    </dgm:linClrLst>
    <dgm:effectClrLst/>
    <dgm:txLinClrLst/>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conF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align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trAlignAcc1">
    <dgm:fillClrLst meth="repeat">
      <a:schemeClr val="accent3">
        <a:alpha val="40000"/>
        <a:tint val="40000"/>
      </a:schemeClr>
    </dgm:fillClrLst>
    <dgm:linClrLst meth="repeat">
      <a:schemeClr val="accent3"/>
    </dgm:linClrLst>
    <dgm:effectClrLst/>
    <dgm:txLinClrLst/>
    <dgm:txFillClrLst meth="repeat">
      <a:schemeClr val="dk1"/>
    </dgm:txFillClrLst>
    <dgm:txEffectClrLst/>
  </dgm:styleLbl>
  <dgm:styleLbl name="b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fgAcc0">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2">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3">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4">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4_1">
  <dgm:title val=""/>
  <dgm:desc val=""/>
  <dgm:catLst>
    <dgm:cat type="accent4" pri="11100"/>
  </dgm:catLst>
  <dgm:styleLbl name="node0">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4">
        <a:shade val="80000"/>
      </a:schemeClr>
    </dgm:linClrLst>
    <dgm:effectClrLst/>
    <dgm:txLinClrLst/>
    <dgm:txFillClrLst/>
    <dgm:txEffectClrLst/>
  </dgm:styleLbl>
  <dgm:styleLbl name="node2">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fg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align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bgImgPlace1">
    <dgm:fillClrLst meth="repeat">
      <a:schemeClr val="accent4">
        <a:tint val="40000"/>
      </a:schemeClr>
    </dgm:fillClrLst>
    <dgm:linClrLst meth="repeat">
      <a:schemeClr val="accent4">
        <a:shade val="80000"/>
      </a:schemeClr>
    </dgm:linClrLst>
    <dgm:effectClrLst/>
    <dgm:txLinClrLst/>
    <dgm:txFillClrLst meth="repeat">
      <a:schemeClr val="lt1"/>
    </dgm:txFillClrLst>
    <dgm:txEffectClrLst/>
  </dgm:styleLbl>
  <dgm:styleLbl name="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fg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bgSibTrans2D1">
    <dgm:fillClrLst meth="repeat">
      <a:schemeClr val="accent4">
        <a:tint val="60000"/>
      </a:schemeClr>
    </dgm:fillClrLst>
    <dgm:linClrLst meth="repeat">
      <a:schemeClr val="accent4">
        <a:tint val="60000"/>
      </a:schemeClr>
    </dgm:linClrLst>
    <dgm:effectClrLst/>
    <dgm:txLinClrLst/>
    <dgm:txFillClrLst meth="repeat">
      <a:schemeClr val="dk1"/>
    </dgm:txFillClrLst>
    <dgm:txEffectClrLst/>
  </dgm:styleLbl>
  <dgm:styleLbl name="sibTrans1D1">
    <dgm:fillClrLst meth="repeat">
      <a:schemeClr val="accent4"/>
    </dgm:fillClrLst>
    <dgm:linClrLst meth="repeat">
      <a:schemeClr val="accent4"/>
    </dgm:linClrLst>
    <dgm:effectClrLst/>
    <dgm:txLinClrLst/>
    <dgm:txFillClrLst meth="repeat">
      <a:schemeClr val="tx1"/>
    </dgm:txFillClrLst>
    <dgm:txEffectClrLst/>
  </dgm:styleLbl>
  <dgm:styleLbl name="callout">
    <dgm:fillClrLst meth="repeat">
      <a:schemeClr val="accent4"/>
    </dgm:fillClrLst>
    <dgm:linClrLst meth="repeat">
      <a:schemeClr val="accent4"/>
    </dgm:linClrLst>
    <dgm:effectClrLst/>
    <dgm:txLinClrLst/>
    <dgm:txFillClrLst meth="repeat">
      <a:schemeClr val="tx1"/>
    </dgm:txFillClrLst>
    <dgm:txEffectClrLst/>
  </dgm:styleLbl>
  <dgm:styleLbl name="asst0">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4">
        <a:shade val="80000"/>
      </a:schemeClr>
    </dgm:linClrLst>
    <dgm:effectClrLst/>
    <dgm:txLinClrLst/>
    <dgm:txFillClrLst meth="repeat">
      <a:schemeClr val="dk1"/>
    </dgm:txFillClrLst>
    <dgm:txEffectClrLst/>
  </dgm:styleLbl>
  <dgm:styleLbl name="parChTrans2D1">
    <dgm:fillClrLst meth="repeat">
      <a:schemeClr val="accent4">
        <a:tint val="60000"/>
      </a:schemeClr>
    </dgm:fillClrLst>
    <dgm:linClrLst meth="repeat">
      <a:schemeClr val="accent4">
        <a:tint val="60000"/>
      </a:schemeClr>
    </dgm:linClrLst>
    <dgm:effectClrLst/>
    <dgm:txLinClrLst/>
    <dgm:txFillClrLst/>
    <dgm:txEffectClrLst/>
  </dgm:styleLbl>
  <dgm:styleLbl name="parChTrans2D2">
    <dgm:fillClrLst meth="repeat">
      <a:schemeClr val="accent4"/>
    </dgm:fillClrLst>
    <dgm:linClrLst meth="repeat">
      <a:schemeClr val="accent4"/>
    </dgm:linClrLst>
    <dgm:effectClrLst/>
    <dgm:txLinClrLst/>
    <dgm:txFillClrLst/>
    <dgm:txEffectClrLst/>
  </dgm:styleLbl>
  <dgm:styleLbl name="parChTrans2D3">
    <dgm:fillClrLst meth="repeat">
      <a:schemeClr val="accent4"/>
    </dgm:fillClrLst>
    <dgm:linClrLst meth="repeat">
      <a:schemeClr val="accent4"/>
    </dgm:linClrLst>
    <dgm:effectClrLst/>
    <dgm:txLinClrLst/>
    <dgm:txFillClrLst/>
    <dgm:txEffectClrLst/>
  </dgm:styleLbl>
  <dgm:styleLbl name="parChTrans2D4">
    <dgm:fillClrLst meth="repeat">
      <a:schemeClr val="accent4"/>
    </dgm:fillClrLst>
    <dgm:linClrLst meth="repeat">
      <a:schemeClr val="accent4"/>
    </dgm:linClrLst>
    <dgm:effectClrLst/>
    <dgm:txLinClrLst/>
    <dgm:txFillClrLst meth="repeat">
      <a:schemeClr val="lt1"/>
    </dgm:txFillClrLst>
    <dgm:txEffectClrLst/>
  </dgm:styleLbl>
  <dgm:styleLbl name="parChTrans1D1">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2">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3">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parChTrans1D4">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f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conF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align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trAlignAcc1">
    <dgm:fillClrLst meth="repeat">
      <a:schemeClr val="accent4">
        <a:alpha val="40000"/>
        <a:tint val="40000"/>
      </a:schemeClr>
    </dgm:fillClrLst>
    <dgm:linClrLst meth="repeat">
      <a:schemeClr val="accent4"/>
    </dgm:linClrLst>
    <dgm:effectClrLst/>
    <dgm:txLinClrLst/>
    <dgm:txFillClrLst meth="repeat">
      <a:schemeClr val="dk1"/>
    </dgm:txFillClrLst>
    <dgm:txEffectClrLst/>
  </dgm:styleLbl>
  <dgm:styleLbl name="bgAcc1">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solidFgAcc1">
    <dgm:fillClrLst meth="repeat">
      <a:schemeClr val="lt1"/>
    </dgm:fillClrLst>
    <dgm:linClrLst meth="repeat">
      <a:schemeClr val="accent4"/>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4">
        <a:alpha val="90000"/>
      </a:schemeClr>
    </dgm:linClrLst>
    <dgm:effectClrLst/>
    <dgm:txLinClrLst/>
    <dgm:txFillClrLst meth="repeat">
      <a:schemeClr val="dk1"/>
    </dgm:txFillClrLst>
    <dgm:txEffectClrLst/>
  </dgm:styleLbl>
  <dgm:styleLbl name="fgAcc0">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2">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3">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fgAcc4">
    <dgm:fillClrLst meth="repeat">
      <a:schemeClr val="accent4">
        <a:alpha val="90000"/>
        <a:tint val="40000"/>
      </a:schemeClr>
    </dgm:fillClrLst>
    <dgm:linClrLst meth="repeat">
      <a:schemeClr val="accent4"/>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accent4"/>
    </dgm:linClrLst>
    <dgm:effectClrLst/>
    <dgm:txLinClrLst/>
    <dgm:txFillClrLst meth="repeat">
      <a:schemeClr val="dk1"/>
    </dgm:txFillClrLst>
    <dgm:txEffectClrLst/>
  </dgm:styleLbl>
  <dgm:styleLbl name="dkBgShp">
    <dgm:fillClrLst meth="repeat">
      <a:schemeClr val="accent4">
        <a:shade val="80000"/>
      </a:schemeClr>
    </dgm:fillClrLst>
    <dgm:linClrLst meth="repeat">
      <a:schemeClr val="accent4"/>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A497931-DB75-4F40-800A-9DCCC7DA9231}" type="doc">
      <dgm:prSet loTypeId="urn:microsoft.com/office/officeart/2005/8/layout/chevron2" loCatId="list" qsTypeId="urn:microsoft.com/office/officeart/2005/8/quickstyle/simple1" qsCatId="simple" csTypeId="urn:microsoft.com/office/officeart/2005/8/colors/colorful3" csCatId="colorful" phldr="1"/>
      <dgm:spPr/>
      <dgm:t>
        <a:bodyPr/>
        <a:lstStyle/>
        <a:p>
          <a:endParaRPr lang="ru-RU"/>
        </a:p>
      </dgm:t>
    </dgm:pt>
    <dgm:pt modelId="{20B96BE5-C199-470B-AB2E-DABA06B28709}">
      <dgm:prSet phldrT="[Текст]" custT="1"/>
      <dgm:spPr/>
      <dgm:t>
        <a:bodyPr/>
        <a:lstStyle/>
        <a:p>
          <a:r>
            <a:rPr lang="ru-RU" sz="1200">
              <a:solidFill>
                <a:schemeClr val="accent3"/>
              </a:solidFill>
              <a:latin typeface="Times New Roman" panose="02020603050405020304" pitchFamily="18" charset="0"/>
              <a:cs typeface="Times New Roman" panose="02020603050405020304" pitchFamily="18" charset="0"/>
            </a:rPr>
            <a:t>1</a:t>
          </a:r>
        </a:p>
      </dgm:t>
    </dgm:pt>
    <dgm:pt modelId="{D95EBEE3-4AB8-49DD-8966-F9F862EF6ABF}" type="parTrans" cxnId="{FC7E409D-1416-4519-97DD-F9948DEC9E78}">
      <dgm:prSet/>
      <dgm:spPr/>
      <dgm:t>
        <a:bodyPr/>
        <a:lstStyle/>
        <a:p>
          <a:endParaRPr lang="ru-RU" sz="1200">
            <a:latin typeface="Times New Roman" panose="02020603050405020304" pitchFamily="18" charset="0"/>
            <a:cs typeface="Times New Roman" panose="02020603050405020304" pitchFamily="18" charset="0"/>
          </a:endParaRPr>
        </a:p>
      </dgm:t>
    </dgm:pt>
    <dgm:pt modelId="{957B55CF-2FBE-4015-9A3C-B003966EE265}" type="sibTrans" cxnId="{FC7E409D-1416-4519-97DD-F9948DEC9E78}">
      <dgm:prSet/>
      <dgm:spPr/>
      <dgm:t>
        <a:bodyPr/>
        <a:lstStyle/>
        <a:p>
          <a:endParaRPr lang="ru-RU" sz="1200">
            <a:latin typeface="Times New Roman" panose="02020603050405020304" pitchFamily="18" charset="0"/>
            <a:cs typeface="Times New Roman" panose="02020603050405020304" pitchFamily="18" charset="0"/>
          </a:endParaRPr>
        </a:p>
      </dgm:t>
    </dgm:pt>
    <dgm:pt modelId="{AE08E843-3A6E-461A-9B20-2022F7F17A3A}">
      <dgm:prSet phldrT="[Текст]" custT="1"/>
      <dgm:spPr/>
      <dgm:t>
        <a:bodyPr/>
        <a:lstStyle/>
        <a:p>
          <a:r>
            <a:rPr lang="ru-RU" sz="1200">
              <a:latin typeface="Times New Roman" panose="02020603050405020304" pitchFamily="18" charset="0"/>
              <a:cs typeface="Times New Roman" panose="02020603050405020304" pitchFamily="18" charset="0"/>
            </a:rPr>
            <a:t>Федеральный закон от 24.06.1998 № 89-ФЗ «Об отходах производства            и потребления»</a:t>
          </a:r>
        </a:p>
      </dgm:t>
    </dgm:pt>
    <dgm:pt modelId="{F1189EA4-2484-4850-A657-C374A874BA70}" type="parTrans" cxnId="{5B4E5DF2-1686-48FE-9848-5C851B5FC408}">
      <dgm:prSet/>
      <dgm:spPr/>
      <dgm:t>
        <a:bodyPr/>
        <a:lstStyle/>
        <a:p>
          <a:endParaRPr lang="ru-RU" sz="1200">
            <a:latin typeface="Times New Roman" panose="02020603050405020304" pitchFamily="18" charset="0"/>
            <a:cs typeface="Times New Roman" panose="02020603050405020304" pitchFamily="18" charset="0"/>
          </a:endParaRPr>
        </a:p>
      </dgm:t>
    </dgm:pt>
    <dgm:pt modelId="{C3030C14-9B7A-4BD4-96F8-C8C07B5C8744}" type="sibTrans" cxnId="{5B4E5DF2-1686-48FE-9848-5C851B5FC408}">
      <dgm:prSet/>
      <dgm:spPr/>
      <dgm:t>
        <a:bodyPr/>
        <a:lstStyle/>
        <a:p>
          <a:endParaRPr lang="ru-RU" sz="1200">
            <a:latin typeface="Times New Roman" panose="02020603050405020304" pitchFamily="18" charset="0"/>
            <a:cs typeface="Times New Roman" panose="02020603050405020304" pitchFamily="18" charset="0"/>
          </a:endParaRPr>
        </a:p>
      </dgm:t>
    </dgm:pt>
    <dgm:pt modelId="{24690389-A9C7-48AB-BF24-2CD2C47F7BD6}">
      <dgm:prSet phldrT="[Текст]" custT="1"/>
      <dgm:spPr/>
      <dgm:t>
        <a:bodyPr/>
        <a:lstStyle/>
        <a:p>
          <a:r>
            <a:rPr lang="ru-RU" sz="1200">
              <a:solidFill>
                <a:srgbClr val="5EAFA6"/>
              </a:solidFill>
              <a:latin typeface="Times New Roman" panose="02020603050405020304" pitchFamily="18" charset="0"/>
              <a:cs typeface="Times New Roman" panose="02020603050405020304" pitchFamily="18" charset="0"/>
            </a:rPr>
            <a:t>4</a:t>
          </a:r>
        </a:p>
      </dgm:t>
    </dgm:pt>
    <dgm:pt modelId="{D24317AD-4757-4A45-ADDE-F0AFF925C564}" type="parTrans" cxnId="{4401FDAA-A88E-4390-B4EE-70F38D9342D1}">
      <dgm:prSet/>
      <dgm:spPr/>
      <dgm:t>
        <a:bodyPr/>
        <a:lstStyle/>
        <a:p>
          <a:endParaRPr lang="ru-RU" sz="1200">
            <a:latin typeface="Times New Roman" panose="02020603050405020304" pitchFamily="18" charset="0"/>
            <a:cs typeface="Times New Roman" panose="02020603050405020304" pitchFamily="18" charset="0"/>
          </a:endParaRPr>
        </a:p>
      </dgm:t>
    </dgm:pt>
    <dgm:pt modelId="{BA3DAB3F-F5F3-4D62-BF15-FDB3B32C66AB}" type="sibTrans" cxnId="{4401FDAA-A88E-4390-B4EE-70F38D9342D1}">
      <dgm:prSet/>
      <dgm:spPr/>
      <dgm:t>
        <a:bodyPr/>
        <a:lstStyle/>
        <a:p>
          <a:endParaRPr lang="ru-RU" sz="1200">
            <a:latin typeface="Times New Roman" panose="02020603050405020304" pitchFamily="18" charset="0"/>
            <a:cs typeface="Times New Roman" panose="02020603050405020304" pitchFamily="18" charset="0"/>
          </a:endParaRPr>
        </a:p>
      </dgm:t>
    </dgm:pt>
    <dgm:pt modelId="{BD3C4D8C-3C62-427A-8175-AC5F5D802F43}">
      <dgm:prSet phldrT="[Текст]" custT="1"/>
      <dgm:spPr/>
      <dgm:t>
        <a:bodyPr/>
        <a:lstStyle/>
        <a:p>
          <a:r>
            <a:rPr lang="ru-RU" sz="1200">
              <a:latin typeface="Times New Roman" panose="02020603050405020304" pitchFamily="18" charset="0"/>
              <a:cs typeface="Times New Roman" panose="02020603050405020304" pitchFamily="18" charset="0"/>
            </a:rPr>
            <a:t>Постановление Правительства РФ от 30.05.2016  № 484 «О ценообразовании в области обращения с твердыми коммунальными отходами»</a:t>
          </a:r>
        </a:p>
      </dgm:t>
    </dgm:pt>
    <dgm:pt modelId="{D675A911-6A30-4840-983B-E8CD3A66D06A}" type="parTrans" cxnId="{E1DCC1C8-B60C-43AE-8BC9-9792FE096521}">
      <dgm:prSet/>
      <dgm:spPr/>
      <dgm:t>
        <a:bodyPr/>
        <a:lstStyle/>
        <a:p>
          <a:endParaRPr lang="ru-RU" sz="1200">
            <a:latin typeface="Times New Roman" panose="02020603050405020304" pitchFamily="18" charset="0"/>
            <a:cs typeface="Times New Roman" panose="02020603050405020304" pitchFamily="18" charset="0"/>
          </a:endParaRPr>
        </a:p>
      </dgm:t>
    </dgm:pt>
    <dgm:pt modelId="{36A2A70C-F19F-4311-9CF0-66960D126732}" type="sibTrans" cxnId="{E1DCC1C8-B60C-43AE-8BC9-9792FE096521}">
      <dgm:prSet/>
      <dgm:spPr/>
      <dgm:t>
        <a:bodyPr/>
        <a:lstStyle/>
        <a:p>
          <a:endParaRPr lang="ru-RU" sz="1200">
            <a:latin typeface="Times New Roman" panose="02020603050405020304" pitchFamily="18" charset="0"/>
            <a:cs typeface="Times New Roman" panose="02020603050405020304" pitchFamily="18" charset="0"/>
          </a:endParaRPr>
        </a:p>
      </dgm:t>
    </dgm:pt>
    <dgm:pt modelId="{B5FF4069-2EFE-493B-9155-A21368C51E01}">
      <dgm:prSet phldrT="[Текст]" custT="1"/>
      <dgm:spPr/>
      <dgm:t>
        <a:bodyPr/>
        <a:lstStyle/>
        <a:p>
          <a:r>
            <a:rPr lang="ru-RU" sz="1200">
              <a:solidFill>
                <a:srgbClr val="8064A2"/>
              </a:solidFill>
              <a:latin typeface="Times New Roman" panose="02020603050405020304" pitchFamily="18" charset="0"/>
              <a:cs typeface="Times New Roman" panose="02020603050405020304" pitchFamily="18" charset="0"/>
            </a:rPr>
            <a:t>3</a:t>
          </a:r>
        </a:p>
      </dgm:t>
    </dgm:pt>
    <dgm:pt modelId="{5F98B4D1-5CA1-494A-8AD1-E97FF4F56EFD}" type="parTrans" cxnId="{456167A0-CEA7-433A-9995-AB55A4AC1D64}">
      <dgm:prSet/>
      <dgm:spPr/>
      <dgm:t>
        <a:bodyPr/>
        <a:lstStyle/>
        <a:p>
          <a:endParaRPr lang="ru-RU" sz="1200">
            <a:latin typeface="Times New Roman" panose="02020603050405020304" pitchFamily="18" charset="0"/>
            <a:cs typeface="Times New Roman" panose="02020603050405020304" pitchFamily="18" charset="0"/>
          </a:endParaRPr>
        </a:p>
      </dgm:t>
    </dgm:pt>
    <dgm:pt modelId="{1F0BAD62-DF11-41A0-A490-D46682885AF4}" type="sibTrans" cxnId="{456167A0-CEA7-433A-9995-AB55A4AC1D64}">
      <dgm:prSet/>
      <dgm:spPr/>
      <dgm:t>
        <a:bodyPr/>
        <a:lstStyle/>
        <a:p>
          <a:endParaRPr lang="ru-RU" sz="1200">
            <a:latin typeface="Times New Roman" panose="02020603050405020304" pitchFamily="18" charset="0"/>
            <a:cs typeface="Times New Roman" panose="02020603050405020304" pitchFamily="18" charset="0"/>
          </a:endParaRPr>
        </a:p>
      </dgm:t>
    </dgm:pt>
    <dgm:pt modelId="{FAA41FAA-6DBB-49C2-BAD2-755E3B9AAA15}">
      <dgm:prSet phldrT="[Текст]" custT="1"/>
      <dgm:spPr/>
      <dgm:t>
        <a:bodyPr/>
        <a:lstStyle/>
        <a:p>
          <a:r>
            <a:rPr lang="ru-RU" sz="1200">
              <a:latin typeface="Times New Roman" panose="02020603050405020304" pitchFamily="18" charset="0"/>
              <a:cs typeface="Times New Roman" panose="02020603050405020304" pitchFamily="18" charset="0"/>
            </a:rPr>
            <a:t>Приказ Федеральной антимонопольной службы от 21.11.2016 №1638/16    «Об утверждении методических указаний по расчету регулируемых тарифов в области обращения с твердыми коммунальными отходами»</a:t>
          </a:r>
        </a:p>
      </dgm:t>
    </dgm:pt>
    <dgm:pt modelId="{D0FEBAF9-B54F-46B9-88EA-7CF4C79CFD61}" type="parTrans" cxnId="{57C9F344-0BAB-4080-BF0A-9366C91FA6B1}">
      <dgm:prSet/>
      <dgm:spPr/>
      <dgm:t>
        <a:bodyPr/>
        <a:lstStyle/>
        <a:p>
          <a:endParaRPr lang="ru-RU" sz="1200">
            <a:latin typeface="Times New Roman" panose="02020603050405020304" pitchFamily="18" charset="0"/>
            <a:cs typeface="Times New Roman" panose="02020603050405020304" pitchFamily="18" charset="0"/>
          </a:endParaRPr>
        </a:p>
      </dgm:t>
    </dgm:pt>
    <dgm:pt modelId="{5BA7D552-53BF-4E2B-AE66-BA41D714846C}" type="sibTrans" cxnId="{57C9F344-0BAB-4080-BF0A-9366C91FA6B1}">
      <dgm:prSet/>
      <dgm:spPr/>
      <dgm:t>
        <a:bodyPr/>
        <a:lstStyle/>
        <a:p>
          <a:endParaRPr lang="ru-RU" sz="1200">
            <a:latin typeface="Times New Roman" panose="02020603050405020304" pitchFamily="18" charset="0"/>
            <a:cs typeface="Times New Roman" panose="02020603050405020304" pitchFamily="18" charset="0"/>
          </a:endParaRPr>
        </a:p>
      </dgm:t>
    </dgm:pt>
    <dgm:pt modelId="{41F6679A-BE67-4A64-9763-6B432CB0FBB6}" type="pres">
      <dgm:prSet presAssocID="{DA497931-DB75-4F40-800A-9DCCC7DA9231}" presName="linearFlow" presStyleCnt="0">
        <dgm:presLayoutVars>
          <dgm:dir/>
          <dgm:animLvl val="lvl"/>
          <dgm:resizeHandles val="exact"/>
        </dgm:presLayoutVars>
      </dgm:prSet>
      <dgm:spPr/>
      <dgm:t>
        <a:bodyPr/>
        <a:lstStyle/>
        <a:p>
          <a:endParaRPr lang="ru-RU"/>
        </a:p>
      </dgm:t>
    </dgm:pt>
    <dgm:pt modelId="{E10ED240-4B4A-4C0F-9B20-599098F9102E}" type="pres">
      <dgm:prSet presAssocID="{20B96BE5-C199-470B-AB2E-DABA06B28709}" presName="composite" presStyleCnt="0"/>
      <dgm:spPr/>
    </dgm:pt>
    <dgm:pt modelId="{0B66CCE3-1C05-49E0-A0E1-1EAB7A7210DA}" type="pres">
      <dgm:prSet presAssocID="{20B96BE5-C199-470B-AB2E-DABA06B28709}" presName="parentText" presStyleLbl="alignNode1" presStyleIdx="0" presStyleCnt="3">
        <dgm:presLayoutVars>
          <dgm:chMax val="1"/>
          <dgm:bulletEnabled val="1"/>
        </dgm:presLayoutVars>
      </dgm:prSet>
      <dgm:spPr/>
      <dgm:t>
        <a:bodyPr/>
        <a:lstStyle/>
        <a:p>
          <a:endParaRPr lang="ru-RU"/>
        </a:p>
      </dgm:t>
    </dgm:pt>
    <dgm:pt modelId="{4A101352-3CA3-47F5-A1DD-F3C50386993A}" type="pres">
      <dgm:prSet presAssocID="{20B96BE5-C199-470B-AB2E-DABA06B28709}" presName="descendantText" presStyleLbl="alignAcc1" presStyleIdx="0" presStyleCnt="3">
        <dgm:presLayoutVars>
          <dgm:bulletEnabled val="1"/>
        </dgm:presLayoutVars>
      </dgm:prSet>
      <dgm:spPr/>
      <dgm:t>
        <a:bodyPr/>
        <a:lstStyle/>
        <a:p>
          <a:endParaRPr lang="ru-RU"/>
        </a:p>
      </dgm:t>
    </dgm:pt>
    <dgm:pt modelId="{6DDF8304-AD75-4146-9806-B9F5BA6F1601}" type="pres">
      <dgm:prSet presAssocID="{957B55CF-2FBE-4015-9A3C-B003966EE265}" presName="sp" presStyleCnt="0"/>
      <dgm:spPr/>
    </dgm:pt>
    <dgm:pt modelId="{5CB23804-F79F-4CC5-89DB-9241C10DFEDE}" type="pres">
      <dgm:prSet presAssocID="{24690389-A9C7-48AB-BF24-2CD2C47F7BD6}" presName="composite" presStyleCnt="0"/>
      <dgm:spPr/>
    </dgm:pt>
    <dgm:pt modelId="{827D2270-D5FD-4E28-A568-E4B7FE1963A5}" type="pres">
      <dgm:prSet presAssocID="{24690389-A9C7-48AB-BF24-2CD2C47F7BD6}" presName="parentText" presStyleLbl="alignNode1" presStyleIdx="1" presStyleCnt="3">
        <dgm:presLayoutVars>
          <dgm:chMax val="1"/>
          <dgm:bulletEnabled val="1"/>
        </dgm:presLayoutVars>
      </dgm:prSet>
      <dgm:spPr/>
      <dgm:t>
        <a:bodyPr/>
        <a:lstStyle/>
        <a:p>
          <a:endParaRPr lang="ru-RU"/>
        </a:p>
      </dgm:t>
    </dgm:pt>
    <dgm:pt modelId="{5C4C1EC4-876D-41C6-9B0C-5FA3E347E763}" type="pres">
      <dgm:prSet presAssocID="{24690389-A9C7-48AB-BF24-2CD2C47F7BD6}" presName="descendantText" presStyleLbl="alignAcc1" presStyleIdx="1" presStyleCnt="3">
        <dgm:presLayoutVars>
          <dgm:bulletEnabled val="1"/>
        </dgm:presLayoutVars>
      </dgm:prSet>
      <dgm:spPr/>
      <dgm:t>
        <a:bodyPr/>
        <a:lstStyle/>
        <a:p>
          <a:endParaRPr lang="ru-RU"/>
        </a:p>
      </dgm:t>
    </dgm:pt>
    <dgm:pt modelId="{F9E1C572-8DC6-41C9-9340-A0C0055C0AA4}" type="pres">
      <dgm:prSet presAssocID="{BA3DAB3F-F5F3-4D62-BF15-FDB3B32C66AB}" presName="sp" presStyleCnt="0"/>
      <dgm:spPr/>
    </dgm:pt>
    <dgm:pt modelId="{D4056327-9DC6-4726-8FEA-47C8C7382E00}" type="pres">
      <dgm:prSet presAssocID="{B5FF4069-2EFE-493B-9155-A21368C51E01}" presName="composite" presStyleCnt="0"/>
      <dgm:spPr/>
    </dgm:pt>
    <dgm:pt modelId="{657CBE1B-30AB-43BE-B0A8-E403D1E9D025}" type="pres">
      <dgm:prSet presAssocID="{B5FF4069-2EFE-493B-9155-A21368C51E01}" presName="parentText" presStyleLbl="alignNode1" presStyleIdx="2" presStyleCnt="3">
        <dgm:presLayoutVars>
          <dgm:chMax val="1"/>
          <dgm:bulletEnabled val="1"/>
        </dgm:presLayoutVars>
      </dgm:prSet>
      <dgm:spPr/>
      <dgm:t>
        <a:bodyPr/>
        <a:lstStyle/>
        <a:p>
          <a:endParaRPr lang="ru-RU"/>
        </a:p>
      </dgm:t>
    </dgm:pt>
    <dgm:pt modelId="{94719D6F-4CF5-44CC-BE1B-3E50B87235EA}" type="pres">
      <dgm:prSet presAssocID="{B5FF4069-2EFE-493B-9155-A21368C51E01}" presName="descendantText" presStyleLbl="alignAcc1" presStyleIdx="2" presStyleCnt="3">
        <dgm:presLayoutVars>
          <dgm:bulletEnabled val="1"/>
        </dgm:presLayoutVars>
      </dgm:prSet>
      <dgm:spPr/>
      <dgm:t>
        <a:bodyPr/>
        <a:lstStyle/>
        <a:p>
          <a:endParaRPr lang="ru-RU"/>
        </a:p>
      </dgm:t>
    </dgm:pt>
  </dgm:ptLst>
  <dgm:cxnLst>
    <dgm:cxn modelId="{185E86D7-6005-41C1-A4AF-0E9AD70C388B}" type="presOf" srcId="{B5FF4069-2EFE-493B-9155-A21368C51E01}" destId="{657CBE1B-30AB-43BE-B0A8-E403D1E9D025}" srcOrd="0" destOrd="0" presId="urn:microsoft.com/office/officeart/2005/8/layout/chevron2"/>
    <dgm:cxn modelId="{456167A0-CEA7-433A-9995-AB55A4AC1D64}" srcId="{DA497931-DB75-4F40-800A-9DCCC7DA9231}" destId="{B5FF4069-2EFE-493B-9155-A21368C51E01}" srcOrd="2" destOrd="0" parTransId="{5F98B4D1-5CA1-494A-8AD1-E97FF4F56EFD}" sibTransId="{1F0BAD62-DF11-41A0-A490-D46682885AF4}"/>
    <dgm:cxn modelId="{CD9A6D2F-33B9-4014-8F5A-72151C48D539}" type="presOf" srcId="{AE08E843-3A6E-461A-9B20-2022F7F17A3A}" destId="{4A101352-3CA3-47F5-A1DD-F3C50386993A}" srcOrd="0" destOrd="0" presId="urn:microsoft.com/office/officeart/2005/8/layout/chevron2"/>
    <dgm:cxn modelId="{E1DCC1C8-B60C-43AE-8BC9-9792FE096521}" srcId="{24690389-A9C7-48AB-BF24-2CD2C47F7BD6}" destId="{BD3C4D8C-3C62-427A-8175-AC5F5D802F43}" srcOrd="0" destOrd="0" parTransId="{D675A911-6A30-4840-983B-E8CD3A66D06A}" sibTransId="{36A2A70C-F19F-4311-9CF0-66960D126732}"/>
    <dgm:cxn modelId="{A16266DB-85A4-4ACE-A3DD-5130BAEF1A75}" type="presOf" srcId="{BD3C4D8C-3C62-427A-8175-AC5F5D802F43}" destId="{5C4C1EC4-876D-41C6-9B0C-5FA3E347E763}" srcOrd="0" destOrd="0" presId="urn:microsoft.com/office/officeart/2005/8/layout/chevron2"/>
    <dgm:cxn modelId="{FC7E409D-1416-4519-97DD-F9948DEC9E78}" srcId="{DA497931-DB75-4F40-800A-9DCCC7DA9231}" destId="{20B96BE5-C199-470B-AB2E-DABA06B28709}" srcOrd="0" destOrd="0" parTransId="{D95EBEE3-4AB8-49DD-8966-F9F862EF6ABF}" sibTransId="{957B55CF-2FBE-4015-9A3C-B003966EE265}"/>
    <dgm:cxn modelId="{5DD4AA01-BD1A-4B9B-9246-28515198ED32}" type="presOf" srcId="{DA497931-DB75-4F40-800A-9DCCC7DA9231}" destId="{41F6679A-BE67-4A64-9763-6B432CB0FBB6}" srcOrd="0" destOrd="0" presId="urn:microsoft.com/office/officeart/2005/8/layout/chevron2"/>
    <dgm:cxn modelId="{4401FDAA-A88E-4390-B4EE-70F38D9342D1}" srcId="{DA497931-DB75-4F40-800A-9DCCC7DA9231}" destId="{24690389-A9C7-48AB-BF24-2CD2C47F7BD6}" srcOrd="1" destOrd="0" parTransId="{D24317AD-4757-4A45-ADDE-F0AFF925C564}" sibTransId="{BA3DAB3F-F5F3-4D62-BF15-FDB3B32C66AB}"/>
    <dgm:cxn modelId="{5B4E5DF2-1686-48FE-9848-5C851B5FC408}" srcId="{20B96BE5-C199-470B-AB2E-DABA06B28709}" destId="{AE08E843-3A6E-461A-9B20-2022F7F17A3A}" srcOrd="0" destOrd="0" parTransId="{F1189EA4-2484-4850-A657-C374A874BA70}" sibTransId="{C3030C14-9B7A-4BD4-96F8-C8C07B5C8744}"/>
    <dgm:cxn modelId="{09741D57-EDB3-4197-8F91-33D0688C8C03}" type="presOf" srcId="{24690389-A9C7-48AB-BF24-2CD2C47F7BD6}" destId="{827D2270-D5FD-4E28-A568-E4B7FE1963A5}" srcOrd="0" destOrd="0" presId="urn:microsoft.com/office/officeart/2005/8/layout/chevron2"/>
    <dgm:cxn modelId="{57C9F344-0BAB-4080-BF0A-9366C91FA6B1}" srcId="{B5FF4069-2EFE-493B-9155-A21368C51E01}" destId="{FAA41FAA-6DBB-49C2-BAD2-755E3B9AAA15}" srcOrd="0" destOrd="0" parTransId="{D0FEBAF9-B54F-46B9-88EA-7CF4C79CFD61}" sibTransId="{5BA7D552-53BF-4E2B-AE66-BA41D714846C}"/>
    <dgm:cxn modelId="{39D1B312-2209-470E-8B20-4DD2D38C57D2}" type="presOf" srcId="{20B96BE5-C199-470B-AB2E-DABA06B28709}" destId="{0B66CCE3-1C05-49E0-A0E1-1EAB7A7210DA}" srcOrd="0" destOrd="0" presId="urn:microsoft.com/office/officeart/2005/8/layout/chevron2"/>
    <dgm:cxn modelId="{CBF3B7F3-A817-4BA3-B66D-46A8C10F571D}" type="presOf" srcId="{FAA41FAA-6DBB-49C2-BAD2-755E3B9AAA15}" destId="{94719D6F-4CF5-44CC-BE1B-3E50B87235EA}" srcOrd="0" destOrd="0" presId="urn:microsoft.com/office/officeart/2005/8/layout/chevron2"/>
    <dgm:cxn modelId="{CC18B8C0-522C-4039-A598-E5A70F29CEFB}" type="presParOf" srcId="{41F6679A-BE67-4A64-9763-6B432CB0FBB6}" destId="{E10ED240-4B4A-4C0F-9B20-599098F9102E}" srcOrd="0" destOrd="0" presId="urn:microsoft.com/office/officeart/2005/8/layout/chevron2"/>
    <dgm:cxn modelId="{9C51BE94-3B63-42AB-BFE3-3B9ADC6F24E4}" type="presParOf" srcId="{E10ED240-4B4A-4C0F-9B20-599098F9102E}" destId="{0B66CCE3-1C05-49E0-A0E1-1EAB7A7210DA}" srcOrd="0" destOrd="0" presId="urn:microsoft.com/office/officeart/2005/8/layout/chevron2"/>
    <dgm:cxn modelId="{85ED0F93-B4B6-47B6-B383-ACE0C91A788A}" type="presParOf" srcId="{E10ED240-4B4A-4C0F-9B20-599098F9102E}" destId="{4A101352-3CA3-47F5-A1DD-F3C50386993A}" srcOrd="1" destOrd="0" presId="urn:microsoft.com/office/officeart/2005/8/layout/chevron2"/>
    <dgm:cxn modelId="{338A9E51-DD53-4211-94BB-8A98EE7C434F}" type="presParOf" srcId="{41F6679A-BE67-4A64-9763-6B432CB0FBB6}" destId="{6DDF8304-AD75-4146-9806-B9F5BA6F1601}" srcOrd="1" destOrd="0" presId="urn:microsoft.com/office/officeart/2005/8/layout/chevron2"/>
    <dgm:cxn modelId="{BBDCC2E4-A678-4DD8-8CAA-13C8D24C4555}" type="presParOf" srcId="{41F6679A-BE67-4A64-9763-6B432CB0FBB6}" destId="{5CB23804-F79F-4CC5-89DB-9241C10DFEDE}" srcOrd="2" destOrd="0" presId="urn:microsoft.com/office/officeart/2005/8/layout/chevron2"/>
    <dgm:cxn modelId="{00DF1CF6-2BEA-460C-AE30-4C7398A6FF6D}" type="presParOf" srcId="{5CB23804-F79F-4CC5-89DB-9241C10DFEDE}" destId="{827D2270-D5FD-4E28-A568-E4B7FE1963A5}" srcOrd="0" destOrd="0" presId="urn:microsoft.com/office/officeart/2005/8/layout/chevron2"/>
    <dgm:cxn modelId="{CCF79866-D867-4600-B753-E04A0761B138}" type="presParOf" srcId="{5CB23804-F79F-4CC5-89DB-9241C10DFEDE}" destId="{5C4C1EC4-876D-41C6-9B0C-5FA3E347E763}" srcOrd="1" destOrd="0" presId="urn:microsoft.com/office/officeart/2005/8/layout/chevron2"/>
    <dgm:cxn modelId="{9ECA4EFC-7E94-498B-BE15-8BF9F369D8E4}" type="presParOf" srcId="{41F6679A-BE67-4A64-9763-6B432CB0FBB6}" destId="{F9E1C572-8DC6-41C9-9340-A0C0055C0AA4}" srcOrd="3" destOrd="0" presId="urn:microsoft.com/office/officeart/2005/8/layout/chevron2"/>
    <dgm:cxn modelId="{808D6109-11C9-4D9E-AF5D-E18DB0C28928}" type="presParOf" srcId="{41F6679A-BE67-4A64-9763-6B432CB0FBB6}" destId="{D4056327-9DC6-4726-8FEA-47C8C7382E00}" srcOrd="4" destOrd="0" presId="urn:microsoft.com/office/officeart/2005/8/layout/chevron2"/>
    <dgm:cxn modelId="{936FA41D-CE47-4508-9EF2-77F00AA3F024}" type="presParOf" srcId="{D4056327-9DC6-4726-8FEA-47C8C7382E00}" destId="{657CBE1B-30AB-43BE-B0A8-E403D1E9D025}" srcOrd="0" destOrd="0" presId="urn:microsoft.com/office/officeart/2005/8/layout/chevron2"/>
    <dgm:cxn modelId="{AE58BEF0-B771-4C25-934E-08BE6B6F8EB7}" type="presParOf" srcId="{D4056327-9DC6-4726-8FEA-47C8C7382E00}" destId="{94719D6F-4CF5-44CC-BE1B-3E50B87235EA}" srcOrd="1" destOrd="0" presId="urn:microsoft.com/office/officeart/2005/8/layout/chevron2"/>
  </dgm:cxnLst>
  <dgm:bg/>
  <dgm:whole/>
  <dgm:extLst>
    <a:ext uri="http://schemas.microsoft.com/office/drawing/2008/diagram">
      <dsp:dataModelExt xmlns:dsp="http://schemas.microsoft.com/office/drawing/2008/diagram" relId="rId11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3508164C-F4EC-4747-A206-6D70932F2152}" type="doc">
      <dgm:prSet loTypeId="urn:microsoft.com/office/officeart/2008/layout/RadialCluster" loCatId="relationship" qsTypeId="urn:microsoft.com/office/officeart/2005/8/quickstyle/simple1" qsCatId="simple" csTypeId="urn:microsoft.com/office/officeart/2005/8/colors/accent4_1" csCatId="accent4" phldr="1"/>
      <dgm:spPr/>
      <dgm:t>
        <a:bodyPr/>
        <a:lstStyle/>
        <a:p>
          <a:endParaRPr lang="ru-RU"/>
        </a:p>
      </dgm:t>
    </dgm:pt>
    <dgm:pt modelId="{7CD3ABBD-E721-4F19-A17C-85A253039894}">
      <dgm:prSet phldrT="[Текст]"/>
      <dgm:spPr/>
      <dgm:t>
        <a:bodyPr/>
        <a:lstStyle/>
        <a:p>
          <a:r>
            <a:rPr lang="ru-RU" b="1">
              <a:latin typeface="Times New Roman" panose="02020603050405020304" pitchFamily="18" charset="0"/>
              <a:cs typeface="Times New Roman" panose="02020603050405020304" pitchFamily="18" charset="0"/>
            </a:rPr>
            <a:t>Виды</a:t>
          </a:r>
          <a:r>
            <a:rPr lang="ru-RU" b="1" baseline="0">
              <a:latin typeface="Times New Roman" panose="02020603050405020304" pitchFamily="18" charset="0"/>
              <a:cs typeface="Times New Roman" panose="02020603050405020304" pitchFamily="18" charset="0"/>
            </a:rPr>
            <a:t> тарифов, подлежащие регулированию</a:t>
          </a:r>
          <a:endParaRPr lang="ru-RU" b="1">
            <a:latin typeface="Times New Roman" panose="02020603050405020304" pitchFamily="18" charset="0"/>
            <a:cs typeface="Times New Roman" panose="02020603050405020304" pitchFamily="18" charset="0"/>
          </a:endParaRPr>
        </a:p>
      </dgm:t>
    </dgm:pt>
    <dgm:pt modelId="{5955E4E5-19F0-4E56-959D-BC3978045F6F}" type="parTrans" cxnId="{AD7790B4-A4C4-4CED-9C40-26224C964B00}">
      <dgm:prSet/>
      <dgm:spPr/>
      <dgm:t>
        <a:bodyPr/>
        <a:lstStyle/>
        <a:p>
          <a:endParaRPr lang="ru-RU"/>
        </a:p>
      </dgm:t>
    </dgm:pt>
    <dgm:pt modelId="{99469D63-8BD7-4939-AF19-3058C83B1F30}" type="sibTrans" cxnId="{AD7790B4-A4C4-4CED-9C40-26224C964B00}">
      <dgm:prSet/>
      <dgm:spPr/>
      <dgm:t>
        <a:bodyPr/>
        <a:lstStyle/>
        <a:p>
          <a:endParaRPr lang="ru-RU"/>
        </a:p>
      </dgm:t>
    </dgm:pt>
    <dgm:pt modelId="{9BC60AB8-1518-4BB2-9B71-E73B9DEC92FF}">
      <dgm:prSet phldrT="[Текст]" custT="1"/>
      <dgm:spPr/>
      <dgm:t>
        <a:bodyPr/>
        <a:lstStyle/>
        <a:p>
          <a:r>
            <a:rPr lang="ru-RU" sz="800">
              <a:latin typeface="Times New Roman" panose="02020603050405020304" pitchFamily="18" charset="0"/>
              <a:cs typeface="Times New Roman" panose="02020603050405020304" pitchFamily="18" charset="0"/>
            </a:rPr>
            <a:t>единый тариф на услугу регионального оператора         по обращению с ТКО</a:t>
          </a:r>
        </a:p>
      </dgm:t>
    </dgm:pt>
    <dgm:pt modelId="{3AE318BA-61B4-4A10-BB7A-325989202F53}" type="parTrans" cxnId="{B9C00DD4-17ED-4F57-8EE4-95AA2F2C705D}">
      <dgm:prSet/>
      <dgm:spPr/>
      <dgm:t>
        <a:bodyPr/>
        <a:lstStyle/>
        <a:p>
          <a:endParaRPr lang="ru-RU"/>
        </a:p>
      </dgm:t>
    </dgm:pt>
    <dgm:pt modelId="{95826B2D-65FB-4583-9DB7-68C9D0D47A06}" type="sibTrans" cxnId="{B9C00DD4-17ED-4F57-8EE4-95AA2F2C705D}">
      <dgm:prSet/>
      <dgm:spPr/>
      <dgm:t>
        <a:bodyPr/>
        <a:lstStyle/>
        <a:p>
          <a:endParaRPr lang="ru-RU"/>
        </a:p>
      </dgm:t>
    </dgm:pt>
    <dgm:pt modelId="{48C58602-8FC7-49F7-803D-C071B22D3129}">
      <dgm:prSet phldrT="[Текст]" custT="1"/>
      <dgm:spPr/>
      <dgm:t>
        <a:bodyPr/>
        <a:lstStyle/>
        <a:p>
          <a:r>
            <a:rPr lang="ru-RU" sz="800">
              <a:latin typeface="Times New Roman" panose="02020603050405020304" pitchFamily="18" charset="0"/>
              <a:cs typeface="Times New Roman" panose="02020603050405020304" pitchFamily="18" charset="0"/>
            </a:rPr>
            <a:t>тариф на обезвреживание ТКО</a:t>
          </a:r>
        </a:p>
      </dgm:t>
    </dgm:pt>
    <dgm:pt modelId="{98658E89-90E0-4F48-9BEF-FE97CBD95D3C}" type="parTrans" cxnId="{6D2A0841-1911-4245-B779-4D65D43387B1}">
      <dgm:prSet/>
      <dgm:spPr/>
      <dgm:t>
        <a:bodyPr/>
        <a:lstStyle/>
        <a:p>
          <a:endParaRPr lang="ru-RU"/>
        </a:p>
      </dgm:t>
    </dgm:pt>
    <dgm:pt modelId="{BB6C35A4-41CC-46B6-8B8B-6400BF2F817E}" type="sibTrans" cxnId="{6D2A0841-1911-4245-B779-4D65D43387B1}">
      <dgm:prSet/>
      <dgm:spPr/>
      <dgm:t>
        <a:bodyPr/>
        <a:lstStyle/>
        <a:p>
          <a:endParaRPr lang="ru-RU"/>
        </a:p>
      </dgm:t>
    </dgm:pt>
    <dgm:pt modelId="{C6D4A236-0188-4DFD-BA6A-351B7CD587A4}">
      <dgm:prSet phldrT="[Текст]" custT="1"/>
      <dgm:spPr/>
      <dgm:t>
        <a:bodyPr/>
        <a:lstStyle/>
        <a:p>
          <a:r>
            <a:rPr lang="ru-RU" sz="800">
              <a:latin typeface="Times New Roman" panose="02020603050405020304" pitchFamily="18" charset="0"/>
              <a:cs typeface="Times New Roman" panose="02020603050405020304" pitchFamily="18" charset="0"/>
            </a:rPr>
            <a:t>тариф на энергетическую утилизацию</a:t>
          </a:r>
        </a:p>
      </dgm:t>
    </dgm:pt>
    <dgm:pt modelId="{9587A093-3CC9-4DBA-810B-D0808344D373}" type="parTrans" cxnId="{72AC520C-CE86-41FC-8056-C02065C0327B}">
      <dgm:prSet/>
      <dgm:spPr/>
      <dgm:t>
        <a:bodyPr/>
        <a:lstStyle/>
        <a:p>
          <a:endParaRPr lang="ru-RU"/>
        </a:p>
      </dgm:t>
    </dgm:pt>
    <dgm:pt modelId="{E8D27DB2-D17C-415E-AD00-10037A39535F}" type="sibTrans" cxnId="{72AC520C-CE86-41FC-8056-C02065C0327B}">
      <dgm:prSet/>
      <dgm:spPr/>
      <dgm:t>
        <a:bodyPr/>
        <a:lstStyle/>
        <a:p>
          <a:endParaRPr lang="ru-RU"/>
        </a:p>
      </dgm:t>
    </dgm:pt>
    <dgm:pt modelId="{6A99B325-C604-4BAD-A4D5-D4A736563756}">
      <dgm:prSet phldrT="[Текст]" custT="1"/>
      <dgm:spPr/>
      <dgm:t>
        <a:bodyPr/>
        <a:lstStyle/>
        <a:p>
          <a:r>
            <a:rPr lang="ru-RU" sz="800">
              <a:latin typeface="Times New Roman" panose="02020603050405020304" pitchFamily="18" charset="0"/>
              <a:cs typeface="Times New Roman" panose="02020603050405020304" pitchFamily="18" charset="0"/>
            </a:rPr>
            <a:t>тариф на обработку ТКО</a:t>
          </a:r>
        </a:p>
      </dgm:t>
    </dgm:pt>
    <dgm:pt modelId="{E5059BF3-7DA5-4FB3-9C28-6BAA86942E0A}" type="parTrans" cxnId="{B691D522-A56F-4100-B47D-B032F1BCFB10}">
      <dgm:prSet/>
      <dgm:spPr/>
      <dgm:t>
        <a:bodyPr/>
        <a:lstStyle/>
        <a:p>
          <a:endParaRPr lang="ru-RU"/>
        </a:p>
      </dgm:t>
    </dgm:pt>
    <dgm:pt modelId="{E53F60EF-B94C-4C6D-88C8-C02562A9B44C}" type="sibTrans" cxnId="{B691D522-A56F-4100-B47D-B032F1BCFB10}">
      <dgm:prSet/>
      <dgm:spPr/>
      <dgm:t>
        <a:bodyPr/>
        <a:lstStyle/>
        <a:p>
          <a:endParaRPr lang="ru-RU"/>
        </a:p>
      </dgm:t>
    </dgm:pt>
    <dgm:pt modelId="{CD0DE186-ED30-4CC0-AD50-E66B055DEBFB}">
      <dgm:prSet custT="1"/>
      <dgm:spPr/>
      <dgm:t>
        <a:bodyPr/>
        <a:lstStyle/>
        <a:p>
          <a:r>
            <a:rPr lang="ru-RU" sz="800">
              <a:latin typeface="Times New Roman" panose="02020603050405020304" pitchFamily="18" charset="0"/>
              <a:cs typeface="Times New Roman" panose="02020603050405020304" pitchFamily="18" charset="0"/>
            </a:rPr>
            <a:t>тариф на захоронение ТКО,           в т.ч. на объектах размещения ТКО, включенных в перечень объектов размещения ТКО              на территории субъекта РФ</a:t>
          </a:r>
        </a:p>
      </dgm:t>
    </dgm:pt>
    <dgm:pt modelId="{969527E3-1154-493F-BCDE-E9998E58D07D}" type="parTrans" cxnId="{B9091FE6-8629-4227-A150-BEF2BF31BAFD}">
      <dgm:prSet/>
      <dgm:spPr/>
      <dgm:t>
        <a:bodyPr/>
        <a:lstStyle/>
        <a:p>
          <a:endParaRPr lang="ru-RU"/>
        </a:p>
      </dgm:t>
    </dgm:pt>
    <dgm:pt modelId="{725B8D25-52B8-4D5C-B09F-1606265C7E09}" type="sibTrans" cxnId="{B9091FE6-8629-4227-A150-BEF2BF31BAFD}">
      <dgm:prSet/>
      <dgm:spPr/>
      <dgm:t>
        <a:bodyPr/>
        <a:lstStyle/>
        <a:p>
          <a:endParaRPr lang="ru-RU"/>
        </a:p>
      </dgm:t>
    </dgm:pt>
    <dgm:pt modelId="{A879BADF-FCF3-4DC7-B492-4C89B6F6A9F5}" type="pres">
      <dgm:prSet presAssocID="{3508164C-F4EC-4747-A206-6D70932F2152}" presName="Name0" presStyleCnt="0">
        <dgm:presLayoutVars>
          <dgm:chMax val="1"/>
          <dgm:chPref val="1"/>
          <dgm:dir/>
          <dgm:animOne val="branch"/>
          <dgm:animLvl val="lvl"/>
        </dgm:presLayoutVars>
      </dgm:prSet>
      <dgm:spPr/>
      <dgm:t>
        <a:bodyPr/>
        <a:lstStyle/>
        <a:p>
          <a:endParaRPr lang="ru-RU"/>
        </a:p>
      </dgm:t>
    </dgm:pt>
    <dgm:pt modelId="{37B51A6C-4A87-491A-9809-3532D397E53C}" type="pres">
      <dgm:prSet presAssocID="{7CD3ABBD-E721-4F19-A17C-85A253039894}" presName="singleCycle" presStyleCnt="0"/>
      <dgm:spPr/>
    </dgm:pt>
    <dgm:pt modelId="{1F7D6C1E-58ED-42F5-B738-0E9632351ADB}" type="pres">
      <dgm:prSet presAssocID="{7CD3ABBD-E721-4F19-A17C-85A253039894}" presName="singleCenter" presStyleLbl="node1" presStyleIdx="0" presStyleCnt="6" custScaleX="144450" custScaleY="104453">
        <dgm:presLayoutVars>
          <dgm:chMax val="7"/>
          <dgm:chPref val="7"/>
        </dgm:presLayoutVars>
      </dgm:prSet>
      <dgm:spPr/>
      <dgm:t>
        <a:bodyPr/>
        <a:lstStyle/>
        <a:p>
          <a:endParaRPr lang="ru-RU"/>
        </a:p>
      </dgm:t>
    </dgm:pt>
    <dgm:pt modelId="{16DD21F2-3281-4D9C-B626-C8DB15395231}" type="pres">
      <dgm:prSet presAssocID="{3AE318BA-61B4-4A10-BB7A-325989202F53}" presName="Name56" presStyleLbl="parChTrans1D2" presStyleIdx="0" presStyleCnt="5"/>
      <dgm:spPr/>
      <dgm:t>
        <a:bodyPr/>
        <a:lstStyle/>
        <a:p>
          <a:endParaRPr lang="ru-RU"/>
        </a:p>
      </dgm:t>
    </dgm:pt>
    <dgm:pt modelId="{FF4EE23C-C9E3-4A2E-8E45-0EA640CE2EF3}" type="pres">
      <dgm:prSet presAssocID="{9BC60AB8-1518-4BB2-9B71-E73B9DEC92FF}" presName="text0" presStyleLbl="node1" presStyleIdx="1" presStyleCnt="6" custScaleX="280294" custScaleY="132393">
        <dgm:presLayoutVars>
          <dgm:bulletEnabled val="1"/>
        </dgm:presLayoutVars>
      </dgm:prSet>
      <dgm:spPr/>
      <dgm:t>
        <a:bodyPr/>
        <a:lstStyle/>
        <a:p>
          <a:endParaRPr lang="ru-RU"/>
        </a:p>
      </dgm:t>
    </dgm:pt>
    <dgm:pt modelId="{74339BC8-06AD-4882-911E-5FA53EF02DB6}" type="pres">
      <dgm:prSet presAssocID="{98658E89-90E0-4F48-9BEF-FE97CBD95D3C}" presName="Name56" presStyleLbl="parChTrans1D2" presStyleIdx="1" presStyleCnt="5"/>
      <dgm:spPr/>
      <dgm:t>
        <a:bodyPr/>
        <a:lstStyle/>
        <a:p>
          <a:endParaRPr lang="ru-RU"/>
        </a:p>
      </dgm:t>
    </dgm:pt>
    <dgm:pt modelId="{3E610F5C-CD2D-426F-9C13-64666AD199D4}" type="pres">
      <dgm:prSet presAssocID="{48C58602-8FC7-49F7-803D-C071B22D3129}" presName="text0" presStyleLbl="node1" presStyleIdx="2" presStyleCnt="6" custScaleX="280294" custScaleY="132393" custRadScaleRad="154595" custRadScaleInc="16029">
        <dgm:presLayoutVars>
          <dgm:bulletEnabled val="1"/>
        </dgm:presLayoutVars>
      </dgm:prSet>
      <dgm:spPr/>
      <dgm:t>
        <a:bodyPr/>
        <a:lstStyle/>
        <a:p>
          <a:endParaRPr lang="ru-RU"/>
        </a:p>
      </dgm:t>
    </dgm:pt>
    <dgm:pt modelId="{AEE49244-FC25-4070-9ED4-CB551FF810DD}" type="pres">
      <dgm:prSet presAssocID="{9587A093-3CC9-4DBA-810B-D0808344D373}" presName="Name56" presStyleLbl="parChTrans1D2" presStyleIdx="2" presStyleCnt="5"/>
      <dgm:spPr/>
      <dgm:t>
        <a:bodyPr/>
        <a:lstStyle/>
        <a:p>
          <a:endParaRPr lang="ru-RU"/>
        </a:p>
      </dgm:t>
    </dgm:pt>
    <dgm:pt modelId="{DE05F464-0FD1-4E32-ADEA-82E7B4293FF2}" type="pres">
      <dgm:prSet presAssocID="{C6D4A236-0188-4DFD-BA6A-351B7CD587A4}" presName="text0" presStyleLbl="node1" presStyleIdx="3" presStyleCnt="6" custScaleX="280294" custScaleY="132393" custRadScaleRad="138156" custRadScaleInc="-54750">
        <dgm:presLayoutVars>
          <dgm:bulletEnabled val="1"/>
        </dgm:presLayoutVars>
      </dgm:prSet>
      <dgm:spPr/>
      <dgm:t>
        <a:bodyPr/>
        <a:lstStyle/>
        <a:p>
          <a:endParaRPr lang="ru-RU"/>
        </a:p>
      </dgm:t>
    </dgm:pt>
    <dgm:pt modelId="{503397A3-6133-4CF6-84E5-B9F758D878DF}" type="pres">
      <dgm:prSet presAssocID="{969527E3-1154-493F-BCDE-E9998E58D07D}" presName="Name56" presStyleLbl="parChTrans1D2" presStyleIdx="3" presStyleCnt="5"/>
      <dgm:spPr/>
      <dgm:t>
        <a:bodyPr/>
        <a:lstStyle/>
        <a:p>
          <a:endParaRPr lang="ru-RU"/>
        </a:p>
      </dgm:t>
    </dgm:pt>
    <dgm:pt modelId="{6D2AFAE2-2B00-4D1D-8D15-CE13FD53D9AE}" type="pres">
      <dgm:prSet presAssocID="{CD0DE186-ED30-4CC0-AD50-E66B055DEBFB}" presName="text0" presStyleLbl="node1" presStyleIdx="4" presStyleCnt="6" custScaleX="280294" custScaleY="132393" custRadScaleRad="139686" custRadScaleInc="55935">
        <dgm:presLayoutVars>
          <dgm:bulletEnabled val="1"/>
        </dgm:presLayoutVars>
      </dgm:prSet>
      <dgm:spPr/>
      <dgm:t>
        <a:bodyPr/>
        <a:lstStyle/>
        <a:p>
          <a:endParaRPr lang="ru-RU"/>
        </a:p>
      </dgm:t>
    </dgm:pt>
    <dgm:pt modelId="{10BE90EA-3A4A-4C38-B136-5D7D67A99D97}" type="pres">
      <dgm:prSet presAssocID="{E5059BF3-7DA5-4FB3-9C28-6BAA86942E0A}" presName="Name56" presStyleLbl="parChTrans1D2" presStyleIdx="4" presStyleCnt="5"/>
      <dgm:spPr/>
      <dgm:t>
        <a:bodyPr/>
        <a:lstStyle/>
        <a:p>
          <a:endParaRPr lang="ru-RU"/>
        </a:p>
      </dgm:t>
    </dgm:pt>
    <dgm:pt modelId="{25FD30A0-D351-45BF-A809-F3436830401C}" type="pres">
      <dgm:prSet presAssocID="{6A99B325-C604-4BAD-A4D5-D4A736563756}" presName="text0" presStyleLbl="node1" presStyleIdx="5" presStyleCnt="6" custScaleX="280294" custScaleY="132393" custRadScaleRad="147388" custRadScaleInc="-14340">
        <dgm:presLayoutVars>
          <dgm:bulletEnabled val="1"/>
        </dgm:presLayoutVars>
      </dgm:prSet>
      <dgm:spPr/>
      <dgm:t>
        <a:bodyPr/>
        <a:lstStyle/>
        <a:p>
          <a:endParaRPr lang="ru-RU"/>
        </a:p>
      </dgm:t>
    </dgm:pt>
  </dgm:ptLst>
  <dgm:cxnLst>
    <dgm:cxn modelId="{D0E7E73F-2A47-4947-AC2B-F880721FBDA1}" type="presOf" srcId="{969527E3-1154-493F-BCDE-E9998E58D07D}" destId="{503397A3-6133-4CF6-84E5-B9F758D878DF}" srcOrd="0" destOrd="0" presId="urn:microsoft.com/office/officeart/2008/layout/RadialCluster"/>
    <dgm:cxn modelId="{84BD50EA-B8E1-4414-AF42-80155C7D0B3C}" type="presOf" srcId="{3AE318BA-61B4-4A10-BB7A-325989202F53}" destId="{16DD21F2-3281-4D9C-B626-C8DB15395231}" srcOrd="0" destOrd="0" presId="urn:microsoft.com/office/officeart/2008/layout/RadialCluster"/>
    <dgm:cxn modelId="{C32AB600-9E2D-423D-A7F1-E8E81ED77533}" type="presOf" srcId="{7CD3ABBD-E721-4F19-A17C-85A253039894}" destId="{1F7D6C1E-58ED-42F5-B738-0E9632351ADB}" srcOrd="0" destOrd="0" presId="urn:microsoft.com/office/officeart/2008/layout/RadialCluster"/>
    <dgm:cxn modelId="{4237016C-6C04-4D2D-8F3D-1F3ACBF016C0}" type="presOf" srcId="{98658E89-90E0-4F48-9BEF-FE97CBD95D3C}" destId="{74339BC8-06AD-4882-911E-5FA53EF02DB6}" srcOrd="0" destOrd="0" presId="urn:microsoft.com/office/officeart/2008/layout/RadialCluster"/>
    <dgm:cxn modelId="{72AC520C-CE86-41FC-8056-C02065C0327B}" srcId="{7CD3ABBD-E721-4F19-A17C-85A253039894}" destId="{C6D4A236-0188-4DFD-BA6A-351B7CD587A4}" srcOrd="2" destOrd="0" parTransId="{9587A093-3CC9-4DBA-810B-D0808344D373}" sibTransId="{E8D27DB2-D17C-415E-AD00-10037A39535F}"/>
    <dgm:cxn modelId="{B9091FE6-8629-4227-A150-BEF2BF31BAFD}" srcId="{7CD3ABBD-E721-4F19-A17C-85A253039894}" destId="{CD0DE186-ED30-4CC0-AD50-E66B055DEBFB}" srcOrd="3" destOrd="0" parTransId="{969527E3-1154-493F-BCDE-E9998E58D07D}" sibTransId="{725B8D25-52B8-4D5C-B09F-1606265C7E09}"/>
    <dgm:cxn modelId="{AD7790B4-A4C4-4CED-9C40-26224C964B00}" srcId="{3508164C-F4EC-4747-A206-6D70932F2152}" destId="{7CD3ABBD-E721-4F19-A17C-85A253039894}" srcOrd="0" destOrd="0" parTransId="{5955E4E5-19F0-4E56-959D-BC3978045F6F}" sibTransId="{99469D63-8BD7-4939-AF19-3058C83B1F30}"/>
    <dgm:cxn modelId="{FAE543B0-C617-4401-B743-96F8017BEE88}" type="presOf" srcId="{9BC60AB8-1518-4BB2-9B71-E73B9DEC92FF}" destId="{FF4EE23C-C9E3-4A2E-8E45-0EA640CE2EF3}" srcOrd="0" destOrd="0" presId="urn:microsoft.com/office/officeart/2008/layout/RadialCluster"/>
    <dgm:cxn modelId="{F78937FE-76C6-4FE2-B233-1C1921A92ACD}" type="presOf" srcId="{E5059BF3-7DA5-4FB3-9C28-6BAA86942E0A}" destId="{10BE90EA-3A4A-4C38-B136-5D7D67A99D97}" srcOrd="0" destOrd="0" presId="urn:microsoft.com/office/officeart/2008/layout/RadialCluster"/>
    <dgm:cxn modelId="{64A66CF0-2BBE-40C8-B74F-84E36F0D7CC4}" type="presOf" srcId="{6A99B325-C604-4BAD-A4D5-D4A736563756}" destId="{25FD30A0-D351-45BF-A809-F3436830401C}" srcOrd="0" destOrd="0" presId="urn:microsoft.com/office/officeart/2008/layout/RadialCluster"/>
    <dgm:cxn modelId="{3011E092-194C-46F6-AEC0-D4F6A0A2FCA3}" type="presOf" srcId="{CD0DE186-ED30-4CC0-AD50-E66B055DEBFB}" destId="{6D2AFAE2-2B00-4D1D-8D15-CE13FD53D9AE}" srcOrd="0" destOrd="0" presId="urn:microsoft.com/office/officeart/2008/layout/RadialCluster"/>
    <dgm:cxn modelId="{281B8886-AE29-4E4A-ABDE-0F8A03195EF8}" type="presOf" srcId="{9587A093-3CC9-4DBA-810B-D0808344D373}" destId="{AEE49244-FC25-4070-9ED4-CB551FF810DD}" srcOrd="0" destOrd="0" presId="urn:microsoft.com/office/officeart/2008/layout/RadialCluster"/>
    <dgm:cxn modelId="{B9C00DD4-17ED-4F57-8EE4-95AA2F2C705D}" srcId="{7CD3ABBD-E721-4F19-A17C-85A253039894}" destId="{9BC60AB8-1518-4BB2-9B71-E73B9DEC92FF}" srcOrd="0" destOrd="0" parTransId="{3AE318BA-61B4-4A10-BB7A-325989202F53}" sibTransId="{95826B2D-65FB-4583-9DB7-68C9D0D47A06}"/>
    <dgm:cxn modelId="{B691D522-A56F-4100-B47D-B032F1BCFB10}" srcId="{7CD3ABBD-E721-4F19-A17C-85A253039894}" destId="{6A99B325-C604-4BAD-A4D5-D4A736563756}" srcOrd="4" destOrd="0" parTransId="{E5059BF3-7DA5-4FB3-9C28-6BAA86942E0A}" sibTransId="{E53F60EF-B94C-4C6D-88C8-C02562A9B44C}"/>
    <dgm:cxn modelId="{E68B5724-808B-4309-B3A4-D10E8C523DC5}" type="presOf" srcId="{48C58602-8FC7-49F7-803D-C071B22D3129}" destId="{3E610F5C-CD2D-426F-9C13-64666AD199D4}" srcOrd="0" destOrd="0" presId="urn:microsoft.com/office/officeart/2008/layout/RadialCluster"/>
    <dgm:cxn modelId="{6D2A0841-1911-4245-B779-4D65D43387B1}" srcId="{7CD3ABBD-E721-4F19-A17C-85A253039894}" destId="{48C58602-8FC7-49F7-803D-C071B22D3129}" srcOrd="1" destOrd="0" parTransId="{98658E89-90E0-4F48-9BEF-FE97CBD95D3C}" sibTransId="{BB6C35A4-41CC-46B6-8B8B-6400BF2F817E}"/>
    <dgm:cxn modelId="{FB823B21-BDFD-4FA0-8D84-C5BF46A39941}" type="presOf" srcId="{C6D4A236-0188-4DFD-BA6A-351B7CD587A4}" destId="{DE05F464-0FD1-4E32-ADEA-82E7B4293FF2}" srcOrd="0" destOrd="0" presId="urn:microsoft.com/office/officeart/2008/layout/RadialCluster"/>
    <dgm:cxn modelId="{352A7E72-F818-4016-AB4A-F824A3275B93}" type="presOf" srcId="{3508164C-F4EC-4747-A206-6D70932F2152}" destId="{A879BADF-FCF3-4DC7-B492-4C89B6F6A9F5}" srcOrd="0" destOrd="0" presId="urn:microsoft.com/office/officeart/2008/layout/RadialCluster"/>
    <dgm:cxn modelId="{B657DF0E-5750-46FE-9E8C-929CEE44707E}" type="presParOf" srcId="{A879BADF-FCF3-4DC7-B492-4C89B6F6A9F5}" destId="{37B51A6C-4A87-491A-9809-3532D397E53C}" srcOrd="0" destOrd="0" presId="urn:microsoft.com/office/officeart/2008/layout/RadialCluster"/>
    <dgm:cxn modelId="{D92E35D2-822E-47D6-BED4-4F54C68C9288}" type="presParOf" srcId="{37B51A6C-4A87-491A-9809-3532D397E53C}" destId="{1F7D6C1E-58ED-42F5-B738-0E9632351ADB}" srcOrd="0" destOrd="0" presId="urn:microsoft.com/office/officeart/2008/layout/RadialCluster"/>
    <dgm:cxn modelId="{31C256AF-27A4-4A65-8092-E8402ABD9937}" type="presParOf" srcId="{37B51A6C-4A87-491A-9809-3532D397E53C}" destId="{16DD21F2-3281-4D9C-B626-C8DB15395231}" srcOrd="1" destOrd="0" presId="urn:microsoft.com/office/officeart/2008/layout/RadialCluster"/>
    <dgm:cxn modelId="{2C756623-A7EF-4197-A582-41A89ADB37CF}" type="presParOf" srcId="{37B51A6C-4A87-491A-9809-3532D397E53C}" destId="{FF4EE23C-C9E3-4A2E-8E45-0EA640CE2EF3}" srcOrd="2" destOrd="0" presId="urn:microsoft.com/office/officeart/2008/layout/RadialCluster"/>
    <dgm:cxn modelId="{AA382018-0249-479E-9A7B-A6921947EA10}" type="presParOf" srcId="{37B51A6C-4A87-491A-9809-3532D397E53C}" destId="{74339BC8-06AD-4882-911E-5FA53EF02DB6}" srcOrd="3" destOrd="0" presId="urn:microsoft.com/office/officeart/2008/layout/RadialCluster"/>
    <dgm:cxn modelId="{AD17DA64-EEEC-4503-A1AA-816B2E966F35}" type="presParOf" srcId="{37B51A6C-4A87-491A-9809-3532D397E53C}" destId="{3E610F5C-CD2D-426F-9C13-64666AD199D4}" srcOrd="4" destOrd="0" presId="urn:microsoft.com/office/officeart/2008/layout/RadialCluster"/>
    <dgm:cxn modelId="{56E314D2-E818-4F5D-918F-AA1FC1D13EBE}" type="presParOf" srcId="{37B51A6C-4A87-491A-9809-3532D397E53C}" destId="{AEE49244-FC25-4070-9ED4-CB551FF810DD}" srcOrd="5" destOrd="0" presId="urn:microsoft.com/office/officeart/2008/layout/RadialCluster"/>
    <dgm:cxn modelId="{C181103C-FF6E-484E-83E1-175A1A82635E}" type="presParOf" srcId="{37B51A6C-4A87-491A-9809-3532D397E53C}" destId="{DE05F464-0FD1-4E32-ADEA-82E7B4293FF2}" srcOrd="6" destOrd="0" presId="urn:microsoft.com/office/officeart/2008/layout/RadialCluster"/>
    <dgm:cxn modelId="{5C5A002D-5492-4BBA-B555-299ABE79E607}" type="presParOf" srcId="{37B51A6C-4A87-491A-9809-3532D397E53C}" destId="{503397A3-6133-4CF6-84E5-B9F758D878DF}" srcOrd="7" destOrd="0" presId="urn:microsoft.com/office/officeart/2008/layout/RadialCluster"/>
    <dgm:cxn modelId="{65A75405-2A0F-4BAF-BC50-6270A81A897A}" type="presParOf" srcId="{37B51A6C-4A87-491A-9809-3532D397E53C}" destId="{6D2AFAE2-2B00-4D1D-8D15-CE13FD53D9AE}" srcOrd="8" destOrd="0" presId="urn:microsoft.com/office/officeart/2008/layout/RadialCluster"/>
    <dgm:cxn modelId="{B0D12FD8-83B9-4287-8942-A328DE99A15C}" type="presParOf" srcId="{37B51A6C-4A87-491A-9809-3532D397E53C}" destId="{10BE90EA-3A4A-4C38-B136-5D7D67A99D97}" srcOrd="9" destOrd="0" presId="urn:microsoft.com/office/officeart/2008/layout/RadialCluster"/>
    <dgm:cxn modelId="{1238DD6D-6FA7-4AAE-B987-B3F818611654}" type="presParOf" srcId="{37B51A6C-4A87-491A-9809-3532D397E53C}" destId="{25FD30A0-D351-45BF-A809-F3436830401C}" srcOrd="10" destOrd="0" presId="urn:microsoft.com/office/officeart/2008/layout/RadialCluster"/>
  </dgm:cxnLst>
  <dgm:bg/>
  <dgm:whole/>
  <dgm:extLst>
    <a:ext uri="http://schemas.microsoft.com/office/drawing/2008/diagram">
      <dsp:dataModelExt xmlns:dsp="http://schemas.microsoft.com/office/drawing/2008/diagram" relId="rId122"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8C88C3E-4459-4B1E-98B7-D30D3977E670}" type="doc">
      <dgm:prSet loTypeId="urn:microsoft.com/office/officeart/2005/8/layout/hierarchy3" loCatId="hierarchy" qsTypeId="urn:microsoft.com/office/officeart/2005/8/quickstyle/simple1" qsCatId="simple" csTypeId="urn:microsoft.com/office/officeart/2005/8/colors/accent3_1" csCatId="accent3" phldr="1"/>
      <dgm:spPr/>
      <dgm:t>
        <a:bodyPr/>
        <a:lstStyle/>
        <a:p>
          <a:endParaRPr lang="ru-RU"/>
        </a:p>
      </dgm:t>
    </dgm:pt>
    <dgm:pt modelId="{BBA34B99-3610-4D76-8ABE-2AFA14425438}">
      <dgm:prSet phldrT="[Текст]" custT="1"/>
      <dgm:spPr/>
      <dgm:t>
        <a:bodyPr/>
        <a:lstStyle/>
        <a:p>
          <a:r>
            <a:rPr lang="ru-RU" sz="950">
              <a:latin typeface="Times New Roman" panose="02020603050405020304" pitchFamily="18" charset="0"/>
              <a:cs typeface="Times New Roman" panose="02020603050405020304" pitchFamily="18" charset="0"/>
            </a:rPr>
            <a:t>на территории                    г. Новосибирска</a:t>
          </a:r>
        </a:p>
      </dgm:t>
    </dgm:pt>
    <dgm:pt modelId="{BC5CC4AF-8ECB-4CD1-AAAA-7AF26E224397}" type="parTrans" cxnId="{EC46B238-00D5-4373-8758-5ED5CA1C9623}">
      <dgm:prSet/>
      <dgm:spPr/>
      <dgm:t>
        <a:bodyPr/>
        <a:lstStyle/>
        <a:p>
          <a:endParaRPr lang="ru-RU" sz="950">
            <a:latin typeface="Times New Roman" panose="02020603050405020304" pitchFamily="18" charset="0"/>
            <a:cs typeface="Times New Roman" panose="02020603050405020304" pitchFamily="18" charset="0"/>
          </a:endParaRPr>
        </a:p>
      </dgm:t>
    </dgm:pt>
    <dgm:pt modelId="{600C42ED-787D-474A-AB0A-5EB7472E5FAF}" type="sibTrans" cxnId="{EC46B238-00D5-4373-8758-5ED5CA1C9623}">
      <dgm:prSet/>
      <dgm:spPr/>
      <dgm:t>
        <a:bodyPr/>
        <a:lstStyle/>
        <a:p>
          <a:endParaRPr lang="ru-RU" sz="950">
            <a:latin typeface="Times New Roman" panose="02020603050405020304" pitchFamily="18" charset="0"/>
            <a:cs typeface="Times New Roman" panose="02020603050405020304" pitchFamily="18" charset="0"/>
          </a:endParaRPr>
        </a:p>
      </dgm:t>
    </dgm:pt>
    <dgm:pt modelId="{04CBE4C5-66B0-4BC3-B544-CC84E904E88A}">
      <dgm:prSet phldrT="[Текст]" custT="1"/>
      <dgm:spPr/>
      <dgm:t>
        <a:bodyPr/>
        <a:lstStyle/>
        <a:p>
          <a:r>
            <a:rPr lang="ru-RU" sz="950">
              <a:latin typeface="Times New Roman" panose="02020603050405020304" pitchFamily="18" charset="0"/>
              <a:cs typeface="Times New Roman" panose="02020603050405020304" pitchFamily="18" charset="0"/>
            </a:rPr>
            <a:t>ООО Строительная компания «Родник» (ИНН 5410781950)</a:t>
          </a:r>
        </a:p>
      </dgm:t>
    </dgm:pt>
    <dgm:pt modelId="{5AC706F3-3A1D-4E60-8315-AB0614C5D29C}" type="parTrans" cxnId="{D1F349F1-F636-4260-9284-5BC02849FCC9}">
      <dgm:prSet/>
      <dgm:spPr/>
      <dgm:t>
        <a:bodyPr/>
        <a:lstStyle/>
        <a:p>
          <a:endParaRPr lang="ru-RU" sz="950">
            <a:latin typeface="Times New Roman" panose="02020603050405020304" pitchFamily="18" charset="0"/>
            <a:cs typeface="Times New Roman" panose="02020603050405020304" pitchFamily="18" charset="0"/>
          </a:endParaRPr>
        </a:p>
      </dgm:t>
    </dgm:pt>
    <dgm:pt modelId="{E7C5273F-45DD-4537-AEA9-EE1A436D76E8}" type="sibTrans" cxnId="{D1F349F1-F636-4260-9284-5BC02849FCC9}">
      <dgm:prSet/>
      <dgm:spPr/>
      <dgm:t>
        <a:bodyPr/>
        <a:lstStyle/>
        <a:p>
          <a:endParaRPr lang="ru-RU" sz="950">
            <a:latin typeface="Times New Roman" panose="02020603050405020304" pitchFamily="18" charset="0"/>
            <a:cs typeface="Times New Roman" panose="02020603050405020304" pitchFamily="18" charset="0"/>
          </a:endParaRPr>
        </a:p>
      </dgm:t>
    </dgm:pt>
    <dgm:pt modelId="{E41CDA68-5809-4BEA-9729-BA3F55A5A110}">
      <dgm:prSet phldrT="[Текст]" custT="1"/>
      <dgm:spPr/>
      <dgm:t>
        <a:bodyPr/>
        <a:lstStyle/>
        <a:p>
          <a:r>
            <a:rPr lang="ru-RU" sz="950">
              <a:latin typeface="Times New Roman" panose="02020603050405020304" pitchFamily="18" charset="0"/>
              <a:cs typeface="Times New Roman" panose="02020603050405020304" pitchFamily="18" charset="0"/>
            </a:rPr>
            <a:t>ООО «ТБО»         (ИНН 5406736150) </a:t>
          </a:r>
        </a:p>
      </dgm:t>
    </dgm:pt>
    <dgm:pt modelId="{FDE21B8C-A619-4883-A62F-8A5A7DA01136}" type="parTrans" cxnId="{7D64ED15-1AE7-42DB-BB60-3BDE0B4B94D6}">
      <dgm:prSet/>
      <dgm:spPr/>
      <dgm:t>
        <a:bodyPr/>
        <a:lstStyle/>
        <a:p>
          <a:endParaRPr lang="ru-RU" sz="950">
            <a:latin typeface="Times New Roman" panose="02020603050405020304" pitchFamily="18" charset="0"/>
            <a:cs typeface="Times New Roman" panose="02020603050405020304" pitchFamily="18" charset="0"/>
          </a:endParaRPr>
        </a:p>
      </dgm:t>
    </dgm:pt>
    <dgm:pt modelId="{0B311330-8A94-4349-B842-170A984CC150}" type="sibTrans" cxnId="{7D64ED15-1AE7-42DB-BB60-3BDE0B4B94D6}">
      <dgm:prSet/>
      <dgm:spPr/>
      <dgm:t>
        <a:bodyPr/>
        <a:lstStyle/>
        <a:p>
          <a:endParaRPr lang="ru-RU" sz="950">
            <a:latin typeface="Times New Roman" panose="02020603050405020304" pitchFamily="18" charset="0"/>
            <a:cs typeface="Times New Roman" panose="02020603050405020304" pitchFamily="18" charset="0"/>
          </a:endParaRPr>
        </a:p>
      </dgm:t>
    </dgm:pt>
    <dgm:pt modelId="{9031FB4E-FA08-46C4-A886-74B449B6F122}">
      <dgm:prSet phldrT="[Текст]" custT="1"/>
      <dgm:spPr/>
      <dgm:t>
        <a:bodyPr/>
        <a:lstStyle/>
        <a:p>
          <a:r>
            <a:rPr lang="ru-RU" sz="950">
              <a:latin typeface="Times New Roman" panose="02020603050405020304" pitchFamily="18" charset="0"/>
              <a:cs typeface="Times New Roman" panose="02020603050405020304" pitchFamily="18" charset="0"/>
            </a:rPr>
            <a:t>на территории р.п. Краснозерское Краснозерского района Новосибирской области</a:t>
          </a:r>
        </a:p>
      </dgm:t>
    </dgm:pt>
    <dgm:pt modelId="{F9B6F825-2190-4AB8-8DF5-6648B7751C2D}" type="parTrans" cxnId="{ED9BF61B-2AF9-457E-A812-096C0109C366}">
      <dgm:prSet/>
      <dgm:spPr/>
      <dgm:t>
        <a:bodyPr/>
        <a:lstStyle/>
        <a:p>
          <a:endParaRPr lang="ru-RU" sz="950">
            <a:latin typeface="Times New Roman" panose="02020603050405020304" pitchFamily="18" charset="0"/>
            <a:cs typeface="Times New Roman" panose="02020603050405020304" pitchFamily="18" charset="0"/>
          </a:endParaRPr>
        </a:p>
      </dgm:t>
    </dgm:pt>
    <dgm:pt modelId="{D47D2619-92CE-4EF6-B262-EBE657D00720}" type="sibTrans" cxnId="{ED9BF61B-2AF9-457E-A812-096C0109C366}">
      <dgm:prSet/>
      <dgm:spPr/>
      <dgm:t>
        <a:bodyPr/>
        <a:lstStyle/>
        <a:p>
          <a:endParaRPr lang="ru-RU" sz="950">
            <a:latin typeface="Times New Roman" panose="02020603050405020304" pitchFamily="18" charset="0"/>
            <a:cs typeface="Times New Roman" panose="02020603050405020304" pitchFamily="18" charset="0"/>
          </a:endParaRPr>
        </a:p>
      </dgm:t>
    </dgm:pt>
    <dgm:pt modelId="{7FE6529E-BAF7-4C86-9112-C7623882BEC3}">
      <dgm:prSet phldrT="[Текст]" custT="1"/>
      <dgm:spPr/>
      <dgm:t>
        <a:bodyPr/>
        <a:lstStyle/>
        <a:p>
          <a:r>
            <a:rPr lang="ru-RU" sz="950">
              <a:latin typeface="Times New Roman" panose="02020603050405020304" pitchFamily="18" charset="0"/>
              <a:cs typeface="Times New Roman" panose="02020603050405020304" pitchFamily="18" charset="0"/>
            </a:rPr>
            <a:t>ООО «Сервис-ЭКО» (ИНН 5427128675)</a:t>
          </a:r>
        </a:p>
      </dgm:t>
    </dgm:pt>
    <dgm:pt modelId="{D93E2877-8A13-49E8-BB0A-6C2821E6943A}" type="parTrans" cxnId="{92208671-EA76-402D-9A28-1C0BFB5E0A36}">
      <dgm:prSet/>
      <dgm:spPr/>
      <dgm:t>
        <a:bodyPr/>
        <a:lstStyle/>
        <a:p>
          <a:endParaRPr lang="ru-RU" sz="950">
            <a:latin typeface="Times New Roman" panose="02020603050405020304" pitchFamily="18" charset="0"/>
            <a:cs typeface="Times New Roman" panose="02020603050405020304" pitchFamily="18" charset="0"/>
          </a:endParaRPr>
        </a:p>
      </dgm:t>
    </dgm:pt>
    <dgm:pt modelId="{E28BC372-C30E-4071-B5FE-80C91AE4A818}" type="sibTrans" cxnId="{92208671-EA76-402D-9A28-1C0BFB5E0A36}">
      <dgm:prSet/>
      <dgm:spPr/>
      <dgm:t>
        <a:bodyPr/>
        <a:lstStyle/>
        <a:p>
          <a:endParaRPr lang="ru-RU" sz="950">
            <a:latin typeface="Times New Roman" panose="02020603050405020304" pitchFamily="18" charset="0"/>
            <a:cs typeface="Times New Roman" panose="02020603050405020304" pitchFamily="18" charset="0"/>
          </a:endParaRPr>
        </a:p>
      </dgm:t>
    </dgm:pt>
    <dgm:pt modelId="{6B2EE1D7-BDF9-4700-8A9E-1A919E342CFB}">
      <dgm:prSet custT="1"/>
      <dgm:spPr/>
      <dgm:t>
        <a:bodyPr/>
        <a:lstStyle/>
        <a:p>
          <a:r>
            <a:rPr lang="ru-RU" sz="950">
              <a:latin typeface="Times New Roman" panose="02020603050405020304" pitchFamily="18" charset="0"/>
              <a:cs typeface="Times New Roman" panose="02020603050405020304" pitchFamily="18" charset="0"/>
            </a:rPr>
            <a:t>МУП г. Новосибирска «Спецавтохозяйство» (ИНН 5403103135) </a:t>
          </a:r>
        </a:p>
      </dgm:t>
    </dgm:pt>
    <dgm:pt modelId="{8E34BA80-6CF4-4B0A-9B12-D8128A4EB35B}" type="parTrans" cxnId="{BABA3DA9-B5EB-41B6-8855-723F5F57385F}">
      <dgm:prSet/>
      <dgm:spPr/>
      <dgm:t>
        <a:bodyPr/>
        <a:lstStyle/>
        <a:p>
          <a:endParaRPr lang="ru-RU" sz="950">
            <a:latin typeface="Times New Roman" panose="02020603050405020304" pitchFamily="18" charset="0"/>
            <a:cs typeface="Times New Roman" panose="02020603050405020304" pitchFamily="18" charset="0"/>
          </a:endParaRPr>
        </a:p>
      </dgm:t>
    </dgm:pt>
    <dgm:pt modelId="{A3A43B56-83A8-4711-9ABE-320AEA6AF6BD}" type="sibTrans" cxnId="{BABA3DA9-B5EB-41B6-8855-723F5F57385F}">
      <dgm:prSet/>
      <dgm:spPr/>
      <dgm:t>
        <a:bodyPr/>
        <a:lstStyle/>
        <a:p>
          <a:endParaRPr lang="ru-RU" sz="950">
            <a:latin typeface="Times New Roman" panose="02020603050405020304" pitchFamily="18" charset="0"/>
            <a:cs typeface="Times New Roman" panose="02020603050405020304" pitchFamily="18" charset="0"/>
          </a:endParaRPr>
        </a:p>
      </dgm:t>
    </dgm:pt>
    <dgm:pt modelId="{2CF35842-6E80-4F87-9F98-B9B28D2D33C5}">
      <dgm:prSet custT="1"/>
      <dgm:spPr/>
      <dgm:t>
        <a:bodyPr/>
        <a:lstStyle/>
        <a:p>
          <a:r>
            <a:rPr lang="ru-RU" sz="950">
              <a:latin typeface="Times New Roman" panose="02020603050405020304" pitchFamily="18" charset="0"/>
              <a:cs typeface="Times New Roman" panose="02020603050405020304" pitchFamily="18" charset="0"/>
            </a:rPr>
            <a:t>на территории п. Пушной Черепановского района Новосибирской области</a:t>
          </a:r>
        </a:p>
      </dgm:t>
    </dgm:pt>
    <dgm:pt modelId="{161DB5C6-2CF7-49B8-91AE-2EC6236999E3}" type="parTrans" cxnId="{4620B79E-2826-436E-893A-21CB97F95AC1}">
      <dgm:prSet/>
      <dgm:spPr/>
      <dgm:t>
        <a:bodyPr/>
        <a:lstStyle/>
        <a:p>
          <a:endParaRPr lang="ru-RU" sz="950">
            <a:latin typeface="Times New Roman" panose="02020603050405020304" pitchFamily="18" charset="0"/>
            <a:cs typeface="Times New Roman" panose="02020603050405020304" pitchFamily="18" charset="0"/>
          </a:endParaRPr>
        </a:p>
      </dgm:t>
    </dgm:pt>
    <dgm:pt modelId="{8DF93434-83B4-4020-AA98-D0443E6EB300}" type="sibTrans" cxnId="{4620B79E-2826-436E-893A-21CB97F95AC1}">
      <dgm:prSet/>
      <dgm:spPr/>
      <dgm:t>
        <a:bodyPr/>
        <a:lstStyle/>
        <a:p>
          <a:endParaRPr lang="ru-RU" sz="950">
            <a:latin typeface="Times New Roman" panose="02020603050405020304" pitchFamily="18" charset="0"/>
            <a:cs typeface="Times New Roman" panose="02020603050405020304" pitchFamily="18" charset="0"/>
          </a:endParaRPr>
        </a:p>
      </dgm:t>
    </dgm:pt>
    <dgm:pt modelId="{B93B5911-6408-4572-A865-D3BA89A4D1AA}">
      <dgm:prSet custT="1"/>
      <dgm:spPr/>
      <dgm:t>
        <a:bodyPr/>
        <a:lstStyle/>
        <a:p>
          <a:r>
            <a:rPr lang="ru-RU" sz="950">
              <a:latin typeface="Times New Roman" panose="02020603050405020304" pitchFamily="18" charset="0"/>
              <a:cs typeface="Times New Roman" panose="02020603050405020304" pitchFamily="18" charset="0"/>
            </a:rPr>
            <a:t>ООО «Зевель»                (ИНН 5402059420) </a:t>
          </a:r>
        </a:p>
      </dgm:t>
    </dgm:pt>
    <dgm:pt modelId="{5DE48F39-5EF3-43FC-BF32-E3476BCE8B83}" type="parTrans" cxnId="{24061E5E-91C2-4486-88C1-860A7E822475}">
      <dgm:prSet/>
      <dgm:spPr/>
      <dgm:t>
        <a:bodyPr/>
        <a:lstStyle/>
        <a:p>
          <a:endParaRPr lang="ru-RU" sz="950">
            <a:latin typeface="Times New Roman" panose="02020603050405020304" pitchFamily="18" charset="0"/>
            <a:cs typeface="Times New Roman" panose="02020603050405020304" pitchFamily="18" charset="0"/>
          </a:endParaRPr>
        </a:p>
      </dgm:t>
    </dgm:pt>
    <dgm:pt modelId="{19F49A2F-AE7C-4161-9181-F7584CB62C55}" type="sibTrans" cxnId="{24061E5E-91C2-4486-88C1-860A7E822475}">
      <dgm:prSet/>
      <dgm:spPr/>
      <dgm:t>
        <a:bodyPr/>
        <a:lstStyle/>
        <a:p>
          <a:endParaRPr lang="ru-RU" sz="950">
            <a:latin typeface="Times New Roman" panose="02020603050405020304" pitchFamily="18" charset="0"/>
            <a:cs typeface="Times New Roman" panose="02020603050405020304" pitchFamily="18" charset="0"/>
          </a:endParaRPr>
        </a:p>
      </dgm:t>
    </dgm:pt>
    <dgm:pt modelId="{99493A54-2AF6-4F78-BA2F-38DF4F1780EE}" type="pres">
      <dgm:prSet presAssocID="{28C88C3E-4459-4B1E-98B7-D30D3977E670}" presName="diagram" presStyleCnt="0">
        <dgm:presLayoutVars>
          <dgm:chPref val="1"/>
          <dgm:dir/>
          <dgm:animOne val="branch"/>
          <dgm:animLvl val="lvl"/>
          <dgm:resizeHandles/>
        </dgm:presLayoutVars>
      </dgm:prSet>
      <dgm:spPr/>
      <dgm:t>
        <a:bodyPr/>
        <a:lstStyle/>
        <a:p>
          <a:endParaRPr lang="ru-RU"/>
        </a:p>
      </dgm:t>
    </dgm:pt>
    <dgm:pt modelId="{3C78B891-7768-4589-B270-11632F8C3735}" type="pres">
      <dgm:prSet presAssocID="{BBA34B99-3610-4D76-8ABE-2AFA14425438}" presName="root" presStyleCnt="0"/>
      <dgm:spPr/>
    </dgm:pt>
    <dgm:pt modelId="{CD6486F6-9106-4742-8E24-B34568CDBE6A}" type="pres">
      <dgm:prSet presAssocID="{BBA34B99-3610-4D76-8ABE-2AFA14425438}" presName="rootComposite" presStyleCnt="0"/>
      <dgm:spPr/>
    </dgm:pt>
    <dgm:pt modelId="{739CDC12-06CA-4003-876F-8C515B3FA8A9}" type="pres">
      <dgm:prSet presAssocID="{BBA34B99-3610-4D76-8ABE-2AFA14425438}" presName="rootText" presStyleLbl="node1" presStyleIdx="0" presStyleCnt="3" custScaleX="139508" custScaleY="114735"/>
      <dgm:spPr/>
      <dgm:t>
        <a:bodyPr/>
        <a:lstStyle/>
        <a:p>
          <a:endParaRPr lang="ru-RU"/>
        </a:p>
      </dgm:t>
    </dgm:pt>
    <dgm:pt modelId="{94945992-9A30-4BA4-8F08-85E1B928F8E6}" type="pres">
      <dgm:prSet presAssocID="{BBA34B99-3610-4D76-8ABE-2AFA14425438}" presName="rootConnector" presStyleLbl="node1" presStyleIdx="0" presStyleCnt="3"/>
      <dgm:spPr/>
      <dgm:t>
        <a:bodyPr/>
        <a:lstStyle/>
        <a:p>
          <a:endParaRPr lang="ru-RU"/>
        </a:p>
      </dgm:t>
    </dgm:pt>
    <dgm:pt modelId="{4F2C3FD2-ACA4-4C91-B660-56012F43399F}" type="pres">
      <dgm:prSet presAssocID="{BBA34B99-3610-4D76-8ABE-2AFA14425438}" presName="childShape" presStyleCnt="0"/>
      <dgm:spPr/>
    </dgm:pt>
    <dgm:pt modelId="{C6F91A9A-44CB-4611-AB7E-CDBAC805922E}" type="pres">
      <dgm:prSet presAssocID="{5AC706F3-3A1D-4E60-8315-AB0614C5D29C}" presName="Name13" presStyleLbl="parChTrans1D2" presStyleIdx="0" presStyleCnt="5"/>
      <dgm:spPr/>
      <dgm:t>
        <a:bodyPr/>
        <a:lstStyle/>
        <a:p>
          <a:endParaRPr lang="ru-RU"/>
        </a:p>
      </dgm:t>
    </dgm:pt>
    <dgm:pt modelId="{CCF567BC-ECA5-43D9-ACCD-4457361E1517}" type="pres">
      <dgm:prSet presAssocID="{04CBE4C5-66B0-4BC3-B544-CC84E904E88A}" presName="childText" presStyleLbl="bgAcc1" presStyleIdx="0" presStyleCnt="5" custScaleX="139698">
        <dgm:presLayoutVars>
          <dgm:bulletEnabled val="1"/>
        </dgm:presLayoutVars>
      </dgm:prSet>
      <dgm:spPr/>
      <dgm:t>
        <a:bodyPr/>
        <a:lstStyle/>
        <a:p>
          <a:endParaRPr lang="ru-RU"/>
        </a:p>
      </dgm:t>
    </dgm:pt>
    <dgm:pt modelId="{A2641358-491C-44BE-941A-4FD22FE92ED0}" type="pres">
      <dgm:prSet presAssocID="{FDE21B8C-A619-4883-A62F-8A5A7DA01136}" presName="Name13" presStyleLbl="parChTrans1D2" presStyleIdx="1" presStyleCnt="5"/>
      <dgm:spPr/>
      <dgm:t>
        <a:bodyPr/>
        <a:lstStyle/>
        <a:p>
          <a:endParaRPr lang="ru-RU"/>
        </a:p>
      </dgm:t>
    </dgm:pt>
    <dgm:pt modelId="{1E31EA9A-21B5-45E8-BD1D-03C5695D842B}" type="pres">
      <dgm:prSet presAssocID="{E41CDA68-5809-4BEA-9729-BA3F55A5A110}" presName="childText" presStyleLbl="bgAcc1" presStyleIdx="1" presStyleCnt="5" custScaleX="139698">
        <dgm:presLayoutVars>
          <dgm:bulletEnabled val="1"/>
        </dgm:presLayoutVars>
      </dgm:prSet>
      <dgm:spPr/>
      <dgm:t>
        <a:bodyPr/>
        <a:lstStyle/>
        <a:p>
          <a:endParaRPr lang="ru-RU"/>
        </a:p>
      </dgm:t>
    </dgm:pt>
    <dgm:pt modelId="{0232CA45-163A-4C7C-B6ED-BBDBE677E5A2}" type="pres">
      <dgm:prSet presAssocID="{8E34BA80-6CF4-4B0A-9B12-D8128A4EB35B}" presName="Name13" presStyleLbl="parChTrans1D2" presStyleIdx="2" presStyleCnt="5"/>
      <dgm:spPr/>
      <dgm:t>
        <a:bodyPr/>
        <a:lstStyle/>
        <a:p>
          <a:endParaRPr lang="ru-RU"/>
        </a:p>
      </dgm:t>
    </dgm:pt>
    <dgm:pt modelId="{AA3F93AF-CC36-4E2A-B94B-DABD34A5ADA8}" type="pres">
      <dgm:prSet presAssocID="{6B2EE1D7-BDF9-4700-8A9E-1A919E342CFB}" presName="childText" presStyleLbl="bgAcc1" presStyleIdx="2" presStyleCnt="5" custScaleX="139698">
        <dgm:presLayoutVars>
          <dgm:bulletEnabled val="1"/>
        </dgm:presLayoutVars>
      </dgm:prSet>
      <dgm:spPr/>
      <dgm:t>
        <a:bodyPr/>
        <a:lstStyle/>
        <a:p>
          <a:endParaRPr lang="ru-RU"/>
        </a:p>
      </dgm:t>
    </dgm:pt>
    <dgm:pt modelId="{FC4A03AD-F280-4B69-A8AD-AF5A8F625790}" type="pres">
      <dgm:prSet presAssocID="{9031FB4E-FA08-46C4-A886-74B449B6F122}" presName="root" presStyleCnt="0"/>
      <dgm:spPr/>
    </dgm:pt>
    <dgm:pt modelId="{88F5E7A4-BD2A-4D7D-935D-99F2309DCC59}" type="pres">
      <dgm:prSet presAssocID="{9031FB4E-FA08-46C4-A886-74B449B6F122}" presName="rootComposite" presStyleCnt="0"/>
      <dgm:spPr/>
    </dgm:pt>
    <dgm:pt modelId="{74E6B63B-E02A-46F2-8CE8-C501A4C00B11}" type="pres">
      <dgm:prSet presAssocID="{9031FB4E-FA08-46C4-A886-74B449B6F122}" presName="rootText" presStyleLbl="node1" presStyleIdx="1" presStyleCnt="3" custScaleX="139508" custScaleY="114735"/>
      <dgm:spPr/>
      <dgm:t>
        <a:bodyPr/>
        <a:lstStyle/>
        <a:p>
          <a:endParaRPr lang="ru-RU"/>
        </a:p>
      </dgm:t>
    </dgm:pt>
    <dgm:pt modelId="{84338530-D2F3-4B51-8A68-7889D1E794E5}" type="pres">
      <dgm:prSet presAssocID="{9031FB4E-FA08-46C4-A886-74B449B6F122}" presName="rootConnector" presStyleLbl="node1" presStyleIdx="1" presStyleCnt="3"/>
      <dgm:spPr/>
      <dgm:t>
        <a:bodyPr/>
        <a:lstStyle/>
        <a:p>
          <a:endParaRPr lang="ru-RU"/>
        </a:p>
      </dgm:t>
    </dgm:pt>
    <dgm:pt modelId="{4BEE9560-9411-43A9-866F-35C2C5458387}" type="pres">
      <dgm:prSet presAssocID="{9031FB4E-FA08-46C4-A886-74B449B6F122}" presName="childShape" presStyleCnt="0"/>
      <dgm:spPr/>
    </dgm:pt>
    <dgm:pt modelId="{23DDEF46-32BC-46DA-BC9A-5A89BC85D6DA}" type="pres">
      <dgm:prSet presAssocID="{D93E2877-8A13-49E8-BB0A-6C2821E6943A}" presName="Name13" presStyleLbl="parChTrans1D2" presStyleIdx="3" presStyleCnt="5"/>
      <dgm:spPr/>
      <dgm:t>
        <a:bodyPr/>
        <a:lstStyle/>
        <a:p>
          <a:endParaRPr lang="ru-RU"/>
        </a:p>
      </dgm:t>
    </dgm:pt>
    <dgm:pt modelId="{E07986F8-F68D-4DFA-901F-55CB2D7FD496}" type="pres">
      <dgm:prSet presAssocID="{7FE6529E-BAF7-4C86-9112-C7623882BEC3}" presName="childText" presStyleLbl="bgAcc1" presStyleIdx="3" presStyleCnt="5" custScaleX="139698">
        <dgm:presLayoutVars>
          <dgm:bulletEnabled val="1"/>
        </dgm:presLayoutVars>
      </dgm:prSet>
      <dgm:spPr/>
      <dgm:t>
        <a:bodyPr/>
        <a:lstStyle/>
        <a:p>
          <a:endParaRPr lang="ru-RU"/>
        </a:p>
      </dgm:t>
    </dgm:pt>
    <dgm:pt modelId="{C5C71E1D-BCD4-4D2B-B1D8-0372384DA967}" type="pres">
      <dgm:prSet presAssocID="{2CF35842-6E80-4F87-9F98-B9B28D2D33C5}" presName="root" presStyleCnt="0"/>
      <dgm:spPr/>
    </dgm:pt>
    <dgm:pt modelId="{D9B33331-1234-40A5-92FF-0512BAFCF80E}" type="pres">
      <dgm:prSet presAssocID="{2CF35842-6E80-4F87-9F98-B9B28D2D33C5}" presName="rootComposite" presStyleCnt="0"/>
      <dgm:spPr/>
    </dgm:pt>
    <dgm:pt modelId="{E6DABD91-FE5C-463E-B105-C3A56D253AE5}" type="pres">
      <dgm:prSet presAssocID="{2CF35842-6E80-4F87-9F98-B9B28D2D33C5}" presName="rootText" presStyleLbl="node1" presStyleIdx="2" presStyleCnt="3" custScaleX="139508" custScaleY="114735"/>
      <dgm:spPr/>
      <dgm:t>
        <a:bodyPr/>
        <a:lstStyle/>
        <a:p>
          <a:endParaRPr lang="ru-RU"/>
        </a:p>
      </dgm:t>
    </dgm:pt>
    <dgm:pt modelId="{CD1E67E9-CF54-42AB-AEE3-7EB7D8BAC9C4}" type="pres">
      <dgm:prSet presAssocID="{2CF35842-6E80-4F87-9F98-B9B28D2D33C5}" presName="rootConnector" presStyleLbl="node1" presStyleIdx="2" presStyleCnt="3"/>
      <dgm:spPr/>
      <dgm:t>
        <a:bodyPr/>
        <a:lstStyle/>
        <a:p>
          <a:endParaRPr lang="ru-RU"/>
        </a:p>
      </dgm:t>
    </dgm:pt>
    <dgm:pt modelId="{DEA4CCA5-5F21-4B81-B482-2B20B81C86A1}" type="pres">
      <dgm:prSet presAssocID="{2CF35842-6E80-4F87-9F98-B9B28D2D33C5}" presName="childShape" presStyleCnt="0"/>
      <dgm:spPr/>
    </dgm:pt>
    <dgm:pt modelId="{DE570EAF-50E0-42F2-A81C-FCDE785312EC}" type="pres">
      <dgm:prSet presAssocID="{5DE48F39-5EF3-43FC-BF32-E3476BCE8B83}" presName="Name13" presStyleLbl="parChTrans1D2" presStyleIdx="4" presStyleCnt="5"/>
      <dgm:spPr/>
      <dgm:t>
        <a:bodyPr/>
        <a:lstStyle/>
        <a:p>
          <a:endParaRPr lang="ru-RU"/>
        </a:p>
      </dgm:t>
    </dgm:pt>
    <dgm:pt modelId="{2D107D5E-510E-4A64-9A19-CA0D1CC14A60}" type="pres">
      <dgm:prSet presAssocID="{B93B5911-6408-4572-A865-D3BA89A4D1AA}" presName="childText" presStyleLbl="bgAcc1" presStyleIdx="4" presStyleCnt="5" custScaleX="139698">
        <dgm:presLayoutVars>
          <dgm:bulletEnabled val="1"/>
        </dgm:presLayoutVars>
      </dgm:prSet>
      <dgm:spPr/>
      <dgm:t>
        <a:bodyPr/>
        <a:lstStyle/>
        <a:p>
          <a:endParaRPr lang="ru-RU"/>
        </a:p>
      </dgm:t>
    </dgm:pt>
  </dgm:ptLst>
  <dgm:cxnLst>
    <dgm:cxn modelId="{BABA3DA9-B5EB-41B6-8855-723F5F57385F}" srcId="{BBA34B99-3610-4D76-8ABE-2AFA14425438}" destId="{6B2EE1D7-BDF9-4700-8A9E-1A919E342CFB}" srcOrd="2" destOrd="0" parTransId="{8E34BA80-6CF4-4B0A-9B12-D8128A4EB35B}" sibTransId="{A3A43B56-83A8-4711-9ABE-320AEA6AF6BD}"/>
    <dgm:cxn modelId="{24061E5E-91C2-4486-88C1-860A7E822475}" srcId="{2CF35842-6E80-4F87-9F98-B9B28D2D33C5}" destId="{B93B5911-6408-4572-A865-D3BA89A4D1AA}" srcOrd="0" destOrd="0" parTransId="{5DE48F39-5EF3-43FC-BF32-E3476BCE8B83}" sibTransId="{19F49A2F-AE7C-4161-9181-F7584CB62C55}"/>
    <dgm:cxn modelId="{6E75AFEF-8AF3-400E-A9A6-D15A987518C0}" type="presOf" srcId="{E41CDA68-5809-4BEA-9729-BA3F55A5A110}" destId="{1E31EA9A-21B5-45E8-BD1D-03C5695D842B}" srcOrd="0" destOrd="0" presId="urn:microsoft.com/office/officeart/2005/8/layout/hierarchy3"/>
    <dgm:cxn modelId="{7D64ED15-1AE7-42DB-BB60-3BDE0B4B94D6}" srcId="{BBA34B99-3610-4D76-8ABE-2AFA14425438}" destId="{E41CDA68-5809-4BEA-9729-BA3F55A5A110}" srcOrd="1" destOrd="0" parTransId="{FDE21B8C-A619-4883-A62F-8A5A7DA01136}" sibTransId="{0B311330-8A94-4349-B842-170A984CC150}"/>
    <dgm:cxn modelId="{3D2AE422-8FE0-499D-B0E7-42D28FE91C5C}" type="presOf" srcId="{B93B5911-6408-4572-A865-D3BA89A4D1AA}" destId="{2D107D5E-510E-4A64-9A19-CA0D1CC14A60}" srcOrd="0" destOrd="0" presId="urn:microsoft.com/office/officeart/2005/8/layout/hierarchy3"/>
    <dgm:cxn modelId="{BAB92C38-FB34-4FF2-800A-EF797621335F}" type="presOf" srcId="{8E34BA80-6CF4-4B0A-9B12-D8128A4EB35B}" destId="{0232CA45-163A-4C7C-B6ED-BBDBE677E5A2}" srcOrd="0" destOrd="0" presId="urn:microsoft.com/office/officeart/2005/8/layout/hierarchy3"/>
    <dgm:cxn modelId="{FE7CD525-714A-4DF5-83C1-C66A368C9A44}" type="presOf" srcId="{D93E2877-8A13-49E8-BB0A-6C2821E6943A}" destId="{23DDEF46-32BC-46DA-BC9A-5A89BC85D6DA}" srcOrd="0" destOrd="0" presId="urn:microsoft.com/office/officeart/2005/8/layout/hierarchy3"/>
    <dgm:cxn modelId="{F9BA1940-020F-4F0D-B9D4-6FA2CAC37566}" type="presOf" srcId="{04CBE4C5-66B0-4BC3-B544-CC84E904E88A}" destId="{CCF567BC-ECA5-43D9-ACCD-4457361E1517}" srcOrd="0" destOrd="0" presId="urn:microsoft.com/office/officeart/2005/8/layout/hierarchy3"/>
    <dgm:cxn modelId="{EC46B238-00D5-4373-8758-5ED5CA1C9623}" srcId="{28C88C3E-4459-4B1E-98B7-D30D3977E670}" destId="{BBA34B99-3610-4D76-8ABE-2AFA14425438}" srcOrd="0" destOrd="0" parTransId="{BC5CC4AF-8ECB-4CD1-AAAA-7AF26E224397}" sibTransId="{600C42ED-787D-474A-AB0A-5EB7472E5FAF}"/>
    <dgm:cxn modelId="{92208671-EA76-402D-9A28-1C0BFB5E0A36}" srcId="{9031FB4E-FA08-46C4-A886-74B449B6F122}" destId="{7FE6529E-BAF7-4C86-9112-C7623882BEC3}" srcOrd="0" destOrd="0" parTransId="{D93E2877-8A13-49E8-BB0A-6C2821E6943A}" sibTransId="{E28BC372-C30E-4071-B5FE-80C91AE4A818}"/>
    <dgm:cxn modelId="{853495E9-9A50-42F4-B11E-8EE0657503D3}" type="presOf" srcId="{7FE6529E-BAF7-4C86-9112-C7623882BEC3}" destId="{E07986F8-F68D-4DFA-901F-55CB2D7FD496}" srcOrd="0" destOrd="0" presId="urn:microsoft.com/office/officeart/2005/8/layout/hierarchy3"/>
    <dgm:cxn modelId="{3CC684D9-F7C0-4E4C-8855-C0F4AAC49AA9}" type="presOf" srcId="{9031FB4E-FA08-46C4-A886-74B449B6F122}" destId="{74E6B63B-E02A-46F2-8CE8-C501A4C00B11}" srcOrd="0" destOrd="0" presId="urn:microsoft.com/office/officeart/2005/8/layout/hierarchy3"/>
    <dgm:cxn modelId="{ABBB796E-E54E-4271-AD06-375975E6F886}" type="presOf" srcId="{BBA34B99-3610-4D76-8ABE-2AFA14425438}" destId="{739CDC12-06CA-4003-876F-8C515B3FA8A9}" srcOrd="0" destOrd="0" presId="urn:microsoft.com/office/officeart/2005/8/layout/hierarchy3"/>
    <dgm:cxn modelId="{73D116EF-69CD-4DDA-A258-28BD292053C4}" type="presOf" srcId="{28C88C3E-4459-4B1E-98B7-D30D3977E670}" destId="{99493A54-2AF6-4F78-BA2F-38DF4F1780EE}" srcOrd="0" destOrd="0" presId="urn:microsoft.com/office/officeart/2005/8/layout/hierarchy3"/>
    <dgm:cxn modelId="{ED9BF61B-2AF9-457E-A812-096C0109C366}" srcId="{28C88C3E-4459-4B1E-98B7-D30D3977E670}" destId="{9031FB4E-FA08-46C4-A886-74B449B6F122}" srcOrd="1" destOrd="0" parTransId="{F9B6F825-2190-4AB8-8DF5-6648B7751C2D}" sibTransId="{D47D2619-92CE-4EF6-B262-EBE657D00720}"/>
    <dgm:cxn modelId="{2F925A69-F000-4D6C-B462-EBB6FFC85F9C}" type="presOf" srcId="{BBA34B99-3610-4D76-8ABE-2AFA14425438}" destId="{94945992-9A30-4BA4-8F08-85E1B928F8E6}" srcOrd="1" destOrd="0" presId="urn:microsoft.com/office/officeart/2005/8/layout/hierarchy3"/>
    <dgm:cxn modelId="{55E07F7C-946F-411F-A687-D4317297933D}" type="presOf" srcId="{5DE48F39-5EF3-43FC-BF32-E3476BCE8B83}" destId="{DE570EAF-50E0-42F2-A81C-FCDE785312EC}" srcOrd="0" destOrd="0" presId="urn:microsoft.com/office/officeart/2005/8/layout/hierarchy3"/>
    <dgm:cxn modelId="{97A2E387-562E-41E7-AF92-E7D5CE07B4F4}" type="presOf" srcId="{2CF35842-6E80-4F87-9F98-B9B28D2D33C5}" destId="{CD1E67E9-CF54-42AB-AEE3-7EB7D8BAC9C4}" srcOrd="1" destOrd="0" presId="urn:microsoft.com/office/officeart/2005/8/layout/hierarchy3"/>
    <dgm:cxn modelId="{4620B79E-2826-436E-893A-21CB97F95AC1}" srcId="{28C88C3E-4459-4B1E-98B7-D30D3977E670}" destId="{2CF35842-6E80-4F87-9F98-B9B28D2D33C5}" srcOrd="2" destOrd="0" parTransId="{161DB5C6-2CF7-49B8-91AE-2EC6236999E3}" sibTransId="{8DF93434-83B4-4020-AA98-D0443E6EB300}"/>
    <dgm:cxn modelId="{D1F349F1-F636-4260-9284-5BC02849FCC9}" srcId="{BBA34B99-3610-4D76-8ABE-2AFA14425438}" destId="{04CBE4C5-66B0-4BC3-B544-CC84E904E88A}" srcOrd="0" destOrd="0" parTransId="{5AC706F3-3A1D-4E60-8315-AB0614C5D29C}" sibTransId="{E7C5273F-45DD-4537-AEA9-EE1A436D76E8}"/>
    <dgm:cxn modelId="{A56A6629-2A7E-4093-8FD1-5170CAD9FCB0}" type="presOf" srcId="{5AC706F3-3A1D-4E60-8315-AB0614C5D29C}" destId="{C6F91A9A-44CB-4611-AB7E-CDBAC805922E}" srcOrd="0" destOrd="0" presId="urn:microsoft.com/office/officeart/2005/8/layout/hierarchy3"/>
    <dgm:cxn modelId="{72C75B45-F10D-497A-9041-DE0FDF5D5F4D}" type="presOf" srcId="{2CF35842-6E80-4F87-9F98-B9B28D2D33C5}" destId="{E6DABD91-FE5C-463E-B105-C3A56D253AE5}" srcOrd="0" destOrd="0" presId="urn:microsoft.com/office/officeart/2005/8/layout/hierarchy3"/>
    <dgm:cxn modelId="{7AC23A30-5622-456A-8B53-EF1F40E9DB3D}" type="presOf" srcId="{6B2EE1D7-BDF9-4700-8A9E-1A919E342CFB}" destId="{AA3F93AF-CC36-4E2A-B94B-DABD34A5ADA8}" srcOrd="0" destOrd="0" presId="urn:microsoft.com/office/officeart/2005/8/layout/hierarchy3"/>
    <dgm:cxn modelId="{08707A79-BD8B-4F61-864E-4A1B909EF16A}" type="presOf" srcId="{FDE21B8C-A619-4883-A62F-8A5A7DA01136}" destId="{A2641358-491C-44BE-941A-4FD22FE92ED0}" srcOrd="0" destOrd="0" presId="urn:microsoft.com/office/officeart/2005/8/layout/hierarchy3"/>
    <dgm:cxn modelId="{2AA2D962-4137-459A-9AA8-08EFB78E398E}" type="presOf" srcId="{9031FB4E-FA08-46C4-A886-74B449B6F122}" destId="{84338530-D2F3-4B51-8A68-7889D1E794E5}" srcOrd="1" destOrd="0" presId="urn:microsoft.com/office/officeart/2005/8/layout/hierarchy3"/>
    <dgm:cxn modelId="{7F3577CA-773C-42B8-959D-585BB79681F9}" type="presParOf" srcId="{99493A54-2AF6-4F78-BA2F-38DF4F1780EE}" destId="{3C78B891-7768-4589-B270-11632F8C3735}" srcOrd="0" destOrd="0" presId="urn:microsoft.com/office/officeart/2005/8/layout/hierarchy3"/>
    <dgm:cxn modelId="{94F31026-3F27-4661-A2BC-C59835A31DE6}" type="presParOf" srcId="{3C78B891-7768-4589-B270-11632F8C3735}" destId="{CD6486F6-9106-4742-8E24-B34568CDBE6A}" srcOrd="0" destOrd="0" presId="urn:microsoft.com/office/officeart/2005/8/layout/hierarchy3"/>
    <dgm:cxn modelId="{0EB9D3C7-5FDC-438D-8C51-D0971F74E635}" type="presParOf" srcId="{CD6486F6-9106-4742-8E24-B34568CDBE6A}" destId="{739CDC12-06CA-4003-876F-8C515B3FA8A9}" srcOrd="0" destOrd="0" presId="urn:microsoft.com/office/officeart/2005/8/layout/hierarchy3"/>
    <dgm:cxn modelId="{EE0AB5CF-7778-4C71-B25B-E555647821E9}" type="presParOf" srcId="{CD6486F6-9106-4742-8E24-B34568CDBE6A}" destId="{94945992-9A30-4BA4-8F08-85E1B928F8E6}" srcOrd="1" destOrd="0" presId="urn:microsoft.com/office/officeart/2005/8/layout/hierarchy3"/>
    <dgm:cxn modelId="{A5A277AA-B498-4D17-BEE0-F3F89C3E9DE3}" type="presParOf" srcId="{3C78B891-7768-4589-B270-11632F8C3735}" destId="{4F2C3FD2-ACA4-4C91-B660-56012F43399F}" srcOrd="1" destOrd="0" presId="urn:microsoft.com/office/officeart/2005/8/layout/hierarchy3"/>
    <dgm:cxn modelId="{C98E1E34-E447-4798-81E7-DDF9F83C81BC}" type="presParOf" srcId="{4F2C3FD2-ACA4-4C91-B660-56012F43399F}" destId="{C6F91A9A-44CB-4611-AB7E-CDBAC805922E}" srcOrd="0" destOrd="0" presId="urn:microsoft.com/office/officeart/2005/8/layout/hierarchy3"/>
    <dgm:cxn modelId="{E81305B5-DA27-4DE3-AEE2-23AA40529FD9}" type="presParOf" srcId="{4F2C3FD2-ACA4-4C91-B660-56012F43399F}" destId="{CCF567BC-ECA5-43D9-ACCD-4457361E1517}" srcOrd="1" destOrd="0" presId="urn:microsoft.com/office/officeart/2005/8/layout/hierarchy3"/>
    <dgm:cxn modelId="{2952C895-0076-4284-94AD-C6DF93E74B7B}" type="presParOf" srcId="{4F2C3FD2-ACA4-4C91-B660-56012F43399F}" destId="{A2641358-491C-44BE-941A-4FD22FE92ED0}" srcOrd="2" destOrd="0" presId="urn:microsoft.com/office/officeart/2005/8/layout/hierarchy3"/>
    <dgm:cxn modelId="{BF2C18E6-A28D-44A4-96D0-779BD339E2A1}" type="presParOf" srcId="{4F2C3FD2-ACA4-4C91-B660-56012F43399F}" destId="{1E31EA9A-21B5-45E8-BD1D-03C5695D842B}" srcOrd="3" destOrd="0" presId="urn:microsoft.com/office/officeart/2005/8/layout/hierarchy3"/>
    <dgm:cxn modelId="{FB23E1B8-2691-4DCD-AEA3-719D1A650E42}" type="presParOf" srcId="{4F2C3FD2-ACA4-4C91-B660-56012F43399F}" destId="{0232CA45-163A-4C7C-B6ED-BBDBE677E5A2}" srcOrd="4" destOrd="0" presId="urn:microsoft.com/office/officeart/2005/8/layout/hierarchy3"/>
    <dgm:cxn modelId="{7CC0A686-E683-492D-B1F2-FFC26983148B}" type="presParOf" srcId="{4F2C3FD2-ACA4-4C91-B660-56012F43399F}" destId="{AA3F93AF-CC36-4E2A-B94B-DABD34A5ADA8}" srcOrd="5" destOrd="0" presId="urn:microsoft.com/office/officeart/2005/8/layout/hierarchy3"/>
    <dgm:cxn modelId="{5BC0504A-4535-40AD-8FAE-ECC530050030}" type="presParOf" srcId="{99493A54-2AF6-4F78-BA2F-38DF4F1780EE}" destId="{FC4A03AD-F280-4B69-A8AD-AF5A8F625790}" srcOrd="1" destOrd="0" presId="urn:microsoft.com/office/officeart/2005/8/layout/hierarchy3"/>
    <dgm:cxn modelId="{DFE58760-F5B0-4FBF-A0BD-25063D9A6F9D}" type="presParOf" srcId="{FC4A03AD-F280-4B69-A8AD-AF5A8F625790}" destId="{88F5E7A4-BD2A-4D7D-935D-99F2309DCC59}" srcOrd="0" destOrd="0" presId="urn:microsoft.com/office/officeart/2005/8/layout/hierarchy3"/>
    <dgm:cxn modelId="{CD16B0A7-2A31-484A-B55D-A0395CB1F359}" type="presParOf" srcId="{88F5E7A4-BD2A-4D7D-935D-99F2309DCC59}" destId="{74E6B63B-E02A-46F2-8CE8-C501A4C00B11}" srcOrd="0" destOrd="0" presId="urn:microsoft.com/office/officeart/2005/8/layout/hierarchy3"/>
    <dgm:cxn modelId="{30EAA106-EC62-4FEC-B8FB-BF40463B3857}" type="presParOf" srcId="{88F5E7A4-BD2A-4D7D-935D-99F2309DCC59}" destId="{84338530-D2F3-4B51-8A68-7889D1E794E5}" srcOrd="1" destOrd="0" presId="urn:microsoft.com/office/officeart/2005/8/layout/hierarchy3"/>
    <dgm:cxn modelId="{DCA7CE34-E380-4463-8BB9-0521452F8AF7}" type="presParOf" srcId="{FC4A03AD-F280-4B69-A8AD-AF5A8F625790}" destId="{4BEE9560-9411-43A9-866F-35C2C5458387}" srcOrd="1" destOrd="0" presId="urn:microsoft.com/office/officeart/2005/8/layout/hierarchy3"/>
    <dgm:cxn modelId="{B1ACE818-03BD-46D7-920C-E0B085BE7185}" type="presParOf" srcId="{4BEE9560-9411-43A9-866F-35C2C5458387}" destId="{23DDEF46-32BC-46DA-BC9A-5A89BC85D6DA}" srcOrd="0" destOrd="0" presId="urn:microsoft.com/office/officeart/2005/8/layout/hierarchy3"/>
    <dgm:cxn modelId="{9354A164-615E-41D7-93ED-09E1CCDCF3B9}" type="presParOf" srcId="{4BEE9560-9411-43A9-866F-35C2C5458387}" destId="{E07986F8-F68D-4DFA-901F-55CB2D7FD496}" srcOrd="1" destOrd="0" presId="urn:microsoft.com/office/officeart/2005/8/layout/hierarchy3"/>
    <dgm:cxn modelId="{27B7E208-8B4D-4411-8D7F-7CD948180F7D}" type="presParOf" srcId="{99493A54-2AF6-4F78-BA2F-38DF4F1780EE}" destId="{C5C71E1D-BCD4-4D2B-B1D8-0372384DA967}" srcOrd="2" destOrd="0" presId="urn:microsoft.com/office/officeart/2005/8/layout/hierarchy3"/>
    <dgm:cxn modelId="{63F9CFC8-69D4-4A7B-AF2C-A877143F296A}" type="presParOf" srcId="{C5C71E1D-BCD4-4D2B-B1D8-0372384DA967}" destId="{D9B33331-1234-40A5-92FF-0512BAFCF80E}" srcOrd="0" destOrd="0" presId="urn:microsoft.com/office/officeart/2005/8/layout/hierarchy3"/>
    <dgm:cxn modelId="{44EE6AC1-5D89-48FD-A19A-0169FE34C3E3}" type="presParOf" srcId="{D9B33331-1234-40A5-92FF-0512BAFCF80E}" destId="{E6DABD91-FE5C-463E-B105-C3A56D253AE5}" srcOrd="0" destOrd="0" presId="urn:microsoft.com/office/officeart/2005/8/layout/hierarchy3"/>
    <dgm:cxn modelId="{7AEB1C70-BB9A-40EC-B0A8-0D04D1AD98E4}" type="presParOf" srcId="{D9B33331-1234-40A5-92FF-0512BAFCF80E}" destId="{CD1E67E9-CF54-42AB-AEE3-7EB7D8BAC9C4}" srcOrd="1" destOrd="0" presId="urn:microsoft.com/office/officeart/2005/8/layout/hierarchy3"/>
    <dgm:cxn modelId="{D99D9707-8419-47AE-B05A-CF2619C341D7}" type="presParOf" srcId="{C5C71E1D-BCD4-4D2B-B1D8-0372384DA967}" destId="{DEA4CCA5-5F21-4B81-B482-2B20B81C86A1}" srcOrd="1" destOrd="0" presId="urn:microsoft.com/office/officeart/2005/8/layout/hierarchy3"/>
    <dgm:cxn modelId="{E83A3AAD-0F71-40BD-AFF8-02077E453B9C}" type="presParOf" srcId="{DEA4CCA5-5F21-4B81-B482-2B20B81C86A1}" destId="{DE570EAF-50E0-42F2-A81C-FCDE785312EC}" srcOrd="0" destOrd="0" presId="urn:microsoft.com/office/officeart/2005/8/layout/hierarchy3"/>
    <dgm:cxn modelId="{E3F0D5BC-6348-48FE-8C26-9CEBA4E183A6}" type="presParOf" srcId="{DEA4CCA5-5F21-4B81-B482-2B20B81C86A1}" destId="{2D107D5E-510E-4A64-9A19-CA0D1CC14A60}" srcOrd="1" destOrd="0" presId="urn:microsoft.com/office/officeart/2005/8/layout/hierarchy3"/>
  </dgm:cxnLst>
  <dgm:bg/>
  <dgm:whole/>
  <dgm:extLst>
    <a:ext uri="http://schemas.microsoft.com/office/drawing/2008/diagram">
      <dsp:dataModelExt xmlns:dsp="http://schemas.microsoft.com/office/drawing/2008/diagram" relId="rId14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56E7C2B9-15A7-42D8-BA4A-519B2D44503B}" type="doc">
      <dgm:prSet loTypeId="urn:microsoft.com/office/officeart/2005/8/layout/hierarchy2" loCatId="hierarchy" qsTypeId="urn:microsoft.com/office/officeart/2005/8/quickstyle/simple1" qsCatId="simple" csTypeId="urn:microsoft.com/office/officeart/2005/8/colors/colorful2" csCatId="colorful" phldr="1"/>
      <dgm:spPr/>
      <dgm:t>
        <a:bodyPr/>
        <a:lstStyle/>
        <a:p>
          <a:endParaRPr lang="ru-RU"/>
        </a:p>
      </dgm:t>
    </dgm:pt>
    <dgm:pt modelId="{976A004E-0943-40F8-A139-2D8288951F22}">
      <dgm:prSet phldrT="[Текст]" custT="1"/>
      <dgm:spPr/>
      <dgm:t>
        <a:bodyPr/>
        <a:lstStyle/>
        <a:p>
          <a:r>
            <a:rPr lang="ru-RU" sz="1200" b="1">
              <a:solidFill>
                <a:sysClr val="windowText" lastClr="000000"/>
              </a:solidFill>
              <a:latin typeface="Times New Roman" panose="02020603050405020304" pitchFamily="18" charset="0"/>
              <a:cs typeface="Times New Roman" panose="02020603050405020304" pitchFamily="18" charset="0"/>
            </a:rPr>
            <a:t>Распоряжение Правительства РФ     от 15.11.2024           № 3287-р </a:t>
          </a:r>
        </a:p>
      </dgm:t>
    </dgm:pt>
    <dgm:pt modelId="{32E8BB9E-52E4-4037-A968-E8FA578BDB28}" type="parTrans" cxnId="{0BC68ED9-C5AC-4693-98CC-2A1CDA91B650}">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757E279B-0D12-4A37-8734-1670E4DEE6B3}" type="sibTrans" cxnId="{0BC68ED9-C5AC-4693-98CC-2A1CDA91B650}">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C0ED2A66-B985-44FA-8AFA-9E46DCA2691F}">
      <dgm:prSet phldrT="[Текст]" custT="1"/>
      <dgm:spPr/>
      <dgm:t>
        <a:bodyPr/>
        <a:lstStyle/>
        <a:p>
          <a:r>
            <a:rPr lang="ru-RU" sz="1100">
              <a:solidFill>
                <a:sysClr val="windowText" lastClr="000000"/>
              </a:solidFill>
              <a:latin typeface="Times New Roman" panose="02020603050405020304" pitchFamily="18" charset="0"/>
              <a:cs typeface="Times New Roman" panose="02020603050405020304" pitchFamily="18" charset="0"/>
            </a:rPr>
            <a:t>Средний индекс изменения размера вносимой гражданами платы за коммунальные услуги по Новосибирской области</a:t>
          </a:r>
        </a:p>
      </dgm:t>
    </dgm:pt>
    <dgm:pt modelId="{1737EB0D-5297-489C-9F9A-DBEA27DC9D36}" type="parTrans" cxnId="{D53CED9F-2E10-4968-A5C1-D84E151E625E}">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A10E74B6-97C3-4C44-A84E-7E69F44F3766}" type="sibTrans" cxnId="{D53CED9F-2E10-4968-A5C1-D84E151E625E}">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5DCE7068-0010-4DFC-B4C1-EA6E21187344}">
      <dgm:prSet phldrT="[Текст]" custT="1"/>
      <dgm:spPr/>
      <dgm:t>
        <a:bodyPr/>
        <a:lstStyle/>
        <a:p>
          <a:r>
            <a:rPr lang="ru-RU" sz="1200" b="1">
              <a:solidFill>
                <a:sysClr val="windowText" lastClr="000000"/>
              </a:solidFill>
              <a:latin typeface="Times New Roman" panose="02020603050405020304" pitchFamily="18" charset="0"/>
              <a:cs typeface="Times New Roman" panose="02020603050405020304" pitchFamily="18" charset="0"/>
            </a:rPr>
            <a:t>с 01.01.2025 по 30.06.2025 - 0%</a:t>
          </a:r>
        </a:p>
      </dgm:t>
    </dgm:pt>
    <dgm:pt modelId="{A69A25E3-8ABA-4B3D-A2E5-7F4284815208}" type="parTrans" cxnId="{C26D081F-FCBC-459E-8CE0-168FF9C6EDDD}">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1E206136-4078-4269-9BE6-3F3E1E7177E8}" type="sibTrans" cxnId="{C26D081F-FCBC-459E-8CE0-168FF9C6EDDD}">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D87B3D4A-6EF3-4620-8BAE-14BB40BC18B8}">
      <dgm:prSet phldrT="[Текст]" custT="1"/>
      <dgm:spPr/>
      <dgm:t>
        <a:bodyPr/>
        <a:lstStyle/>
        <a:p>
          <a:r>
            <a:rPr lang="ru-RU" sz="1200" b="1">
              <a:solidFill>
                <a:sysClr val="windowText" lastClr="000000"/>
              </a:solidFill>
              <a:latin typeface="Times New Roman" panose="02020603050405020304" pitchFamily="18" charset="0"/>
              <a:cs typeface="Times New Roman" panose="02020603050405020304" pitchFamily="18" charset="0"/>
            </a:rPr>
            <a:t>с 01.07.2025 по 01.07.2025 - 11,9%</a:t>
          </a:r>
        </a:p>
      </dgm:t>
    </dgm:pt>
    <dgm:pt modelId="{97CE5597-D444-4855-9C90-62B840A9D23D}" type="parTrans" cxnId="{2C37F637-B1AD-494B-BF0C-69D6786DFD00}">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6C1F1E33-325A-4F66-A65D-C04AC4425B2C}" type="sibTrans" cxnId="{2C37F637-B1AD-494B-BF0C-69D6786DFD00}">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44FD7B8B-A7B9-4C1C-9514-5D46D88B2719}">
      <dgm:prSet phldrT="[Текст]" custT="1"/>
      <dgm:spPr/>
      <dgm:t>
        <a:bodyPr/>
        <a:lstStyle/>
        <a:p>
          <a:r>
            <a:rPr lang="ru-RU" sz="1100">
              <a:solidFill>
                <a:sysClr val="windowText" lastClr="000000"/>
              </a:solidFill>
              <a:latin typeface="Times New Roman" panose="02020603050405020304" pitchFamily="18" charset="0"/>
              <a:cs typeface="Times New Roman" panose="02020603050405020304" pitchFamily="18" charset="0"/>
            </a:rPr>
            <a:t>Предельно допустимое отклонение по отдельным муниципальным образованиям Новосибирской области</a:t>
          </a:r>
        </a:p>
      </dgm:t>
    </dgm:pt>
    <dgm:pt modelId="{F8631933-727A-4A1E-9BD5-648D16AEFCF5}" type="parTrans" cxnId="{553277A9-AA5A-4550-9854-8FF137CD9D4C}">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68880270-1AB8-48B2-A7DE-6990AE85DCBB}" type="sibTrans" cxnId="{553277A9-AA5A-4550-9854-8FF137CD9D4C}">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7F53F2A3-DEF4-4FF3-B85D-741915E5E0A4}">
      <dgm:prSet phldrT="[Текст]" custT="1"/>
      <dgm:spPr/>
      <dgm:t>
        <a:bodyPr/>
        <a:lstStyle/>
        <a:p>
          <a:r>
            <a:rPr lang="ru-RU" sz="1200" b="1">
              <a:solidFill>
                <a:sysClr val="windowText" lastClr="000000"/>
              </a:solidFill>
              <a:latin typeface="Times New Roman" panose="02020603050405020304" pitchFamily="18" charset="0"/>
              <a:cs typeface="Times New Roman" panose="02020603050405020304" pitchFamily="18" charset="0"/>
            </a:rPr>
            <a:t>на 2025-2028 годы - 4,8%</a:t>
          </a:r>
        </a:p>
      </dgm:t>
    </dgm:pt>
    <dgm:pt modelId="{F28A0433-4411-488E-BBA5-609A5ED2FC6E}" type="parTrans" cxnId="{518730B7-2EFE-4DF8-9A72-73C9677F53E9}">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B3572AF8-7CE0-4CCC-BC00-9A31CE9CACDC}" type="sibTrans" cxnId="{518730B7-2EFE-4DF8-9A72-73C9677F53E9}">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0D637DD4-6361-4640-BCD5-FE855121D77F}" type="pres">
      <dgm:prSet presAssocID="{56E7C2B9-15A7-42D8-BA4A-519B2D44503B}" presName="diagram" presStyleCnt="0">
        <dgm:presLayoutVars>
          <dgm:chPref val="1"/>
          <dgm:dir/>
          <dgm:animOne val="branch"/>
          <dgm:animLvl val="lvl"/>
          <dgm:resizeHandles val="exact"/>
        </dgm:presLayoutVars>
      </dgm:prSet>
      <dgm:spPr/>
      <dgm:t>
        <a:bodyPr/>
        <a:lstStyle/>
        <a:p>
          <a:endParaRPr lang="ru-RU"/>
        </a:p>
      </dgm:t>
    </dgm:pt>
    <dgm:pt modelId="{DA496018-58AF-43AA-81EE-AD4A7F8E9968}" type="pres">
      <dgm:prSet presAssocID="{976A004E-0943-40F8-A139-2D8288951F22}" presName="root1" presStyleCnt="0"/>
      <dgm:spPr/>
    </dgm:pt>
    <dgm:pt modelId="{E6C11EA2-B918-4AA4-B79E-A82A8D5D8E89}" type="pres">
      <dgm:prSet presAssocID="{976A004E-0943-40F8-A139-2D8288951F22}" presName="LevelOneTextNode" presStyleLbl="node0" presStyleIdx="0" presStyleCnt="1" custScaleX="117348" custScaleY="166356">
        <dgm:presLayoutVars>
          <dgm:chPref val="3"/>
        </dgm:presLayoutVars>
      </dgm:prSet>
      <dgm:spPr/>
      <dgm:t>
        <a:bodyPr/>
        <a:lstStyle/>
        <a:p>
          <a:endParaRPr lang="ru-RU"/>
        </a:p>
      </dgm:t>
    </dgm:pt>
    <dgm:pt modelId="{D6B1348A-758F-4BB2-894A-C457895310A2}" type="pres">
      <dgm:prSet presAssocID="{976A004E-0943-40F8-A139-2D8288951F22}" presName="level2hierChild" presStyleCnt="0"/>
      <dgm:spPr/>
    </dgm:pt>
    <dgm:pt modelId="{7013D562-1918-4220-B3FC-8801D846BD40}" type="pres">
      <dgm:prSet presAssocID="{1737EB0D-5297-489C-9F9A-DBEA27DC9D36}" presName="conn2-1" presStyleLbl="parChTrans1D2" presStyleIdx="0" presStyleCnt="2"/>
      <dgm:spPr/>
      <dgm:t>
        <a:bodyPr/>
        <a:lstStyle/>
        <a:p>
          <a:endParaRPr lang="ru-RU"/>
        </a:p>
      </dgm:t>
    </dgm:pt>
    <dgm:pt modelId="{ACD95E45-7AAE-4D29-B00E-F96D51CFCC21}" type="pres">
      <dgm:prSet presAssocID="{1737EB0D-5297-489C-9F9A-DBEA27DC9D36}" presName="connTx" presStyleLbl="parChTrans1D2" presStyleIdx="0" presStyleCnt="2"/>
      <dgm:spPr/>
      <dgm:t>
        <a:bodyPr/>
        <a:lstStyle/>
        <a:p>
          <a:endParaRPr lang="ru-RU"/>
        </a:p>
      </dgm:t>
    </dgm:pt>
    <dgm:pt modelId="{72A09E0C-D1D9-42D6-A0CB-3A8A2CB1F927}" type="pres">
      <dgm:prSet presAssocID="{C0ED2A66-B985-44FA-8AFA-9E46DCA2691F}" presName="root2" presStyleCnt="0"/>
      <dgm:spPr/>
    </dgm:pt>
    <dgm:pt modelId="{77FEBE24-7C56-4C58-B57F-4C3DD4C91D61}" type="pres">
      <dgm:prSet presAssocID="{C0ED2A66-B985-44FA-8AFA-9E46DCA2691F}" presName="LevelTwoTextNode" presStyleLbl="node2" presStyleIdx="0" presStyleCnt="2" custScaleX="143837" custScaleY="146800">
        <dgm:presLayoutVars>
          <dgm:chPref val="3"/>
        </dgm:presLayoutVars>
      </dgm:prSet>
      <dgm:spPr/>
      <dgm:t>
        <a:bodyPr/>
        <a:lstStyle/>
        <a:p>
          <a:endParaRPr lang="ru-RU"/>
        </a:p>
      </dgm:t>
    </dgm:pt>
    <dgm:pt modelId="{F52056B5-9275-46B3-8D12-96A52034BD42}" type="pres">
      <dgm:prSet presAssocID="{C0ED2A66-B985-44FA-8AFA-9E46DCA2691F}" presName="level3hierChild" presStyleCnt="0"/>
      <dgm:spPr/>
    </dgm:pt>
    <dgm:pt modelId="{F12C983A-9514-450F-BACB-86DF87E1852D}" type="pres">
      <dgm:prSet presAssocID="{A69A25E3-8ABA-4B3D-A2E5-7F4284815208}" presName="conn2-1" presStyleLbl="parChTrans1D3" presStyleIdx="0" presStyleCnt="3"/>
      <dgm:spPr/>
      <dgm:t>
        <a:bodyPr/>
        <a:lstStyle/>
        <a:p>
          <a:endParaRPr lang="ru-RU"/>
        </a:p>
      </dgm:t>
    </dgm:pt>
    <dgm:pt modelId="{09A4F8CB-BACA-46CA-8DA3-91AA21F9DEC2}" type="pres">
      <dgm:prSet presAssocID="{A69A25E3-8ABA-4B3D-A2E5-7F4284815208}" presName="connTx" presStyleLbl="parChTrans1D3" presStyleIdx="0" presStyleCnt="3"/>
      <dgm:spPr/>
      <dgm:t>
        <a:bodyPr/>
        <a:lstStyle/>
        <a:p>
          <a:endParaRPr lang="ru-RU"/>
        </a:p>
      </dgm:t>
    </dgm:pt>
    <dgm:pt modelId="{D6D72414-014A-4A2E-AF84-5FC88E7859F0}" type="pres">
      <dgm:prSet presAssocID="{5DCE7068-0010-4DFC-B4C1-EA6E21187344}" presName="root2" presStyleCnt="0"/>
      <dgm:spPr/>
    </dgm:pt>
    <dgm:pt modelId="{A78B4B08-2459-4BC3-AB1C-34098A824560}" type="pres">
      <dgm:prSet presAssocID="{5DCE7068-0010-4DFC-B4C1-EA6E21187344}" presName="LevelTwoTextNode" presStyleLbl="node3" presStyleIdx="0" presStyleCnt="3" custScaleX="126651">
        <dgm:presLayoutVars>
          <dgm:chPref val="3"/>
        </dgm:presLayoutVars>
      </dgm:prSet>
      <dgm:spPr/>
      <dgm:t>
        <a:bodyPr/>
        <a:lstStyle/>
        <a:p>
          <a:endParaRPr lang="ru-RU"/>
        </a:p>
      </dgm:t>
    </dgm:pt>
    <dgm:pt modelId="{9881DC62-74B5-4B9D-BEE6-19A8FE87792A}" type="pres">
      <dgm:prSet presAssocID="{5DCE7068-0010-4DFC-B4C1-EA6E21187344}" presName="level3hierChild" presStyleCnt="0"/>
      <dgm:spPr/>
    </dgm:pt>
    <dgm:pt modelId="{F694C174-18D4-4CC4-A40A-86D65DD73D53}" type="pres">
      <dgm:prSet presAssocID="{97CE5597-D444-4855-9C90-62B840A9D23D}" presName="conn2-1" presStyleLbl="parChTrans1D3" presStyleIdx="1" presStyleCnt="3"/>
      <dgm:spPr/>
      <dgm:t>
        <a:bodyPr/>
        <a:lstStyle/>
        <a:p>
          <a:endParaRPr lang="ru-RU"/>
        </a:p>
      </dgm:t>
    </dgm:pt>
    <dgm:pt modelId="{101B8DF9-C1FD-4970-B45E-EC8FB1AC07B2}" type="pres">
      <dgm:prSet presAssocID="{97CE5597-D444-4855-9C90-62B840A9D23D}" presName="connTx" presStyleLbl="parChTrans1D3" presStyleIdx="1" presStyleCnt="3"/>
      <dgm:spPr/>
      <dgm:t>
        <a:bodyPr/>
        <a:lstStyle/>
        <a:p>
          <a:endParaRPr lang="ru-RU"/>
        </a:p>
      </dgm:t>
    </dgm:pt>
    <dgm:pt modelId="{DA96514C-4707-4598-B3CD-61FDB369069B}" type="pres">
      <dgm:prSet presAssocID="{D87B3D4A-6EF3-4620-8BAE-14BB40BC18B8}" presName="root2" presStyleCnt="0"/>
      <dgm:spPr/>
    </dgm:pt>
    <dgm:pt modelId="{76B08899-F6DC-4AD4-AA1A-033DB8E9E691}" type="pres">
      <dgm:prSet presAssocID="{D87B3D4A-6EF3-4620-8BAE-14BB40BC18B8}" presName="LevelTwoTextNode" presStyleLbl="node3" presStyleIdx="1" presStyleCnt="3" custScaleX="126651">
        <dgm:presLayoutVars>
          <dgm:chPref val="3"/>
        </dgm:presLayoutVars>
      </dgm:prSet>
      <dgm:spPr/>
      <dgm:t>
        <a:bodyPr/>
        <a:lstStyle/>
        <a:p>
          <a:endParaRPr lang="ru-RU"/>
        </a:p>
      </dgm:t>
    </dgm:pt>
    <dgm:pt modelId="{ABB320EC-517B-4A6A-BE00-FF482B880717}" type="pres">
      <dgm:prSet presAssocID="{D87B3D4A-6EF3-4620-8BAE-14BB40BC18B8}" presName="level3hierChild" presStyleCnt="0"/>
      <dgm:spPr/>
    </dgm:pt>
    <dgm:pt modelId="{CF72A228-B507-48C4-9572-AA38C199DC84}" type="pres">
      <dgm:prSet presAssocID="{F8631933-727A-4A1E-9BD5-648D16AEFCF5}" presName="conn2-1" presStyleLbl="parChTrans1D2" presStyleIdx="1" presStyleCnt="2"/>
      <dgm:spPr/>
      <dgm:t>
        <a:bodyPr/>
        <a:lstStyle/>
        <a:p>
          <a:endParaRPr lang="ru-RU"/>
        </a:p>
      </dgm:t>
    </dgm:pt>
    <dgm:pt modelId="{36A94843-DF97-4779-B009-4288AA5837FD}" type="pres">
      <dgm:prSet presAssocID="{F8631933-727A-4A1E-9BD5-648D16AEFCF5}" presName="connTx" presStyleLbl="parChTrans1D2" presStyleIdx="1" presStyleCnt="2"/>
      <dgm:spPr/>
      <dgm:t>
        <a:bodyPr/>
        <a:lstStyle/>
        <a:p>
          <a:endParaRPr lang="ru-RU"/>
        </a:p>
      </dgm:t>
    </dgm:pt>
    <dgm:pt modelId="{647A0AE3-A4C0-46F8-A56D-4D1DA7BC4F90}" type="pres">
      <dgm:prSet presAssocID="{44FD7B8B-A7B9-4C1C-9514-5D46D88B2719}" presName="root2" presStyleCnt="0"/>
      <dgm:spPr/>
    </dgm:pt>
    <dgm:pt modelId="{4F743FB4-97B2-4A02-B552-D329DEF32418}" type="pres">
      <dgm:prSet presAssocID="{44FD7B8B-A7B9-4C1C-9514-5D46D88B2719}" presName="LevelTwoTextNode" presStyleLbl="node2" presStyleIdx="1" presStyleCnt="2" custScaleX="143837" custScaleY="146800">
        <dgm:presLayoutVars>
          <dgm:chPref val="3"/>
        </dgm:presLayoutVars>
      </dgm:prSet>
      <dgm:spPr/>
      <dgm:t>
        <a:bodyPr/>
        <a:lstStyle/>
        <a:p>
          <a:endParaRPr lang="ru-RU"/>
        </a:p>
      </dgm:t>
    </dgm:pt>
    <dgm:pt modelId="{0161FC94-800B-40A9-929E-C8126CEB92FB}" type="pres">
      <dgm:prSet presAssocID="{44FD7B8B-A7B9-4C1C-9514-5D46D88B2719}" presName="level3hierChild" presStyleCnt="0"/>
      <dgm:spPr/>
    </dgm:pt>
    <dgm:pt modelId="{E5CE5630-AFE8-4B4B-B807-A6FB68D92BDD}" type="pres">
      <dgm:prSet presAssocID="{F28A0433-4411-488E-BBA5-609A5ED2FC6E}" presName="conn2-1" presStyleLbl="parChTrans1D3" presStyleIdx="2" presStyleCnt="3"/>
      <dgm:spPr/>
      <dgm:t>
        <a:bodyPr/>
        <a:lstStyle/>
        <a:p>
          <a:endParaRPr lang="ru-RU"/>
        </a:p>
      </dgm:t>
    </dgm:pt>
    <dgm:pt modelId="{751865C2-5A7F-48B2-AC1F-F4AED938EE53}" type="pres">
      <dgm:prSet presAssocID="{F28A0433-4411-488E-BBA5-609A5ED2FC6E}" presName="connTx" presStyleLbl="parChTrans1D3" presStyleIdx="2" presStyleCnt="3"/>
      <dgm:spPr/>
      <dgm:t>
        <a:bodyPr/>
        <a:lstStyle/>
        <a:p>
          <a:endParaRPr lang="ru-RU"/>
        </a:p>
      </dgm:t>
    </dgm:pt>
    <dgm:pt modelId="{38A120A7-F4A8-446C-BD55-69669B07C743}" type="pres">
      <dgm:prSet presAssocID="{7F53F2A3-DEF4-4FF3-B85D-741915E5E0A4}" presName="root2" presStyleCnt="0"/>
      <dgm:spPr/>
    </dgm:pt>
    <dgm:pt modelId="{4F756954-EE5E-4F5B-AB7D-0A34E81ECA27}" type="pres">
      <dgm:prSet presAssocID="{7F53F2A3-DEF4-4FF3-B85D-741915E5E0A4}" presName="LevelTwoTextNode" presStyleLbl="node3" presStyleIdx="2" presStyleCnt="3" custScaleX="126651">
        <dgm:presLayoutVars>
          <dgm:chPref val="3"/>
        </dgm:presLayoutVars>
      </dgm:prSet>
      <dgm:spPr/>
      <dgm:t>
        <a:bodyPr/>
        <a:lstStyle/>
        <a:p>
          <a:endParaRPr lang="ru-RU"/>
        </a:p>
      </dgm:t>
    </dgm:pt>
    <dgm:pt modelId="{C83A63B0-47F9-4163-ABE8-B121528CE89F}" type="pres">
      <dgm:prSet presAssocID="{7F53F2A3-DEF4-4FF3-B85D-741915E5E0A4}" presName="level3hierChild" presStyleCnt="0"/>
      <dgm:spPr/>
    </dgm:pt>
  </dgm:ptLst>
  <dgm:cxnLst>
    <dgm:cxn modelId="{553277A9-AA5A-4550-9854-8FF137CD9D4C}" srcId="{976A004E-0943-40F8-A139-2D8288951F22}" destId="{44FD7B8B-A7B9-4C1C-9514-5D46D88B2719}" srcOrd="1" destOrd="0" parTransId="{F8631933-727A-4A1E-9BD5-648D16AEFCF5}" sibTransId="{68880270-1AB8-48B2-A7DE-6990AE85DCBB}"/>
    <dgm:cxn modelId="{D55AC616-49E6-4518-AC78-D9D04B694116}" type="presOf" srcId="{F28A0433-4411-488E-BBA5-609A5ED2FC6E}" destId="{751865C2-5A7F-48B2-AC1F-F4AED938EE53}" srcOrd="1" destOrd="0" presId="urn:microsoft.com/office/officeart/2005/8/layout/hierarchy2"/>
    <dgm:cxn modelId="{2C37F637-B1AD-494B-BF0C-69D6786DFD00}" srcId="{C0ED2A66-B985-44FA-8AFA-9E46DCA2691F}" destId="{D87B3D4A-6EF3-4620-8BAE-14BB40BC18B8}" srcOrd="1" destOrd="0" parTransId="{97CE5597-D444-4855-9C90-62B840A9D23D}" sibTransId="{6C1F1E33-325A-4F66-A65D-C04AC4425B2C}"/>
    <dgm:cxn modelId="{DEC92846-B08F-4E91-A1CC-83B361D2A895}" type="presOf" srcId="{976A004E-0943-40F8-A139-2D8288951F22}" destId="{E6C11EA2-B918-4AA4-B79E-A82A8D5D8E89}" srcOrd="0" destOrd="0" presId="urn:microsoft.com/office/officeart/2005/8/layout/hierarchy2"/>
    <dgm:cxn modelId="{2CAAFE9A-60DC-4205-BF31-2A2F6701305C}" type="presOf" srcId="{97CE5597-D444-4855-9C90-62B840A9D23D}" destId="{F694C174-18D4-4CC4-A40A-86D65DD73D53}" srcOrd="0" destOrd="0" presId="urn:microsoft.com/office/officeart/2005/8/layout/hierarchy2"/>
    <dgm:cxn modelId="{F6C94B19-54F3-4C0F-8472-3D3DD5BF16D6}" type="presOf" srcId="{56E7C2B9-15A7-42D8-BA4A-519B2D44503B}" destId="{0D637DD4-6361-4640-BCD5-FE855121D77F}" srcOrd="0" destOrd="0" presId="urn:microsoft.com/office/officeart/2005/8/layout/hierarchy2"/>
    <dgm:cxn modelId="{C66F5941-EEDB-4A9B-B5CB-F48DC5837175}" type="presOf" srcId="{D87B3D4A-6EF3-4620-8BAE-14BB40BC18B8}" destId="{76B08899-F6DC-4AD4-AA1A-033DB8E9E691}" srcOrd="0" destOrd="0" presId="urn:microsoft.com/office/officeart/2005/8/layout/hierarchy2"/>
    <dgm:cxn modelId="{4B111760-889A-4FBA-9ECF-6756EC7D1258}" type="presOf" srcId="{A69A25E3-8ABA-4B3D-A2E5-7F4284815208}" destId="{09A4F8CB-BACA-46CA-8DA3-91AA21F9DEC2}" srcOrd="1" destOrd="0" presId="urn:microsoft.com/office/officeart/2005/8/layout/hierarchy2"/>
    <dgm:cxn modelId="{6276576F-86D2-4672-B31D-FF4BF0E74BA3}" type="presOf" srcId="{A69A25E3-8ABA-4B3D-A2E5-7F4284815208}" destId="{F12C983A-9514-450F-BACB-86DF87E1852D}" srcOrd="0" destOrd="0" presId="urn:microsoft.com/office/officeart/2005/8/layout/hierarchy2"/>
    <dgm:cxn modelId="{D53CED9F-2E10-4968-A5C1-D84E151E625E}" srcId="{976A004E-0943-40F8-A139-2D8288951F22}" destId="{C0ED2A66-B985-44FA-8AFA-9E46DCA2691F}" srcOrd="0" destOrd="0" parTransId="{1737EB0D-5297-489C-9F9A-DBEA27DC9D36}" sibTransId="{A10E74B6-97C3-4C44-A84E-7E69F44F3766}"/>
    <dgm:cxn modelId="{1F37D7F6-5137-4847-BF81-971F8D5F322F}" type="presOf" srcId="{44FD7B8B-A7B9-4C1C-9514-5D46D88B2719}" destId="{4F743FB4-97B2-4A02-B552-D329DEF32418}" srcOrd="0" destOrd="0" presId="urn:microsoft.com/office/officeart/2005/8/layout/hierarchy2"/>
    <dgm:cxn modelId="{C26D081F-FCBC-459E-8CE0-168FF9C6EDDD}" srcId="{C0ED2A66-B985-44FA-8AFA-9E46DCA2691F}" destId="{5DCE7068-0010-4DFC-B4C1-EA6E21187344}" srcOrd="0" destOrd="0" parTransId="{A69A25E3-8ABA-4B3D-A2E5-7F4284815208}" sibTransId="{1E206136-4078-4269-9BE6-3F3E1E7177E8}"/>
    <dgm:cxn modelId="{0BC68ED9-C5AC-4693-98CC-2A1CDA91B650}" srcId="{56E7C2B9-15A7-42D8-BA4A-519B2D44503B}" destId="{976A004E-0943-40F8-A139-2D8288951F22}" srcOrd="0" destOrd="0" parTransId="{32E8BB9E-52E4-4037-A968-E8FA578BDB28}" sibTransId="{757E279B-0D12-4A37-8734-1670E4DEE6B3}"/>
    <dgm:cxn modelId="{DBF17FAF-2A46-42BE-9FC4-C5AF823B43F3}" type="presOf" srcId="{1737EB0D-5297-489C-9F9A-DBEA27DC9D36}" destId="{7013D562-1918-4220-B3FC-8801D846BD40}" srcOrd="0" destOrd="0" presId="urn:microsoft.com/office/officeart/2005/8/layout/hierarchy2"/>
    <dgm:cxn modelId="{518730B7-2EFE-4DF8-9A72-73C9677F53E9}" srcId="{44FD7B8B-A7B9-4C1C-9514-5D46D88B2719}" destId="{7F53F2A3-DEF4-4FF3-B85D-741915E5E0A4}" srcOrd="0" destOrd="0" parTransId="{F28A0433-4411-488E-BBA5-609A5ED2FC6E}" sibTransId="{B3572AF8-7CE0-4CCC-BC00-9A31CE9CACDC}"/>
    <dgm:cxn modelId="{C302EB03-3602-4E15-A690-CC9752FF02DD}" type="presOf" srcId="{97CE5597-D444-4855-9C90-62B840A9D23D}" destId="{101B8DF9-C1FD-4970-B45E-EC8FB1AC07B2}" srcOrd="1" destOrd="0" presId="urn:microsoft.com/office/officeart/2005/8/layout/hierarchy2"/>
    <dgm:cxn modelId="{B34B5B59-1720-4CAE-87E1-C72A6D5386FC}" type="presOf" srcId="{F8631933-727A-4A1E-9BD5-648D16AEFCF5}" destId="{CF72A228-B507-48C4-9572-AA38C199DC84}" srcOrd="0" destOrd="0" presId="urn:microsoft.com/office/officeart/2005/8/layout/hierarchy2"/>
    <dgm:cxn modelId="{B965B19B-55CF-4DB5-B957-18517BC96A48}" type="presOf" srcId="{7F53F2A3-DEF4-4FF3-B85D-741915E5E0A4}" destId="{4F756954-EE5E-4F5B-AB7D-0A34E81ECA27}" srcOrd="0" destOrd="0" presId="urn:microsoft.com/office/officeart/2005/8/layout/hierarchy2"/>
    <dgm:cxn modelId="{E6B19CD0-272D-4289-B40A-8E868369C578}" type="presOf" srcId="{F28A0433-4411-488E-BBA5-609A5ED2FC6E}" destId="{E5CE5630-AFE8-4B4B-B807-A6FB68D92BDD}" srcOrd="0" destOrd="0" presId="urn:microsoft.com/office/officeart/2005/8/layout/hierarchy2"/>
    <dgm:cxn modelId="{B685285E-4F0A-467D-BC69-24E24CC47168}" type="presOf" srcId="{1737EB0D-5297-489C-9F9A-DBEA27DC9D36}" destId="{ACD95E45-7AAE-4D29-B00E-F96D51CFCC21}" srcOrd="1" destOrd="0" presId="urn:microsoft.com/office/officeart/2005/8/layout/hierarchy2"/>
    <dgm:cxn modelId="{A02D96AB-5FFC-4348-862A-D3A7E45CFB2B}" type="presOf" srcId="{5DCE7068-0010-4DFC-B4C1-EA6E21187344}" destId="{A78B4B08-2459-4BC3-AB1C-34098A824560}" srcOrd="0" destOrd="0" presId="urn:microsoft.com/office/officeart/2005/8/layout/hierarchy2"/>
    <dgm:cxn modelId="{055D05CA-2EF4-4FB3-A7B4-C7BABEBC8043}" type="presOf" srcId="{F8631933-727A-4A1E-9BD5-648D16AEFCF5}" destId="{36A94843-DF97-4779-B009-4288AA5837FD}" srcOrd="1" destOrd="0" presId="urn:microsoft.com/office/officeart/2005/8/layout/hierarchy2"/>
    <dgm:cxn modelId="{8C9AA787-8D5B-4B04-AC57-131F8ECB0D6B}" type="presOf" srcId="{C0ED2A66-B985-44FA-8AFA-9E46DCA2691F}" destId="{77FEBE24-7C56-4C58-B57F-4C3DD4C91D61}" srcOrd="0" destOrd="0" presId="urn:microsoft.com/office/officeart/2005/8/layout/hierarchy2"/>
    <dgm:cxn modelId="{58E01B69-5720-4BD0-A879-FA4D928C71B2}" type="presParOf" srcId="{0D637DD4-6361-4640-BCD5-FE855121D77F}" destId="{DA496018-58AF-43AA-81EE-AD4A7F8E9968}" srcOrd="0" destOrd="0" presId="urn:microsoft.com/office/officeart/2005/8/layout/hierarchy2"/>
    <dgm:cxn modelId="{703F3C57-D33F-4865-A2C3-175FD8D46501}" type="presParOf" srcId="{DA496018-58AF-43AA-81EE-AD4A7F8E9968}" destId="{E6C11EA2-B918-4AA4-B79E-A82A8D5D8E89}" srcOrd="0" destOrd="0" presId="urn:microsoft.com/office/officeart/2005/8/layout/hierarchy2"/>
    <dgm:cxn modelId="{A4093198-4B7F-4B75-A690-CDACABBB49AB}" type="presParOf" srcId="{DA496018-58AF-43AA-81EE-AD4A7F8E9968}" destId="{D6B1348A-758F-4BB2-894A-C457895310A2}" srcOrd="1" destOrd="0" presId="urn:microsoft.com/office/officeart/2005/8/layout/hierarchy2"/>
    <dgm:cxn modelId="{CFDED3D5-C6DC-4ABE-9F15-B354DE73ED9D}" type="presParOf" srcId="{D6B1348A-758F-4BB2-894A-C457895310A2}" destId="{7013D562-1918-4220-B3FC-8801D846BD40}" srcOrd="0" destOrd="0" presId="urn:microsoft.com/office/officeart/2005/8/layout/hierarchy2"/>
    <dgm:cxn modelId="{32B37460-CC61-44F8-864D-ACB41287E1F0}" type="presParOf" srcId="{7013D562-1918-4220-B3FC-8801D846BD40}" destId="{ACD95E45-7AAE-4D29-B00E-F96D51CFCC21}" srcOrd="0" destOrd="0" presId="urn:microsoft.com/office/officeart/2005/8/layout/hierarchy2"/>
    <dgm:cxn modelId="{F3E052DF-1496-4F8F-A0F5-39599061CF58}" type="presParOf" srcId="{D6B1348A-758F-4BB2-894A-C457895310A2}" destId="{72A09E0C-D1D9-42D6-A0CB-3A8A2CB1F927}" srcOrd="1" destOrd="0" presId="urn:microsoft.com/office/officeart/2005/8/layout/hierarchy2"/>
    <dgm:cxn modelId="{BDC999EF-98C4-4C74-A6AE-A15AFC5FA8B0}" type="presParOf" srcId="{72A09E0C-D1D9-42D6-A0CB-3A8A2CB1F927}" destId="{77FEBE24-7C56-4C58-B57F-4C3DD4C91D61}" srcOrd="0" destOrd="0" presId="urn:microsoft.com/office/officeart/2005/8/layout/hierarchy2"/>
    <dgm:cxn modelId="{62B7B42C-518F-482A-A89A-980F856EAD08}" type="presParOf" srcId="{72A09E0C-D1D9-42D6-A0CB-3A8A2CB1F927}" destId="{F52056B5-9275-46B3-8D12-96A52034BD42}" srcOrd="1" destOrd="0" presId="urn:microsoft.com/office/officeart/2005/8/layout/hierarchy2"/>
    <dgm:cxn modelId="{F64420D9-2CDC-4FD0-B207-E0899127040E}" type="presParOf" srcId="{F52056B5-9275-46B3-8D12-96A52034BD42}" destId="{F12C983A-9514-450F-BACB-86DF87E1852D}" srcOrd="0" destOrd="0" presId="urn:microsoft.com/office/officeart/2005/8/layout/hierarchy2"/>
    <dgm:cxn modelId="{B244873B-8046-4CC4-A3DC-74E63CFE4564}" type="presParOf" srcId="{F12C983A-9514-450F-BACB-86DF87E1852D}" destId="{09A4F8CB-BACA-46CA-8DA3-91AA21F9DEC2}" srcOrd="0" destOrd="0" presId="urn:microsoft.com/office/officeart/2005/8/layout/hierarchy2"/>
    <dgm:cxn modelId="{554A4433-9FF8-4495-AB57-E7241F23BAC7}" type="presParOf" srcId="{F52056B5-9275-46B3-8D12-96A52034BD42}" destId="{D6D72414-014A-4A2E-AF84-5FC88E7859F0}" srcOrd="1" destOrd="0" presId="urn:microsoft.com/office/officeart/2005/8/layout/hierarchy2"/>
    <dgm:cxn modelId="{9994E39C-909D-47EC-8EAD-4BA8F982C113}" type="presParOf" srcId="{D6D72414-014A-4A2E-AF84-5FC88E7859F0}" destId="{A78B4B08-2459-4BC3-AB1C-34098A824560}" srcOrd="0" destOrd="0" presId="urn:microsoft.com/office/officeart/2005/8/layout/hierarchy2"/>
    <dgm:cxn modelId="{B0DEB754-CABD-4F41-B6A8-4EEE4824DEDB}" type="presParOf" srcId="{D6D72414-014A-4A2E-AF84-5FC88E7859F0}" destId="{9881DC62-74B5-4B9D-BEE6-19A8FE87792A}" srcOrd="1" destOrd="0" presId="urn:microsoft.com/office/officeart/2005/8/layout/hierarchy2"/>
    <dgm:cxn modelId="{F634CEFB-2D7C-42BB-9F21-A4346AC2BEE3}" type="presParOf" srcId="{F52056B5-9275-46B3-8D12-96A52034BD42}" destId="{F694C174-18D4-4CC4-A40A-86D65DD73D53}" srcOrd="2" destOrd="0" presId="urn:microsoft.com/office/officeart/2005/8/layout/hierarchy2"/>
    <dgm:cxn modelId="{26967280-570B-4151-ACF5-7AB6FAFCB6CA}" type="presParOf" srcId="{F694C174-18D4-4CC4-A40A-86D65DD73D53}" destId="{101B8DF9-C1FD-4970-B45E-EC8FB1AC07B2}" srcOrd="0" destOrd="0" presId="urn:microsoft.com/office/officeart/2005/8/layout/hierarchy2"/>
    <dgm:cxn modelId="{0A7A6176-5660-4D09-A8D1-27847F443FA6}" type="presParOf" srcId="{F52056B5-9275-46B3-8D12-96A52034BD42}" destId="{DA96514C-4707-4598-B3CD-61FDB369069B}" srcOrd="3" destOrd="0" presId="urn:microsoft.com/office/officeart/2005/8/layout/hierarchy2"/>
    <dgm:cxn modelId="{CF9B0D08-4782-4F08-8E23-BD6F069FCE2B}" type="presParOf" srcId="{DA96514C-4707-4598-B3CD-61FDB369069B}" destId="{76B08899-F6DC-4AD4-AA1A-033DB8E9E691}" srcOrd="0" destOrd="0" presId="urn:microsoft.com/office/officeart/2005/8/layout/hierarchy2"/>
    <dgm:cxn modelId="{E3ED2674-D708-4066-AEFF-E6B5C41FB08F}" type="presParOf" srcId="{DA96514C-4707-4598-B3CD-61FDB369069B}" destId="{ABB320EC-517B-4A6A-BE00-FF482B880717}" srcOrd="1" destOrd="0" presId="urn:microsoft.com/office/officeart/2005/8/layout/hierarchy2"/>
    <dgm:cxn modelId="{1435D6B9-3D6D-4A26-ABA2-CCD267D363E3}" type="presParOf" srcId="{D6B1348A-758F-4BB2-894A-C457895310A2}" destId="{CF72A228-B507-48C4-9572-AA38C199DC84}" srcOrd="2" destOrd="0" presId="urn:microsoft.com/office/officeart/2005/8/layout/hierarchy2"/>
    <dgm:cxn modelId="{35EED2D9-0EE7-4477-AD6F-AC836BDD9728}" type="presParOf" srcId="{CF72A228-B507-48C4-9572-AA38C199DC84}" destId="{36A94843-DF97-4779-B009-4288AA5837FD}" srcOrd="0" destOrd="0" presId="urn:microsoft.com/office/officeart/2005/8/layout/hierarchy2"/>
    <dgm:cxn modelId="{921FB1FC-FB9B-4975-A4FA-9CEDFC552A34}" type="presParOf" srcId="{D6B1348A-758F-4BB2-894A-C457895310A2}" destId="{647A0AE3-A4C0-46F8-A56D-4D1DA7BC4F90}" srcOrd="3" destOrd="0" presId="urn:microsoft.com/office/officeart/2005/8/layout/hierarchy2"/>
    <dgm:cxn modelId="{FF54F66E-048D-4EE6-884C-B09CC512D375}" type="presParOf" srcId="{647A0AE3-A4C0-46F8-A56D-4D1DA7BC4F90}" destId="{4F743FB4-97B2-4A02-B552-D329DEF32418}" srcOrd="0" destOrd="0" presId="urn:microsoft.com/office/officeart/2005/8/layout/hierarchy2"/>
    <dgm:cxn modelId="{2FB72496-031E-4C17-80E4-A0FBE2088E2C}" type="presParOf" srcId="{647A0AE3-A4C0-46F8-A56D-4D1DA7BC4F90}" destId="{0161FC94-800B-40A9-929E-C8126CEB92FB}" srcOrd="1" destOrd="0" presId="urn:microsoft.com/office/officeart/2005/8/layout/hierarchy2"/>
    <dgm:cxn modelId="{938FF88A-A0F0-48BD-A80D-1FD41EA56930}" type="presParOf" srcId="{0161FC94-800B-40A9-929E-C8126CEB92FB}" destId="{E5CE5630-AFE8-4B4B-B807-A6FB68D92BDD}" srcOrd="0" destOrd="0" presId="urn:microsoft.com/office/officeart/2005/8/layout/hierarchy2"/>
    <dgm:cxn modelId="{814665D8-6D38-4424-857A-7D0E656399DC}" type="presParOf" srcId="{E5CE5630-AFE8-4B4B-B807-A6FB68D92BDD}" destId="{751865C2-5A7F-48B2-AC1F-F4AED938EE53}" srcOrd="0" destOrd="0" presId="urn:microsoft.com/office/officeart/2005/8/layout/hierarchy2"/>
    <dgm:cxn modelId="{95A185A3-20A3-4391-907E-0F63A3DEAD87}" type="presParOf" srcId="{0161FC94-800B-40A9-929E-C8126CEB92FB}" destId="{38A120A7-F4A8-446C-BD55-69669B07C743}" srcOrd="1" destOrd="0" presId="urn:microsoft.com/office/officeart/2005/8/layout/hierarchy2"/>
    <dgm:cxn modelId="{B4D760C0-2B30-4308-B141-FD1F1C09A16B}" type="presParOf" srcId="{38A120A7-F4A8-446C-BD55-69669B07C743}" destId="{4F756954-EE5E-4F5B-AB7D-0A34E81ECA27}" srcOrd="0" destOrd="0" presId="urn:microsoft.com/office/officeart/2005/8/layout/hierarchy2"/>
    <dgm:cxn modelId="{D27836C7-5402-432A-91C2-88C05FBCC93B}" type="presParOf" srcId="{38A120A7-F4A8-446C-BD55-69669B07C743}" destId="{C83A63B0-47F9-4163-ABE8-B121528CE89F}" srcOrd="1" destOrd="0" presId="urn:microsoft.com/office/officeart/2005/8/layout/hierarchy2"/>
  </dgm:cxnLst>
  <dgm:bg/>
  <dgm:whole/>
  <dgm:extLst>
    <a:ext uri="http://schemas.microsoft.com/office/drawing/2008/diagram">
      <dsp:dataModelExt xmlns:dsp="http://schemas.microsoft.com/office/drawing/2008/diagram" relId="rId155"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F860A467-4D42-4297-ABD9-E84B4B904466}" type="doc">
      <dgm:prSet loTypeId="urn:microsoft.com/office/officeart/2005/8/layout/process1" loCatId="process" qsTypeId="urn:microsoft.com/office/officeart/2005/8/quickstyle/simple1" qsCatId="simple" csTypeId="urn:microsoft.com/office/officeart/2005/8/colors/accent4_1" csCatId="accent4" phldr="1"/>
      <dgm:spPr/>
    </dgm:pt>
    <dgm:pt modelId="{C0D37965-0218-4B9B-9295-CEE34480969D}">
      <dgm:prSet phldrT="[Текст]" custT="1"/>
      <dgm:spPr/>
      <dgm:t>
        <a:bodyPr/>
        <a:lstStyle/>
        <a:p>
          <a:r>
            <a:rPr lang="ru-RU" sz="1100" b="1">
              <a:latin typeface="Times New Roman" panose="02020603050405020304" pitchFamily="18" charset="0"/>
              <a:cs typeface="Times New Roman" panose="02020603050405020304" pitchFamily="18" charset="0"/>
            </a:rPr>
            <a:t>Постановление Губернатора Новосибирской области           от 28.12.2024 № 261</a:t>
          </a:r>
        </a:p>
      </dgm:t>
    </dgm:pt>
    <dgm:pt modelId="{161579F3-6574-4DEB-B6E7-812D201A67AC}" type="parTrans" cxnId="{EF3CB6A3-53B1-4AF5-9F79-0C20B19AA151}">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FB849C45-3488-4073-BAE0-9FCD71C7887C}" type="sibTrans" cxnId="{EF3CB6A3-53B1-4AF5-9F79-0C20B19AA151}">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D84004F1-4414-4F04-938E-F22C32D554EB}">
      <dgm:prSet phldrT="[Текст]" custT="1"/>
      <dgm:spPr/>
      <dgm:t>
        <a:bodyPr/>
        <a:lstStyle/>
        <a:p>
          <a:r>
            <a:rPr lang="ru-RU" sz="1050">
              <a:latin typeface="Times New Roman" panose="02020603050405020304" pitchFamily="18" charset="0"/>
              <a:cs typeface="Times New Roman" panose="02020603050405020304" pitchFamily="18" charset="0"/>
            </a:rPr>
            <a:t>Утверждены 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на 2025 год</a:t>
          </a:r>
        </a:p>
      </dgm:t>
    </dgm:pt>
    <dgm:pt modelId="{F95F75C6-ADF7-4BE5-B3E1-D9AEEB76B570}" type="parTrans" cxnId="{FF51B135-4C59-48EF-8D24-56F3674C7F13}">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D4663787-0391-4C1E-99A1-E919A64A882B}" type="sibTrans" cxnId="{FF51B135-4C59-48EF-8D24-56F3674C7F13}">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87119655-75F9-4E5D-82B7-FD222EA4E6DD}">
      <dgm:prSet phldrT="[Текст]" custT="1"/>
      <dgm:spPr/>
      <dgm:t>
        <a:bodyPr/>
        <a:lstStyle/>
        <a:p>
          <a:pPr>
            <a:lnSpc>
              <a:spcPct val="90000"/>
            </a:lnSpc>
            <a:spcAft>
              <a:spcPct val="35000"/>
            </a:spcAft>
          </a:pPr>
          <a:r>
            <a:rPr lang="ru-RU" sz="1000" b="1">
              <a:latin typeface="Times New Roman" panose="02020603050405020304" pitchFamily="18" charset="0"/>
              <a:cs typeface="Times New Roman" panose="02020603050405020304" pitchFamily="18" charset="0"/>
            </a:rPr>
            <a:t>с 01.07.2025             по 31.12.2025:</a:t>
          </a:r>
        </a:p>
        <a:p>
          <a:pPr>
            <a:lnSpc>
              <a:spcPct val="100000"/>
            </a:lnSpc>
            <a:spcAft>
              <a:spcPts val="0"/>
            </a:spcAft>
          </a:pPr>
          <a:endParaRPr lang="ru-RU" sz="700" b="1">
            <a:latin typeface="Times New Roman" panose="02020603050405020304" pitchFamily="18" charset="0"/>
            <a:cs typeface="Times New Roman" panose="02020603050405020304" pitchFamily="18" charset="0"/>
          </a:endParaRPr>
        </a:p>
        <a:p>
          <a:pPr>
            <a:lnSpc>
              <a:spcPct val="100000"/>
            </a:lnSpc>
            <a:spcAft>
              <a:spcPts val="0"/>
            </a:spcAft>
          </a:pPr>
          <a:r>
            <a:rPr lang="ru-RU" sz="1000" b="0" i="1">
              <a:latin typeface="Times New Roman" panose="02020603050405020304" pitchFamily="18" charset="0"/>
              <a:cs typeface="Times New Roman" panose="02020603050405020304" pitchFamily="18" charset="0"/>
            </a:rPr>
            <a:t>-12,3% для 37 </a:t>
          </a:r>
          <a:r>
            <a:rPr lang="ru-RU" sz="1000" b="0">
              <a:latin typeface="Times New Roman" panose="02020603050405020304" pitchFamily="18" charset="0"/>
              <a:cs typeface="Times New Roman" panose="02020603050405020304" pitchFamily="18" charset="0"/>
            </a:rPr>
            <a:t>муниципальных образований Новосибирской области:</a:t>
          </a:r>
        </a:p>
        <a:p>
          <a:pPr>
            <a:lnSpc>
              <a:spcPct val="100000"/>
            </a:lnSpc>
            <a:spcAft>
              <a:spcPts val="0"/>
            </a:spcAft>
          </a:pPr>
          <a:endParaRPr lang="ru-RU" sz="700" b="1">
            <a:latin typeface="Times New Roman" panose="02020603050405020304" pitchFamily="18" charset="0"/>
            <a:cs typeface="Times New Roman" panose="02020603050405020304" pitchFamily="18" charset="0"/>
          </a:endParaRPr>
        </a:p>
        <a:p>
          <a:pPr>
            <a:lnSpc>
              <a:spcPct val="100000"/>
            </a:lnSpc>
            <a:spcAft>
              <a:spcPts val="0"/>
            </a:spcAft>
          </a:pPr>
          <a:r>
            <a:rPr lang="ru-RU" sz="1000" i="1">
              <a:latin typeface="Times New Roman" panose="02020603050405020304" pitchFamily="18" charset="0"/>
              <a:cs typeface="Times New Roman" panose="02020603050405020304" pitchFamily="18" charset="0"/>
            </a:rPr>
            <a:t>- 13,5% для </a:t>
          </a:r>
          <a:r>
            <a:rPr lang="ru-RU" sz="1000" b="0" i="1">
              <a:latin typeface="Times New Roman" panose="02020603050405020304" pitchFamily="18" charset="0"/>
              <a:cs typeface="Times New Roman" panose="02020603050405020304" pitchFamily="18" charset="0"/>
            </a:rPr>
            <a:t>367</a:t>
          </a:r>
          <a:r>
            <a:rPr lang="ru-RU" sz="1000" b="1" i="1">
              <a:latin typeface="Times New Roman" panose="02020603050405020304" pitchFamily="18" charset="0"/>
              <a:cs typeface="Times New Roman" panose="02020603050405020304" pitchFamily="18" charset="0"/>
            </a:rPr>
            <a:t> </a:t>
          </a:r>
          <a:r>
            <a:rPr lang="ru-RU" sz="1000" b="0">
              <a:latin typeface="Times New Roman" panose="02020603050405020304" pitchFamily="18" charset="0"/>
              <a:cs typeface="Times New Roman" panose="02020603050405020304" pitchFamily="18" charset="0"/>
            </a:rPr>
            <a:t>муниципальных образований </a:t>
          </a:r>
          <a:r>
            <a:rPr lang="ru-RU" sz="1000">
              <a:latin typeface="Times New Roman" panose="02020603050405020304" pitchFamily="18" charset="0"/>
              <a:cs typeface="Times New Roman" panose="02020603050405020304" pitchFamily="18" charset="0"/>
            </a:rPr>
            <a:t>Новосибирской области;</a:t>
          </a:r>
        </a:p>
        <a:p>
          <a:pPr>
            <a:lnSpc>
              <a:spcPct val="100000"/>
            </a:lnSpc>
            <a:spcAft>
              <a:spcPts val="0"/>
            </a:spcAft>
          </a:pPr>
          <a:endParaRPr lang="ru-RU" sz="700">
            <a:latin typeface="Times New Roman" panose="02020603050405020304" pitchFamily="18" charset="0"/>
            <a:cs typeface="Times New Roman" panose="02020603050405020304" pitchFamily="18" charset="0"/>
          </a:endParaRPr>
        </a:p>
        <a:p>
          <a:pPr>
            <a:lnSpc>
              <a:spcPct val="100000"/>
            </a:lnSpc>
            <a:spcAft>
              <a:spcPts val="0"/>
            </a:spcAft>
          </a:pPr>
          <a:r>
            <a:rPr lang="ru-RU" sz="1000" i="1">
              <a:latin typeface="Times New Roman" panose="02020603050405020304" pitchFamily="18" charset="0"/>
              <a:cs typeface="Times New Roman" panose="02020603050405020304" pitchFamily="18" charset="0"/>
            </a:rPr>
            <a:t>- 16,7% для 11 </a:t>
          </a:r>
          <a:r>
            <a:rPr lang="ru-RU" sz="1000">
              <a:latin typeface="Times New Roman" panose="02020603050405020304" pitchFamily="18" charset="0"/>
              <a:cs typeface="Times New Roman" panose="02020603050405020304" pitchFamily="18" charset="0"/>
            </a:rPr>
            <a:t>муниципальных образований Новосибирской области.</a:t>
          </a:r>
        </a:p>
      </dgm:t>
    </dgm:pt>
    <dgm:pt modelId="{21FF34C4-75FC-4431-AA5C-9E94594FAF4D}" type="parTrans" cxnId="{7C853B51-B399-4A04-B047-DAF1083CDF5F}">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DA9E4A43-1B8E-48E4-80E4-BA8A5401AB12}" type="sibTrans" cxnId="{7C853B51-B399-4A04-B047-DAF1083CDF5F}">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A051B15C-86AF-4A5F-8A12-C6E786ECA6AD}">
      <dgm:prSet custT="1"/>
      <dgm:spPr/>
      <dgm:t>
        <a:bodyPr/>
        <a:lstStyle/>
        <a:p>
          <a:r>
            <a:rPr lang="ru-RU" sz="1000" b="1" i="0">
              <a:latin typeface="Times New Roman" panose="02020603050405020304" pitchFamily="18" charset="0"/>
              <a:cs typeface="Times New Roman" panose="02020603050405020304" pitchFamily="18" charset="0"/>
            </a:rPr>
            <a:t>с 01.01.2025         по 30.06.2025 </a:t>
          </a:r>
          <a:r>
            <a:rPr lang="ru-RU" sz="1000" b="1">
              <a:latin typeface="Times New Roman" panose="02020603050405020304" pitchFamily="18" charset="0"/>
              <a:cs typeface="Times New Roman" panose="02020603050405020304" pitchFamily="18" charset="0"/>
            </a:rPr>
            <a:t>- </a:t>
          </a:r>
          <a:r>
            <a:rPr lang="ru-RU" sz="1000" b="0" i="1">
              <a:latin typeface="Times New Roman" panose="02020603050405020304" pitchFamily="18" charset="0"/>
              <a:cs typeface="Times New Roman" panose="02020603050405020304" pitchFamily="18" charset="0"/>
            </a:rPr>
            <a:t>0% </a:t>
          </a:r>
        </a:p>
        <a:p>
          <a:endParaRPr lang="ru-RU" sz="1000" b="1">
            <a:latin typeface="Times New Roman" panose="02020603050405020304" pitchFamily="18" charset="0"/>
            <a:cs typeface="Times New Roman" panose="02020603050405020304" pitchFamily="18" charset="0"/>
          </a:endParaRPr>
        </a:p>
        <a:p>
          <a:r>
            <a:rPr lang="ru-RU" sz="1000" b="1">
              <a:latin typeface="Times New Roman" panose="02020603050405020304" pitchFamily="18" charset="0"/>
              <a:cs typeface="Times New Roman" panose="02020603050405020304" pitchFamily="18" charset="0"/>
            </a:rPr>
            <a:t>       </a:t>
          </a:r>
        </a:p>
        <a:p>
          <a:r>
            <a:rPr lang="ru-RU" sz="1000" b="1">
              <a:latin typeface="Times New Roman" panose="02020603050405020304" pitchFamily="18" charset="0"/>
              <a:cs typeface="Times New Roman" panose="02020603050405020304" pitchFamily="18" charset="0"/>
            </a:rPr>
            <a:t>                            </a:t>
          </a:r>
          <a:r>
            <a:rPr lang="ru-RU" sz="1000" i="1">
              <a:latin typeface="Times New Roman" panose="02020603050405020304" pitchFamily="18" charset="0"/>
              <a:cs typeface="Times New Roman" panose="02020603050405020304" pitchFamily="18" charset="0"/>
            </a:rPr>
            <a:t>по всем муниципальным образованиям Новосибирской области</a:t>
          </a:r>
        </a:p>
      </dgm:t>
    </dgm:pt>
    <dgm:pt modelId="{2AC8DD57-E2AF-45D0-A58D-27B812530715}" type="parTrans" cxnId="{89654068-5433-4F95-920A-FA3758D6F186}">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690B5D42-BC56-45EE-8BDC-9EA1DD9CD3E7}" type="sibTrans" cxnId="{89654068-5433-4F95-920A-FA3758D6F186}">
      <dgm:prSet/>
      <dgm:spPr/>
      <dgm:t>
        <a:bodyPr/>
        <a:lstStyle/>
        <a:p>
          <a:endParaRPr lang="ru-RU">
            <a:solidFill>
              <a:sysClr val="windowText" lastClr="000000"/>
            </a:solidFill>
            <a:latin typeface="Times New Roman" panose="02020603050405020304" pitchFamily="18" charset="0"/>
            <a:cs typeface="Times New Roman" panose="02020603050405020304" pitchFamily="18" charset="0"/>
          </a:endParaRPr>
        </a:p>
      </dgm:t>
    </dgm:pt>
    <dgm:pt modelId="{C67DC9B2-EBE4-4B29-94A8-0CF3AD616660}" type="pres">
      <dgm:prSet presAssocID="{F860A467-4D42-4297-ABD9-E84B4B904466}" presName="Name0" presStyleCnt="0">
        <dgm:presLayoutVars>
          <dgm:dir/>
          <dgm:resizeHandles val="exact"/>
        </dgm:presLayoutVars>
      </dgm:prSet>
      <dgm:spPr/>
    </dgm:pt>
    <dgm:pt modelId="{15D05085-E7E8-4D2C-A3F9-19AAE4F379AB}" type="pres">
      <dgm:prSet presAssocID="{C0D37965-0218-4B9B-9295-CEE34480969D}" presName="node" presStyleLbl="node1" presStyleIdx="0" presStyleCnt="4">
        <dgm:presLayoutVars>
          <dgm:bulletEnabled val="1"/>
        </dgm:presLayoutVars>
      </dgm:prSet>
      <dgm:spPr/>
      <dgm:t>
        <a:bodyPr/>
        <a:lstStyle/>
        <a:p>
          <a:endParaRPr lang="ru-RU"/>
        </a:p>
      </dgm:t>
    </dgm:pt>
    <dgm:pt modelId="{0B6D4FDA-15BD-43DE-A7CA-7596CEA8BF30}" type="pres">
      <dgm:prSet presAssocID="{FB849C45-3488-4073-BAE0-9FCD71C7887C}" presName="sibTrans" presStyleLbl="sibTrans2D1" presStyleIdx="0" presStyleCnt="3"/>
      <dgm:spPr/>
      <dgm:t>
        <a:bodyPr/>
        <a:lstStyle/>
        <a:p>
          <a:endParaRPr lang="ru-RU"/>
        </a:p>
      </dgm:t>
    </dgm:pt>
    <dgm:pt modelId="{E83763B5-2848-4CAA-A08E-899BB965BDAE}" type="pres">
      <dgm:prSet presAssocID="{FB849C45-3488-4073-BAE0-9FCD71C7887C}" presName="connectorText" presStyleLbl="sibTrans2D1" presStyleIdx="0" presStyleCnt="3"/>
      <dgm:spPr/>
      <dgm:t>
        <a:bodyPr/>
        <a:lstStyle/>
        <a:p>
          <a:endParaRPr lang="ru-RU"/>
        </a:p>
      </dgm:t>
    </dgm:pt>
    <dgm:pt modelId="{23486631-1C2D-42AC-B9A7-60968D18BBB3}" type="pres">
      <dgm:prSet presAssocID="{D84004F1-4414-4F04-938E-F22C32D554EB}" presName="node" presStyleLbl="node1" presStyleIdx="1" presStyleCnt="4">
        <dgm:presLayoutVars>
          <dgm:bulletEnabled val="1"/>
        </dgm:presLayoutVars>
      </dgm:prSet>
      <dgm:spPr/>
      <dgm:t>
        <a:bodyPr/>
        <a:lstStyle/>
        <a:p>
          <a:endParaRPr lang="ru-RU"/>
        </a:p>
      </dgm:t>
    </dgm:pt>
    <dgm:pt modelId="{A39F4EAA-A5CE-4A15-B276-F510A74679C3}" type="pres">
      <dgm:prSet presAssocID="{D4663787-0391-4C1E-99A1-E919A64A882B}" presName="sibTrans" presStyleLbl="sibTrans2D1" presStyleIdx="1" presStyleCnt="3"/>
      <dgm:spPr/>
      <dgm:t>
        <a:bodyPr/>
        <a:lstStyle/>
        <a:p>
          <a:endParaRPr lang="ru-RU"/>
        </a:p>
      </dgm:t>
    </dgm:pt>
    <dgm:pt modelId="{66906115-B9A2-42C6-871E-E46EA9A3F4A5}" type="pres">
      <dgm:prSet presAssocID="{D4663787-0391-4C1E-99A1-E919A64A882B}" presName="connectorText" presStyleLbl="sibTrans2D1" presStyleIdx="1" presStyleCnt="3"/>
      <dgm:spPr/>
      <dgm:t>
        <a:bodyPr/>
        <a:lstStyle/>
        <a:p>
          <a:endParaRPr lang="ru-RU"/>
        </a:p>
      </dgm:t>
    </dgm:pt>
    <dgm:pt modelId="{2EC5753C-4463-4A48-AE87-C378BCF78380}" type="pres">
      <dgm:prSet presAssocID="{A051B15C-86AF-4A5F-8A12-C6E786ECA6AD}" presName="node" presStyleLbl="node1" presStyleIdx="2" presStyleCnt="4">
        <dgm:presLayoutVars>
          <dgm:bulletEnabled val="1"/>
        </dgm:presLayoutVars>
      </dgm:prSet>
      <dgm:spPr/>
      <dgm:t>
        <a:bodyPr/>
        <a:lstStyle/>
        <a:p>
          <a:endParaRPr lang="ru-RU"/>
        </a:p>
      </dgm:t>
    </dgm:pt>
    <dgm:pt modelId="{18D31D15-AF26-429E-AF15-4C1294EFFF1A}" type="pres">
      <dgm:prSet presAssocID="{690B5D42-BC56-45EE-8BDC-9EA1DD9CD3E7}" presName="sibTrans" presStyleLbl="sibTrans2D1" presStyleIdx="2" presStyleCnt="3"/>
      <dgm:spPr/>
      <dgm:t>
        <a:bodyPr/>
        <a:lstStyle/>
        <a:p>
          <a:endParaRPr lang="ru-RU"/>
        </a:p>
      </dgm:t>
    </dgm:pt>
    <dgm:pt modelId="{054AB866-1347-4C8E-B8B2-B9CAF1D27B0E}" type="pres">
      <dgm:prSet presAssocID="{690B5D42-BC56-45EE-8BDC-9EA1DD9CD3E7}" presName="connectorText" presStyleLbl="sibTrans2D1" presStyleIdx="2" presStyleCnt="3"/>
      <dgm:spPr/>
      <dgm:t>
        <a:bodyPr/>
        <a:lstStyle/>
        <a:p>
          <a:endParaRPr lang="ru-RU"/>
        </a:p>
      </dgm:t>
    </dgm:pt>
    <dgm:pt modelId="{8DB9B792-CB5B-4FA8-B33F-84E09157C441}" type="pres">
      <dgm:prSet presAssocID="{87119655-75F9-4E5D-82B7-FD222EA4E6DD}" presName="node" presStyleLbl="node1" presStyleIdx="3" presStyleCnt="4">
        <dgm:presLayoutVars>
          <dgm:bulletEnabled val="1"/>
        </dgm:presLayoutVars>
      </dgm:prSet>
      <dgm:spPr/>
      <dgm:t>
        <a:bodyPr/>
        <a:lstStyle/>
        <a:p>
          <a:endParaRPr lang="ru-RU"/>
        </a:p>
      </dgm:t>
    </dgm:pt>
  </dgm:ptLst>
  <dgm:cxnLst>
    <dgm:cxn modelId="{FF51B135-4C59-48EF-8D24-56F3674C7F13}" srcId="{F860A467-4D42-4297-ABD9-E84B4B904466}" destId="{D84004F1-4414-4F04-938E-F22C32D554EB}" srcOrd="1" destOrd="0" parTransId="{F95F75C6-ADF7-4BE5-B3E1-D9AEEB76B570}" sibTransId="{D4663787-0391-4C1E-99A1-E919A64A882B}"/>
    <dgm:cxn modelId="{1D5182DC-FB77-43CF-AFC8-DF59BED851C9}" type="presOf" srcId="{D84004F1-4414-4F04-938E-F22C32D554EB}" destId="{23486631-1C2D-42AC-B9A7-60968D18BBB3}" srcOrd="0" destOrd="0" presId="urn:microsoft.com/office/officeart/2005/8/layout/process1"/>
    <dgm:cxn modelId="{C86CF2CC-1C56-4DED-ADAC-D366EC563846}" type="presOf" srcId="{690B5D42-BC56-45EE-8BDC-9EA1DD9CD3E7}" destId="{18D31D15-AF26-429E-AF15-4C1294EFFF1A}" srcOrd="0" destOrd="0" presId="urn:microsoft.com/office/officeart/2005/8/layout/process1"/>
    <dgm:cxn modelId="{89654068-5433-4F95-920A-FA3758D6F186}" srcId="{F860A467-4D42-4297-ABD9-E84B4B904466}" destId="{A051B15C-86AF-4A5F-8A12-C6E786ECA6AD}" srcOrd="2" destOrd="0" parTransId="{2AC8DD57-E2AF-45D0-A58D-27B812530715}" sibTransId="{690B5D42-BC56-45EE-8BDC-9EA1DD9CD3E7}"/>
    <dgm:cxn modelId="{B0721B23-2B4E-448D-AC55-29A3539EF017}" type="presOf" srcId="{FB849C45-3488-4073-BAE0-9FCD71C7887C}" destId="{0B6D4FDA-15BD-43DE-A7CA-7596CEA8BF30}" srcOrd="0" destOrd="0" presId="urn:microsoft.com/office/officeart/2005/8/layout/process1"/>
    <dgm:cxn modelId="{7C853B51-B399-4A04-B047-DAF1083CDF5F}" srcId="{F860A467-4D42-4297-ABD9-E84B4B904466}" destId="{87119655-75F9-4E5D-82B7-FD222EA4E6DD}" srcOrd="3" destOrd="0" parTransId="{21FF34C4-75FC-4431-AA5C-9E94594FAF4D}" sibTransId="{DA9E4A43-1B8E-48E4-80E4-BA8A5401AB12}"/>
    <dgm:cxn modelId="{EF3CB6A3-53B1-4AF5-9F79-0C20B19AA151}" srcId="{F860A467-4D42-4297-ABD9-E84B4B904466}" destId="{C0D37965-0218-4B9B-9295-CEE34480969D}" srcOrd="0" destOrd="0" parTransId="{161579F3-6574-4DEB-B6E7-812D201A67AC}" sibTransId="{FB849C45-3488-4073-BAE0-9FCD71C7887C}"/>
    <dgm:cxn modelId="{77CCD94F-9A5B-4A58-A014-0D179510198A}" type="presOf" srcId="{FB849C45-3488-4073-BAE0-9FCD71C7887C}" destId="{E83763B5-2848-4CAA-A08E-899BB965BDAE}" srcOrd="1" destOrd="0" presId="urn:microsoft.com/office/officeart/2005/8/layout/process1"/>
    <dgm:cxn modelId="{12E35D8B-51ED-4654-8A9F-3A37713CECF4}" type="presOf" srcId="{87119655-75F9-4E5D-82B7-FD222EA4E6DD}" destId="{8DB9B792-CB5B-4FA8-B33F-84E09157C441}" srcOrd="0" destOrd="0" presId="urn:microsoft.com/office/officeart/2005/8/layout/process1"/>
    <dgm:cxn modelId="{ECAEB654-61D0-482C-A31F-A3275300F57C}" type="presOf" srcId="{F860A467-4D42-4297-ABD9-E84B4B904466}" destId="{C67DC9B2-EBE4-4B29-94A8-0CF3AD616660}" srcOrd="0" destOrd="0" presId="urn:microsoft.com/office/officeart/2005/8/layout/process1"/>
    <dgm:cxn modelId="{EB631812-9B3F-4BD2-AF18-2C74A21D3A7E}" type="presOf" srcId="{A051B15C-86AF-4A5F-8A12-C6E786ECA6AD}" destId="{2EC5753C-4463-4A48-AE87-C378BCF78380}" srcOrd="0" destOrd="0" presId="urn:microsoft.com/office/officeart/2005/8/layout/process1"/>
    <dgm:cxn modelId="{02304EE7-B5B0-4EE2-9AAD-554F6FA003F1}" type="presOf" srcId="{D4663787-0391-4C1E-99A1-E919A64A882B}" destId="{A39F4EAA-A5CE-4A15-B276-F510A74679C3}" srcOrd="0" destOrd="0" presId="urn:microsoft.com/office/officeart/2005/8/layout/process1"/>
    <dgm:cxn modelId="{25182FCC-80F5-4AA4-93DC-4668FAA9535D}" type="presOf" srcId="{D4663787-0391-4C1E-99A1-E919A64A882B}" destId="{66906115-B9A2-42C6-871E-E46EA9A3F4A5}" srcOrd="1" destOrd="0" presId="urn:microsoft.com/office/officeart/2005/8/layout/process1"/>
    <dgm:cxn modelId="{D4F7CA4C-1D95-4BCE-9C16-6829036E5DCE}" type="presOf" srcId="{690B5D42-BC56-45EE-8BDC-9EA1DD9CD3E7}" destId="{054AB866-1347-4C8E-B8B2-B9CAF1D27B0E}" srcOrd="1" destOrd="0" presId="urn:microsoft.com/office/officeart/2005/8/layout/process1"/>
    <dgm:cxn modelId="{AA819AF8-7E4E-4B00-82E1-5B34CC2D6F4A}" type="presOf" srcId="{C0D37965-0218-4B9B-9295-CEE34480969D}" destId="{15D05085-E7E8-4D2C-A3F9-19AAE4F379AB}" srcOrd="0" destOrd="0" presId="urn:microsoft.com/office/officeart/2005/8/layout/process1"/>
    <dgm:cxn modelId="{C561B6EF-0F25-47BE-A6A6-BEFDABACF429}" type="presParOf" srcId="{C67DC9B2-EBE4-4B29-94A8-0CF3AD616660}" destId="{15D05085-E7E8-4D2C-A3F9-19AAE4F379AB}" srcOrd="0" destOrd="0" presId="urn:microsoft.com/office/officeart/2005/8/layout/process1"/>
    <dgm:cxn modelId="{A9977702-959D-4354-B314-279D0CA0148B}" type="presParOf" srcId="{C67DC9B2-EBE4-4B29-94A8-0CF3AD616660}" destId="{0B6D4FDA-15BD-43DE-A7CA-7596CEA8BF30}" srcOrd="1" destOrd="0" presId="urn:microsoft.com/office/officeart/2005/8/layout/process1"/>
    <dgm:cxn modelId="{953C8237-8267-408C-88E8-8BCD469FB802}" type="presParOf" srcId="{0B6D4FDA-15BD-43DE-A7CA-7596CEA8BF30}" destId="{E83763B5-2848-4CAA-A08E-899BB965BDAE}" srcOrd="0" destOrd="0" presId="urn:microsoft.com/office/officeart/2005/8/layout/process1"/>
    <dgm:cxn modelId="{5F31031A-444A-4965-B162-533F04A2C0B2}" type="presParOf" srcId="{C67DC9B2-EBE4-4B29-94A8-0CF3AD616660}" destId="{23486631-1C2D-42AC-B9A7-60968D18BBB3}" srcOrd="2" destOrd="0" presId="urn:microsoft.com/office/officeart/2005/8/layout/process1"/>
    <dgm:cxn modelId="{4465DA1D-8A71-423B-AC07-190D09849075}" type="presParOf" srcId="{C67DC9B2-EBE4-4B29-94A8-0CF3AD616660}" destId="{A39F4EAA-A5CE-4A15-B276-F510A74679C3}" srcOrd="3" destOrd="0" presId="urn:microsoft.com/office/officeart/2005/8/layout/process1"/>
    <dgm:cxn modelId="{582383E9-9096-4BF4-AEBD-8D5C70E84172}" type="presParOf" srcId="{A39F4EAA-A5CE-4A15-B276-F510A74679C3}" destId="{66906115-B9A2-42C6-871E-E46EA9A3F4A5}" srcOrd="0" destOrd="0" presId="urn:microsoft.com/office/officeart/2005/8/layout/process1"/>
    <dgm:cxn modelId="{429DA128-12B5-47C3-B046-688E1B8783C9}" type="presParOf" srcId="{C67DC9B2-EBE4-4B29-94A8-0CF3AD616660}" destId="{2EC5753C-4463-4A48-AE87-C378BCF78380}" srcOrd="4" destOrd="0" presId="urn:microsoft.com/office/officeart/2005/8/layout/process1"/>
    <dgm:cxn modelId="{C39E9D58-230E-42AC-9426-19CD2969201B}" type="presParOf" srcId="{C67DC9B2-EBE4-4B29-94A8-0CF3AD616660}" destId="{18D31D15-AF26-429E-AF15-4C1294EFFF1A}" srcOrd="5" destOrd="0" presId="urn:microsoft.com/office/officeart/2005/8/layout/process1"/>
    <dgm:cxn modelId="{D30C309C-E6B8-4BE6-87E3-BB1677322BC4}" type="presParOf" srcId="{18D31D15-AF26-429E-AF15-4C1294EFFF1A}" destId="{054AB866-1347-4C8E-B8B2-B9CAF1D27B0E}" srcOrd="0" destOrd="0" presId="urn:microsoft.com/office/officeart/2005/8/layout/process1"/>
    <dgm:cxn modelId="{D740B16A-8193-45AF-B3DF-82AB9D4F050A}" type="presParOf" srcId="{C67DC9B2-EBE4-4B29-94A8-0CF3AD616660}" destId="{8DB9B792-CB5B-4FA8-B33F-84E09157C441}" srcOrd="6" destOrd="0" presId="urn:microsoft.com/office/officeart/2005/8/layout/process1"/>
  </dgm:cxnLst>
  <dgm:bg/>
  <dgm:whole/>
  <dgm:extLst>
    <a:ext uri="http://schemas.microsoft.com/office/drawing/2008/diagram">
      <dsp:dataModelExt xmlns:dsp="http://schemas.microsoft.com/office/drawing/2008/diagram" relId="rId16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66CCE3-1C05-49E0-A0E1-1EAB7A7210DA}">
      <dsp:nvSpPr>
        <dsp:cNvPr id="0" name=""/>
        <dsp:cNvSpPr/>
      </dsp:nvSpPr>
      <dsp:spPr>
        <a:xfrm rot="5400000">
          <a:off x="-137892" y="138899"/>
          <a:ext cx="919285" cy="643499"/>
        </a:xfrm>
        <a:prstGeom prst="chevron">
          <a:avLst/>
        </a:prstGeom>
        <a:solidFill>
          <a:schemeClr val="accent3">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a:solidFill>
                <a:schemeClr val="accent3"/>
              </a:solidFill>
              <a:latin typeface="Times New Roman" panose="02020603050405020304" pitchFamily="18" charset="0"/>
              <a:cs typeface="Times New Roman" panose="02020603050405020304" pitchFamily="18" charset="0"/>
            </a:rPr>
            <a:t>1</a:t>
          </a:r>
        </a:p>
      </dsp:txBody>
      <dsp:txXfrm rot="-5400000">
        <a:off x="2" y="322756"/>
        <a:ext cx="643499" cy="275786"/>
      </dsp:txXfrm>
    </dsp:sp>
    <dsp:sp modelId="{4A101352-3CA3-47F5-A1DD-F3C50386993A}">
      <dsp:nvSpPr>
        <dsp:cNvPr id="0" name=""/>
        <dsp:cNvSpPr/>
      </dsp:nvSpPr>
      <dsp:spPr>
        <a:xfrm rot="5400000">
          <a:off x="2977197" y="-2332691"/>
          <a:ext cx="597535" cy="5264931"/>
        </a:xfrm>
        <a:prstGeom prst="round2Same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Федеральный закон от 24.06.1998 № 89-ФЗ «Об отходах производства            и потребления»</a:t>
          </a:r>
        </a:p>
      </dsp:txBody>
      <dsp:txXfrm rot="-5400000">
        <a:off x="643500" y="30175"/>
        <a:ext cx="5235762" cy="539197"/>
      </dsp:txXfrm>
    </dsp:sp>
    <dsp:sp modelId="{827D2270-D5FD-4E28-A568-E4B7FE1963A5}">
      <dsp:nvSpPr>
        <dsp:cNvPr id="0" name=""/>
        <dsp:cNvSpPr/>
      </dsp:nvSpPr>
      <dsp:spPr>
        <a:xfrm rot="5400000">
          <a:off x="-137892" y="847626"/>
          <a:ext cx="919285" cy="643499"/>
        </a:xfrm>
        <a:prstGeom prst="chevron">
          <a:avLst/>
        </a:prstGeom>
        <a:solidFill>
          <a:schemeClr val="accent3">
            <a:hueOff val="5625132"/>
            <a:satOff val="-8440"/>
            <a:lumOff val="-1373"/>
            <a:alphaOff val="0"/>
          </a:schemeClr>
        </a:solidFill>
        <a:ln w="25400" cap="flat" cmpd="sng" algn="ctr">
          <a:solidFill>
            <a:schemeClr val="accent3">
              <a:hueOff val="5625132"/>
              <a:satOff val="-8440"/>
              <a:lumOff val="-1373"/>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a:solidFill>
                <a:srgbClr val="5EAFA6"/>
              </a:solidFill>
              <a:latin typeface="Times New Roman" panose="02020603050405020304" pitchFamily="18" charset="0"/>
              <a:cs typeface="Times New Roman" panose="02020603050405020304" pitchFamily="18" charset="0"/>
            </a:rPr>
            <a:t>4</a:t>
          </a:r>
        </a:p>
      </dsp:txBody>
      <dsp:txXfrm rot="-5400000">
        <a:off x="2" y="1031483"/>
        <a:ext cx="643499" cy="275786"/>
      </dsp:txXfrm>
    </dsp:sp>
    <dsp:sp modelId="{5C4C1EC4-876D-41C6-9B0C-5FA3E347E763}">
      <dsp:nvSpPr>
        <dsp:cNvPr id="0" name=""/>
        <dsp:cNvSpPr/>
      </dsp:nvSpPr>
      <dsp:spPr>
        <a:xfrm rot="5400000">
          <a:off x="2977197" y="-1623964"/>
          <a:ext cx="597535" cy="5264931"/>
        </a:xfrm>
        <a:prstGeom prst="round2SameRect">
          <a:avLst/>
        </a:prstGeom>
        <a:solidFill>
          <a:schemeClr val="lt1">
            <a:alpha val="90000"/>
            <a:hueOff val="0"/>
            <a:satOff val="0"/>
            <a:lumOff val="0"/>
            <a:alphaOff val="0"/>
          </a:schemeClr>
        </a:solidFill>
        <a:ln w="25400" cap="flat" cmpd="sng" algn="ctr">
          <a:solidFill>
            <a:schemeClr val="accent3">
              <a:hueOff val="5625132"/>
              <a:satOff val="-8440"/>
              <a:lumOff val="-1373"/>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Постановление Правительства РФ от 30.05.2016  № 484 «О ценообразовании в области обращения с твердыми коммунальными отходами»</a:t>
          </a:r>
        </a:p>
      </dsp:txBody>
      <dsp:txXfrm rot="-5400000">
        <a:off x="643500" y="738902"/>
        <a:ext cx="5235762" cy="539197"/>
      </dsp:txXfrm>
    </dsp:sp>
    <dsp:sp modelId="{657CBE1B-30AB-43BE-B0A8-E403D1E9D025}">
      <dsp:nvSpPr>
        <dsp:cNvPr id="0" name=""/>
        <dsp:cNvSpPr/>
      </dsp:nvSpPr>
      <dsp:spPr>
        <a:xfrm rot="5400000">
          <a:off x="-137892" y="1556354"/>
          <a:ext cx="919285" cy="643499"/>
        </a:xfrm>
        <a:prstGeom prst="chevron">
          <a:avLst/>
        </a:prstGeom>
        <a:solidFill>
          <a:schemeClr val="accent3">
            <a:hueOff val="11250264"/>
            <a:satOff val="-16880"/>
            <a:lumOff val="-2745"/>
            <a:alphaOff val="0"/>
          </a:schemeClr>
        </a:solidFill>
        <a:ln w="25400" cap="flat" cmpd="sng" algn="ctr">
          <a:solidFill>
            <a:schemeClr val="accent3">
              <a:hueOff val="11250264"/>
              <a:satOff val="-16880"/>
              <a:lumOff val="-2745"/>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a:solidFill>
                <a:srgbClr val="8064A2"/>
              </a:solidFill>
              <a:latin typeface="Times New Roman" panose="02020603050405020304" pitchFamily="18" charset="0"/>
              <a:cs typeface="Times New Roman" panose="02020603050405020304" pitchFamily="18" charset="0"/>
            </a:rPr>
            <a:t>3</a:t>
          </a:r>
        </a:p>
      </dsp:txBody>
      <dsp:txXfrm rot="-5400000">
        <a:off x="2" y="1740211"/>
        <a:ext cx="643499" cy="275786"/>
      </dsp:txXfrm>
    </dsp:sp>
    <dsp:sp modelId="{94719D6F-4CF5-44CC-BE1B-3E50B87235EA}">
      <dsp:nvSpPr>
        <dsp:cNvPr id="0" name=""/>
        <dsp:cNvSpPr/>
      </dsp:nvSpPr>
      <dsp:spPr>
        <a:xfrm rot="5400000">
          <a:off x="2977197" y="-915236"/>
          <a:ext cx="597535" cy="5264931"/>
        </a:xfrm>
        <a:prstGeom prst="round2SameRect">
          <a:avLst/>
        </a:prstGeom>
        <a:solidFill>
          <a:schemeClr val="lt1">
            <a:alpha val="90000"/>
            <a:hueOff val="0"/>
            <a:satOff val="0"/>
            <a:lumOff val="0"/>
            <a:alphaOff val="0"/>
          </a:schemeClr>
        </a:solidFill>
        <a:ln w="25400" cap="flat" cmpd="sng" algn="ctr">
          <a:solidFill>
            <a:schemeClr val="accent3">
              <a:hueOff val="11250264"/>
              <a:satOff val="-16880"/>
              <a:lumOff val="-2745"/>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Приказ Федеральной антимонопольной службы от 21.11.2016 №1638/16    «Об утверждении методических указаний по расчету регулируемых тарифов в области обращения с твердыми коммунальными отходами»</a:t>
          </a:r>
        </a:p>
      </dsp:txBody>
      <dsp:txXfrm rot="-5400000">
        <a:off x="643500" y="1447630"/>
        <a:ext cx="5235762" cy="53919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F7D6C1E-58ED-42F5-B738-0E9632351ADB}">
      <dsp:nvSpPr>
        <dsp:cNvPr id="0" name=""/>
        <dsp:cNvSpPr/>
      </dsp:nvSpPr>
      <dsp:spPr>
        <a:xfrm>
          <a:off x="1782569" y="1036064"/>
          <a:ext cx="1170984" cy="846748"/>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Виды</a:t>
          </a:r>
          <a:r>
            <a:rPr lang="ru-RU" sz="1000" b="1" kern="1200" baseline="0">
              <a:latin typeface="Times New Roman" panose="02020603050405020304" pitchFamily="18" charset="0"/>
              <a:cs typeface="Times New Roman" panose="02020603050405020304" pitchFamily="18" charset="0"/>
            </a:rPr>
            <a:t> тарифов, подлежащие регулированию</a:t>
          </a:r>
          <a:endParaRPr lang="ru-RU" sz="1000" b="1" kern="1200">
            <a:latin typeface="Times New Roman" panose="02020603050405020304" pitchFamily="18" charset="0"/>
            <a:cs typeface="Times New Roman" panose="02020603050405020304" pitchFamily="18" charset="0"/>
          </a:endParaRPr>
        </a:p>
      </dsp:txBody>
      <dsp:txXfrm>
        <a:off x="1823904" y="1077399"/>
        <a:ext cx="1088314" cy="764078"/>
      </dsp:txXfrm>
    </dsp:sp>
    <dsp:sp modelId="{16DD21F2-3281-4D9C-B626-C8DB15395231}">
      <dsp:nvSpPr>
        <dsp:cNvPr id="0" name=""/>
        <dsp:cNvSpPr/>
      </dsp:nvSpPr>
      <dsp:spPr>
        <a:xfrm rot="16200000">
          <a:off x="2192167" y="860170"/>
          <a:ext cx="351788" cy="0"/>
        </a:xfrm>
        <a:custGeom>
          <a:avLst/>
          <a:gdLst/>
          <a:ahLst/>
          <a:cxnLst/>
          <a:rect l="0" t="0" r="0" b="0"/>
          <a:pathLst>
            <a:path>
              <a:moveTo>
                <a:pt x="0" y="0"/>
              </a:moveTo>
              <a:lnTo>
                <a:pt x="351788" y="0"/>
              </a:lnTo>
            </a:path>
          </a:pathLst>
        </a:custGeom>
        <a:noFill/>
        <a:ln w="25400" cap="flat" cmpd="sng" algn="ctr">
          <a:solidFill>
            <a:schemeClr val="accent4">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F4EE23C-C9E3-4A2E-8E45-0EA640CE2EF3}">
      <dsp:nvSpPr>
        <dsp:cNvPr id="0" name=""/>
        <dsp:cNvSpPr/>
      </dsp:nvSpPr>
      <dsp:spPr>
        <a:xfrm>
          <a:off x="1606872" y="-34798"/>
          <a:ext cx="1522377" cy="719074"/>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355600">
            <a:lnSpc>
              <a:spcPct val="90000"/>
            </a:lnSpc>
            <a:spcBef>
              <a:spcPct val="0"/>
            </a:spcBef>
            <a:spcAft>
              <a:spcPct val="35000"/>
            </a:spcAft>
          </a:pPr>
          <a:r>
            <a:rPr lang="ru-RU" sz="800" kern="1200">
              <a:latin typeface="Times New Roman" panose="02020603050405020304" pitchFamily="18" charset="0"/>
              <a:cs typeface="Times New Roman" panose="02020603050405020304" pitchFamily="18" charset="0"/>
            </a:rPr>
            <a:t>единый тариф на услугу регионального оператора         по обращению с ТКО</a:t>
          </a:r>
        </a:p>
      </dsp:txBody>
      <dsp:txXfrm>
        <a:off x="1641974" y="304"/>
        <a:ext cx="1452173" cy="648870"/>
      </dsp:txXfrm>
    </dsp:sp>
    <dsp:sp modelId="{74339BC8-06AD-4882-911E-5FA53EF02DB6}">
      <dsp:nvSpPr>
        <dsp:cNvPr id="0" name=""/>
        <dsp:cNvSpPr/>
      </dsp:nvSpPr>
      <dsp:spPr>
        <a:xfrm rot="20818756">
          <a:off x="2950120" y="1293959"/>
          <a:ext cx="267057" cy="0"/>
        </a:xfrm>
        <a:custGeom>
          <a:avLst/>
          <a:gdLst/>
          <a:ahLst/>
          <a:cxnLst/>
          <a:rect l="0" t="0" r="0" b="0"/>
          <a:pathLst>
            <a:path>
              <a:moveTo>
                <a:pt x="0" y="0"/>
              </a:moveTo>
              <a:lnTo>
                <a:pt x="267057" y="0"/>
              </a:lnTo>
            </a:path>
          </a:pathLst>
        </a:custGeom>
        <a:noFill/>
        <a:ln w="25400" cap="flat" cmpd="sng" algn="ctr">
          <a:solidFill>
            <a:schemeClr val="accent4">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610F5C-CD2D-426F-9C13-64666AD199D4}">
      <dsp:nvSpPr>
        <dsp:cNvPr id="0" name=""/>
        <dsp:cNvSpPr/>
      </dsp:nvSpPr>
      <dsp:spPr>
        <a:xfrm>
          <a:off x="3213745" y="728313"/>
          <a:ext cx="1522377" cy="719074"/>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355600">
            <a:lnSpc>
              <a:spcPct val="90000"/>
            </a:lnSpc>
            <a:spcBef>
              <a:spcPct val="0"/>
            </a:spcBef>
            <a:spcAft>
              <a:spcPct val="35000"/>
            </a:spcAft>
          </a:pPr>
          <a:r>
            <a:rPr lang="ru-RU" sz="800" kern="1200">
              <a:latin typeface="Times New Roman" panose="02020603050405020304" pitchFamily="18" charset="0"/>
              <a:cs typeface="Times New Roman" panose="02020603050405020304" pitchFamily="18" charset="0"/>
            </a:rPr>
            <a:t>тариф на обезвреживание ТКО</a:t>
          </a:r>
        </a:p>
      </dsp:txBody>
      <dsp:txXfrm>
        <a:off x="3248847" y="763415"/>
        <a:ext cx="1452173" cy="648870"/>
      </dsp:txXfrm>
    </dsp:sp>
    <dsp:sp modelId="{AEE49244-FC25-4070-9ED4-CB551FF810DD}">
      <dsp:nvSpPr>
        <dsp:cNvPr id="0" name=""/>
        <dsp:cNvSpPr/>
      </dsp:nvSpPr>
      <dsp:spPr>
        <a:xfrm rot="2057400">
          <a:off x="2934364" y="1920887"/>
          <a:ext cx="220819" cy="0"/>
        </a:xfrm>
        <a:custGeom>
          <a:avLst/>
          <a:gdLst/>
          <a:ahLst/>
          <a:cxnLst/>
          <a:rect l="0" t="0" r="0" b="0"/>
          <a:pathLst>
            <a:path>
              <a:moveTo>
                <a:pt x="0" y="0"/>
              </a:moveTo>
              <a:lnTo>
                <a:pt x="220819" y="0"/>
              </a:lnTo>
            </a:path>
          </a:pathLst>
        </a:custGeom>
        <a:noFill/>
        <a:ln w="25400" cap="flat" cmpd="sng" algn="ctr">
          <a:solidFill>
            <a:schemeClr val="accent4">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E05F464-0FD1-4E32-ADEA-82E7B4293FF2}">
      <dsp:nvSpPr>
        <dsp:cNvPr id="0" name=""/>
        <dsp:cNvSpPr/>
      </dsp:nvSpPr>
      <dsp:spPr>
        <a:xfrm>
          <a:off x="2902064" y="1983090"/>
          <a:ext cx="1522377" cy="719074"/>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355600">
            <a:lnSpc>
              <a:spcPct val="90000"/>
            </a:lnSpc>
            <a:spcBef>
              <a:spcPct val="0"/>
            </a:spcBef>
            <a:spcAft>
              <a:spcPct val="35000"/>
            </a:spcAft>
          </a:pPr>
          <a:r>
            <a:rPr lang="ru-RU" sz="800" kern="1200">
              <a:latin typeface="Times New Roman" panose="02020603050405020304" pitchFamily="18" charset="0"/>
              <a:cs typeface="Times New Roman" panose="02020603050405020304" pitchFamily="18" charset="0"/>
            </a:rPr>
            <a:t>тариф на энергетическую утилизацию</a:t>
          </a:r>
        </a:p>
      </dsp:txBody>
      <dsp:txXfrm>
        <a:off x="2937166" y="2018192"/>
        <a:ext cx="1452173" cy="648870"/>
      </dsp:txXfrm>
    </dsp:sp>
    <dsp:sp modelId="{503397A3-6133-4CF6-84E5-B9F758D878DF}">
      <dsp:nvSpPr>
        <dsp:cNvPr id="0" name=""/>
        <dsp:cNvSpPr/>
      </dsp:nvSpPr>
      <dsp:spPr>
        <a:xfrm rot="8768196">
          <a:off x="1567795" y="1917713"/>
          <a:ext cx="234677" cy="0"/>
        </a:xfrm>
        <a:custGeom>
          <a:avLst/>
          <a:gdLst/>
          <a:ahLst/>
          <a:cxnLst/>
          <a:rect l="0" t="0" r="0" b="0"/>
          <a:pathLst>
            <a:path>
              <a:moveTo>
                <a:pt x="0" y="0"/>
              </a:moveTo>
              <a:lnTo>
                <a:pt x="234677" y="0"/>
              </a:lnTo>
            </a:path>
          </a:pathLst>
        </a:custGeom>
        <a:noFill/>
        <a:ln w="25400" cap="flat" cmpd="sng" algn="ctr">
          <a:solidFill>
            <a:schemeClr val="accent4">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D2AFAE2-2B00-4D1D-8D15-CE13FD53D9AE}">
      <dsp:nvSpPr>
        <dsp:cNvPr id="0" name=""/>
        <dsp:cNvSpPr/>
      </dsp:nvSpPr>
      <dsp:spPr>
        <a:xfrm>
          <a:off x="290724" y="1983096"/>
          <a:ext cx="1522377" cy="719074"/>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355600">
            <a:lnSpc>
              <a:spcPct val="90000"/>
            </a:lnSpc>
            <a:spcBef>
              <a:spcPct val="0"/>
            </a:spcBef>
            <a:spcAft>
              <a:spcPct val="35000"/>
            </a:spcAft>
          </a:pPr>
          <a:r>
            <a:rPr lang="ru-RU" sz="800" kern="1200">
              <a:latin typeface="Times New Roman" panose="02020603050405020304" pitchFamily="18" charset="0"/>
              <a:cs typeface="Times New Roman" panose="02020603050405020304" pitchFamily="18" charset="0"/>
            </a:rPr>
            <a:t>тариф на захоронение ТКО,           в т.ч. на объектах размещения ТКО, включенных в перечень объектов размещения ТКО              на территории субъекта РФ</a:t>
          </a:r>
        </a:p>
      </dsp:txBody>
      <dsp:txXfrm>
        <a:off x="325826" y="2018198"/>
        <a:ext cx="1452173" cy="648870"/>
      </dsp:txXfrm>
    </dsp:sp>
    <dsp:sp modelId="{10BE90EA-3A4A-4C38-B136-5D7D67A99D97}">
      <dsp:nvSpPr>
        <dsp:cNvPr id="0" name=""/>
        <dsp:cNvSpPr/>
      </dsp:nvSpPr>
      <dsp:spPr>
        <a:xfrm rot="11581248">
          <a:off x="1518944" y="1293958"/>
          <a:ext cx="267058" cy="0"/>
        </a:xfrm>
        <a:custGeom>
          <a:avLst/>
          <a:gdLst/>
          <a:ahLst/>
          <a:cxnLst/>
          <a:rect l="0" t="0" r="0" b="0"/>
          <a:pathLst>
            <a:path>
              <a:moveTo>
                <a:pt x="0" y="0"/>
              </a:moveTo>
              <a:lnTo>
                <a:pt x="267058" y="0"/>
              </a:lnTo>
            </a:path>
          </a:pathLst>
        </a:custGeom>
        <a:noFill/>
        <a:ln w="25400" cap="flat" cmpd="sng" algn="ctr">
          <a:solidFill>
            <a:schemeClr val="accent4">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5FD30A0-D351-45BF-A809-F3436830401C}">
      <dsp:nvSpPr>
        <dsp:cNvPr id="0" name=""/>
        <dsp:cNvSpPr/>
      </dsp:nvSpPr>
      <dsp:spPr>
        <a:xfrm>
          <a:off x="0" y="728311"/>
          <a:ext cx="1522377" cy="719074"/>
        </a:xfrm>
        <a:prstGeom prst="roundRect">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355600">
            <a:lnSpc>
              <a:spcPct val="90000"/>
            </a:lnSpc>
            <a:spcBef>
              <a:spcPct val="0"/>
            </a:spcBef>
            <a:spcAft>
              <a:spcPct val="35000"/>
            </a:spcAft>
          </a:pPr>
          <a:r>
            <a:rPr lang="ru-RU" sz="800" kern="1200">
              <a:latin typeface="Times New Roman" panose="02020603050405020304" pitchFamily="18" charset="0"/>
              <a:cs typeface="Times New Roman" panose="02020603050405020304" pitchFamily="18" charset="0"/>
            </a:rPr>
            <a:t>тариф на обработку ТКО</a:t>
          </a:r>
        </a:p>
      </dsp:txBody>
      <dsp:txXfrm>
        <a:off x="35102" y="763413"/>
        <a:ext cx="1452173" cy="64887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39CDC12-06CA-4003-876F-8C515B3FA8A9}">
      <dsp:nvSpPr>
        <dsp:cNvPr id="0" name=""/>
        <dsp:cNvSpPr/>
      </dsp:nvSpPr>
      <dsp:spPr>
        <a:xfrm>
          <a:off x="411285" y="1578"/>
          <a:ext cx="1524346" cy="626831"/>
        </a:xfrm>
        <a:prstGeom prst="roundRect">
          <a:avLst>
            <a:gd name="adj" fmla="val 10000"/>
          </a:avLst>
        </a:prstGeom>
        <a:solidFill>
          <a:schemeClr val="lt1">
            <a:hueOff val="0"/>
            <a:satOff val="0"/>
            <a:lumOff val="0"/>
            <a:alphaOff val="0"/>
          </a:schemeClr>
        </a:solidFill>
        <a:ln w="25400" cap="flat" cmpd="sng" algn="ctr">
          <a:solidFill>
            <a:schemeClr val="accent3">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на территории                    г. Новосибирска</a:t>
          </a:r>
        </a:p>
      </dsp:txBody>
      <dsp:txXfrm>
        <a:off x="429644" y="19937"/>
        <a:ext cx="1487628" cy="590113"/>
      </dsp:txXfrm>
    </dsp:sp>
    <dsp:sp modelId="{C6F91A9A-44CB-4611-AB7E-CDBAC805922E}">
      <dsp:nvSpPr>
        <dsp:cNvPr id="0" name=""/>
        <dsp:cNvSpPr/>
      </dsp:nvSpPr>
      <dsp:spPr>
        <a:xfrm>
          <a:off x="563719" y="628409"/>
          <a:ext cx="152434" cy="409747"/>
        </a:xfrm>
        <a:custGeom>
          <a:avLst/>
          <a:gdLst/>
          <a:ahLst/>
          <a:cxnLst/>
          <a:rect l="0" t="0" r="0" b="0"/>
          <a:pathLst>
            <a:path>
              <a:moveTo>
                <a:pt x="0" y="0"/>
              </a:moveTo>
              <a:lnTo>
                <a:pt x="0" y="409747"/>
              </a:lnTo>
              <a:lnTo>
                <a:pt x="152434" y="409747"/>
              </a:lnTo>
            </a:path>
          </a:pathLst>
        </a:custGeom>
        <a:noFill/>
        <a:ln w="25400" cap="flat" cmpd="sng" algn="ctr">
          <a:solidFill>
            <a:schemeClr val="accent3">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CF567BC-ECA5-43D9-ACCD-4457361E1517}">
      <dsp:nvSpPr>
        <dsp:cNvPr id="0" name=""/>
        <dsp:cNvSpPr/>
      </dsp:nvSpPr>
      <dsp:spPr>
        <a:xfrm>
          <a:off x="716154" y="764991"/>
          <a:ext cx="1221138" cy="546329"/>
        </a:xfrm>
        <a:prstGeom prst="roundRect">
          <a:avLst>
            <a:gd name="adj" fmla="val 10000"/>
          </a:avLst>
        </a:prstGeom>
        <a:solidFill>
          <a:schemeClr val="accent3">
            <a:alpha val="90000"/>
            <a:tint val="4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ООО Строительная компания «Родник» (ИНН 5410781950)</a:t>
          </a:r>
        </a:p>
      </dsp:txBody>
      <dsp:txXfrm>
        <a:off x="732155" y="780992"/>
        <a:ext cx="1189136" cy="514327"/>
      </dsp:txXfrm>
    </dsp:sp>
    <dsp:sp modelId="{A2641358-491C-44BE-941A-4FD22FE92ED0}">
      <dsp:nvSpPr>
        <dsp:cNvPr id="0" name=""/>
        <dsp:cNvSpPr/>
      </dsp:nvSpPr>
      <dsp:spPr>
        <a:xfrm>
          <a:off x="563719" y="628409"/>
          <a:ext cx="152434" cy="1092658"/>
        </a:xfrm>
        <a:custGeom>
          <a:avLst/>
          <a:gdLst/>
          <a:ahLst/>
          <a:cxnLst/>
          <a:rect l="0" t="0" r="0" b="0"/>
          <a:pathLst>
            <a:path>
              <a:moveTo>
                <a:pt x="0" y="0"/>
              </a:moveTo>
              <a:lnTo>
                <a:pt x="0" y="1092658"/>
              </a:lnTo>
              <a:lnTo>
                <a:pt x="152434" y="1092658"/>
              </a:lnTo>
            </a:path>
          </a:pathLst>
        </a:custGeom>
        <a:noFill/>
        <a:ln w="25400" cap="flat" cmpd="sng" algn="ctr">
          <a:solidFill>
            <a:schemeClr val="accent3">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31EA9A-21B5-45E8-BD1D-03C5695D842B}">
      <dsp:nvSpPr>
        <dsp:cNvPr id="0" name=""/>
        <dsp:cNvSpPr/>
      </dsp:nvSpPr>
      <dsp:spPr>
        <a:xfrm>
          <a:off x="716154" y="1447903"/>
          <a:ext cx="1221138" cy="546329"/>
        </a:xfrm>
        <a:prstGeom prst="roundRect">
          <a:avLst>
            <a:gd name="adj" fmla="val 10000"/>
          </a:avLst>
        </a:prstGeom>
        <a:solidFill>
          <a:schemeClr val="accent3">
            <a:alpha val="90000"/>
            <a:tint val="4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ООО «ТБО»         (ИНН 5406736150) </a:t>
          </a:r>
        </a:p>
      </dsp:txBody>
      <dsp:txXfrm>
        <a:off x="732155" y="1463904"/>
        <a:ext cx="1189136" cy="514327"/>
      </dsp:txXfrm>
    </dsp:sp>
    <dsp:sp modelId="{0232CA45-163A-4C7C-B6ED-BBDBE677E5A2}">
      <dsp:nvSpPr>
        <dsp:cNvPr id="0" name=""/>
        <dsp:cNvSpPr/>
      </dsp:nvSpPr>
      <dsp:spPr>
        <a:xfrm>
          <a:off x="563719" y="628409"/>
          <a:ext cx="152434" cy="1775570"/>
        </a:xfrm>
        <a:custGeom>
          <a:avLst/>
          <a:gdLst/>
          <a:ahLst/>
          <a:cxnLst/>
          <a:rect l="0" t="0" r="0" b="0"/>
          <a:pathLst>
            <a:path>
              <a:moveTo>
                <a:pt x="0" y="0"/>
              </a:moveTo>
              <a:lnTo>
                <a:pt x="0" y="1775570"/>
              </a:lnTo>
              <a:lnTo>
                <a:pt x="152434" y="1775570"/>
              </a:lnTo>
            </a:path>
          </a:pathLst>
        </a:custGeom>
        <a:noFill/>
        <a:ln w="25400" cap="flat" cmpd="sng" algn="ctr">
          <a:solidFill>
            <a:schemeClr val="accent3">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A3F93AF-CC36-4E2A-B94B-DABD34A5ADA8}">
      <dsp:nvSpPr>
        <dsp:cNvPr id="0" name=""/>
        <dsp:cNvSpPr/>
      </dsp:nvSpPr>
      <dsp:spPr>
        <a:xfrm>
          <a:off x="716154" y="2130815"/>
          <a:ext cx="1221138" cy="546329"/>
        </a:xfrm>
        <a:prstGeom prst="roundRect">
          <a:avLst>
            <a:gd name="adj" fmla="val 10000"/>
          </a:avLst>
        </a:prstGeom>
        <a:solidFill>
          <a:schemeClr val="accent3">
            <a:alpha val="90000"/>
            <a:tint val="4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МУП г. Новосибирска «Спецавтохозяйство» (ИНН 5403103135) </a:t>
          </a:r>
        </a:p>
      </dsp:txBody>
      <dsp:txXfrm>
        <a:off x="732155" y="2146816"/>
        <a:ext cx="1189136" cy="514327"/>
      </dsp:txXfrm>
    </dsp:sp>
    <dsp:sp modelId="{74E6B63B-E02A-46F2-8CE8-C501A4C00B11}">
      <dsp:nvSpPr>
        <dsp:cNvPr id="0" name=""/>
        <dsp:cNvSpPr/>
      </dsp:nvSpPr>
      <dsp:spPr>
        <a:xfrm>
          <a:off x="2208796" y="1578"/>
          <a:ext cx="1524346" cy="626831"/>
        </a:xfrm>
        <a:prstGeom prst="roundRect">
          <a:avLst>
            <a:gd name="adj" fmla="val 10000"/>
          </a:avLst>
        </a:prstGeom>
        <a:solidFill>
          <a:schemeClr val="lt1">
            <a:hueOff val="0"/>
            <a:satOff val="0"/>
            <a:lumOff val="0"/>
            <a:alphaOff val="0"/>
          </a:schemeClr>
        </a:solidFill>
        <a:ln w="25400" cap="flat" cmpd="sng" algn="ctr">
          <a:solidFill>
            <a:schemeClr val="accent3">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на территории р.п. Краснозерское Краснозерского района Новосибирской области</a:t>
          </a:r>
        </a:p>
      </dsp:txBody>
      <dsp:txXfrm>
        <a:off x="2227155" y="19937"/>
        <a:ext cx="1487628" cy="590113"/>
      </dsp:txXfrm>
    </dsp:sp>
    <dsp:sp modelId="{23DDEF46-32BC-46DA-BC9A-5A89BC85D6DA}">
      <dsp:nvSpPr>
        <dsp:cNvPr id="0" name=""/>
        <dsp:cNvSpPr/>
      </dsp:nvSpPr>
      <dsp:spPr>
        <a:xfrm>
          <a:off x="2361230" y="628409"/>
          <a:ext cx="152434" cy="409747"/>
        </a:xfrm>
        <a:custGeom>
          <a:avLst/>
          <a:gdLst/>
          <a:ahLst/>
          <a:cxnLst/>
          <a:rect l="0" t="0" r="0" b="0"/>
          <a:pathLst>
            <a:path>
              <a:moveTo>
                <a:pt x="0" y="0"/>
              </a:moveTo>
              <a:lnTo>
                <a:pt x="0" y="409747"/>
              </a:lnTo>
              <a:lnTo>
                <a:pt x="152434" y="409747"/>
              </a:lnTo>
            </a:path>
          </a:pathLst>
        </a:custGeom>
        <a:noFill/>
        <a:ln w="25400" cap="flat" cmpd="sng" algn="ctr">
          <a:solidFill>
            <a:schemeClr val="accent3">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07986F8-F68D-4DFA-901F-55CB2D7FD496}">
      <dsp:nvSpPr>
        <dsp:cNvPr id="0" name=""/>
        <dsp:cNvSpPr/>
      </dsp:nvSpPr>
      <dsp:spPr>
        <a:xfrm>
          <a:off x="2513665" y="764991"/>
          <a:ext cx="1221138" cy="546329"/>
        </a:xfrm>
        <a:prstGeom prst="roundRect">
          <a:avLst>
            <a:gd name="adj" fmla="val 10000"/>
          </a:avLst>
        </a:prstGeom>
        <a:solidFill>
          <a:schemeClr val="accent3">
            <a:alpha val="90000"/>
            <a:tint val="4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ООО «Сервис-ЭКО» (ИНН 5427128675)</a:t>
          </a:r>
        </a:p>
      </dsp:txBody>
      <dsp:txXfrm>
        <a:off x="2529666" y="780992"/>
        <a:ext cx="1189136" cy="514327"/>
      </dsp:txXfrm>
    </dsp:sp>
    <dsp:sp modelId="{E6DABD91-FE5C-463E-B105-C3A56D253AE5}">
      <dsp:nvSpPr>
        <dsp:cNvPr id="0" name=""/>
        <dsp:cNvSpPr/>
      </dsp:nvSpPr>
      <dsp:spPr>
        <a:xfrm>
          <a:off x="4006307" y="1578"/>
          <a:ext cx="1524346" cy="626831"/>
        </a:xfrm>
        <a:prstGeom prst="roundRect">
          <a:avLst>
            <a:gd name="adj" fmla="val 10000"/>
          </a:avLst>
        </a:prstGeom>
        <a:solidFill>
          <a:schemeClr val="lt1">
            <a:hueOff val="0"/>
            <a:satOff val="0"/>
            <a:lumOff val="0"/>
            <a:alphaOff val="0"/>
          </a:schemeClr>
        </a:solidFill>
        <a:ln w="25400" cap="flat" cmpd="sng" algn="ctr">
          <a:solidFill>
            <a:schemeClr val="accent3">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на территории п. Пушной Черепановского района Новосибирской области</a:t>
          </a:r>
        </a:p>
      </dsp:txBody>
      <dsp:txXfrm>
        <a:off x="4024666" y="19937"/>
        <a:ext cx="1487628" cy="590113"/>
      </dsp:txXfrm>
    </dsp:sp>
    <dsp:sp modelId="{DE570EAF-50E0-42F2-A81C-FCDE785312EC}">
      <dsp:nvSpPr>
        <dsp:cNvPr id="0" name=""/>
        <dsp:cNvSpPr/>
      </dsp:nvSpPr>
      <dsp:spPr>
        <a:xfrm>
          <a:off x="4158742" y="628409"/>
          <a:ext cx="152434" cy="409747"/>
        </a:xfrm>
        <a:custGeom>
          <a:avLst/>
          <a:gdLst/>
          <a:ahLst/>
          <a:cxnLst/>
          <a:rect l="0" t="0" r="0" b="0"/>
          <a:pathLst>
            <a:path>
              <a:moveTo>
                <a:pt x="0" y="0"/>
              </a:moveTo>
              <a:lnTo>
                <a:pt x="0" y="409747"/>
              </a:lnTo>
              <a:lnTo>
                <a:pt x="152434" y="409747"/>
              </a:lnTo>
            </a:path>
          </a:pathLst>
        </a:custGeom>
        <a:noFill/>
        <a:ln w="25400" cap="flat" cmpd="sng" algn="ctr">
          <a:solidFill>
            <a:schemeClr val="accent3">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D107D5E-510E-4A64-9A19-CA0D1CC14A60}">
      <dsp:nvSpPr>
        <dsp:cNvPr id="0" name=""/>
        <dsp:cNvSpPr/>
      </dsp:nvSpPr>
      <dsp:spPr>
        <a:xfrm>
          <a:off x="4311176" y="764991"/>
          <a:ext cx="1221138" cy="546329"/>
        </a:xfrm>
        <a:prstGeom prst="roundRect">
          <a:avLst>
            <a:gd name="adj" fmla="val 10000"/>
          </a:avLst>
        </a:prstGeom>
        <a:solidFill>
          <a:schemeClr val="accent3">
            <a:alpha val="90000"/>
            <a:tint val="4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lvl="0" algn="ctr" defTabSz="422275">
            <a:lnSpc>
              <a:spcPct val="90000"/>
            </a:lnSpc>
            <a:spcBef>
              <a:spcPct val="0"/>
            </a:spcBef>
            <a:spcAft>
              <a:spcPct val="35000"/>
            </a:spcAft>
          </a:pPr>
          <a:r>
            <a:rPr lang="ru-RU" sz="950" kern="1200">
              <a:latin typeface="Times New Roman" panose="02020603050405020304" pitchFamily="18" charset="0"/>
              <a:cs typeface="Times New Roman" panose="02020603050405020304" pitchFamily="18" charset="0"/>
            </a:rPr>
            <a:t>ООО «Зевель»                (ИНН 5402059420) </a:t>
          </a:r>
        </a:p>
      </dsp:txBody>
      <dsp:txXfrm>
        <a:off x="4327177" y="780992"/>
        <a:ext cx="1189136" cy="514327"/>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6C11EA2-B918-4AA4-B79E-A82A8D5D8E89}">
      <dsp:nvSpPr>
        <dsp:cNvPr id="0" name=""/>
        <dsp:cNvSpPr/>
      </dsp:nvSpPr>
      <dsp:spPr>
        <a:xfrm>
          <a:off x="5270" y="1153462"/>
          <a:ext cx="1419095" cy="100587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b="1" kern="1200">
              <a:solidFill>
                <a:sysClr val="windowText" lastClr="000000"/>
              </a:solidFill>
              <a:latin typeface="Times New Roman" panose="02020603050405020304" pitchFamily="18" charset="0"/>
              <a:cs typeface="Times New Roman" panose="02020603050405020304" pitchFamily="18" charset="0"/>
            </a:rPr>
            <a:t>Распоряжение Правительства РФ     от 15.11.2024           № 3287-р </a:t>
          </a:r>
        </a:p>
      </dsp:txBody>
      <dsp:txXfrm>
        <a:off x="34731" y="1182923"/>
        <a:ext cx="1360173" cy="946954"/>
      </dsp:txXfrm>
    </dsp:sp>
    <dsp:sp modelId="{7013D562-1918-4220-B3FC-8801D846BD40}">
      <dsp:nvSpPr>
        <dsp:cNvPr id="0" name=""/>
        <dsp:cNvSpPr/>
      </dsp:nvSpPr>
      <dsp:spPr>
        <a:xfrm rot="18770822">
          <a:off x="1310571" y="1378127"/>
          <a:ext cx="711310" cy="35034"/>
        </a:xfrm>
        <a:custGeom>
          <a:avLst/>
          <a:gdLst/>
          <a:ahLst/>
          <a:cxnLst/>
          <a:rect l="0" t="0" r="0" b="0"/>
          <a:pathLst>
            <a:path>
              <a:moveTo>
                <a:pt x="0" y="17517"/>
              </a:moveTo>
              <a:lnTo>
                <a:pt x="711310" y="17517"/>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solidFill>
            <a:latin typeface="Times New Roman" panose="02020603050405020304" pitchFamily="18" charset="0"/>
            <a:cs typeface="Times New Roman" panose="02020603050405020304" pitchFamily="18" charset="0"/>
          </a:endParaRPr>
        </a:p>
      </dsp:txBody>
      <dsp:txXfrm>
        <a:off x="1648444" y="1377861"/>
        <a:ext cx="35565" cy="35565"/>
      </dsp:txXfrm>
    </dsp:sp>
    <dsp:sp modelId="{77FEBE24-7C56-4C58-B57F-4C3DD4C91D61}">
      <dsp:nvSpPr>
        <dsp:cNvPr id="0" name=""/>
        <dsp:cNvSpPr/>
      </dsp:nvSpPr>
      <dsp:spPr>
        <a:xfrm>
          <a:off x="1908088" y="691072"/>
          <a:ext cx="1739428" cy="887630"/>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Text" lastClr="000000"/>
              </a:solidFill>
              <a:latin typeface="Times New Roman" panose="02020603050405020304" pitchFamily="18" charset="0"/>
              <a:cs typeface="Times New Roman" panose="02020603050405020304" pitchFamily="18" charset="0"/>
            </a:rPr>
            <a:t>Средний индекс изменения размера вносимой гражданами платы за коммунальные услуги по Новосибирской области</a:t>
          </a:r>
        </a:p>
      </dsp:txBody>
      <dsp:txXfrm>
        <a:off x="1934086" y="717070"/>
        <a:ext cx="1687432" cy="835634"/>
      </dsp:txXfrm>
    </dsp:sp>
    <dsp:sp modelId="{F12C983A-9514-450F-BACB-86DF87E1852D}">
      <dsp:nvSpPr>
        <dsp:cNvPr id="0" name=""/>
        <dsp:cNvSpPr/>
      </dsp:nvSpPr>
      <dsp:spPr>
        <a:xfrm rot="19457599">
          <a:off x="3591525" y="943533"/>
          <a:ext cx="595705" cy="35034"/>
        </a:xfrm>
        <a:custGeom>
          <a:avLst/>
          <a:gdLst/>
          <a:ahLst/>
          <a:cxnLst/>
          <a:rect l="0" t="0" r="0" b="0"/>
          <a:pathLst>
            <a:path>
              <a:moveTo>
                <a:pt x="0" y="17517"/>
              </a:moveTo>
              <a:lnTo>
                <a:pt x="595705" y="1751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solidFill>
            <a:latin typeface="Times New Roman" panose="02020603050405020304" pitchFamily="18" charset="0"/>
            <a:cs typeface="Times New Roman" panose="02020603050405020304" pitchFamily="18" charset="0"/>
          </a:endParaRPr>
        </a:p>
      </dsp:txBody>
      <dsp:txXfrm>
        <a:off x="3874485" y="946157"/>
        <a:ext cx="29785" cy="29785"/>
      </dsp:txXfrm>
    </dsp:sp>
    <dsp:sp modelId="{A78B4B08-2459-4BC3-AB1C-34098A824560}">
      <dsp:nvSpPr>
        <dsp:cNvPr id="0" name=""/>
        <dsp:cNvSpPr/>
      </dsp:nvSpPr>
      <dsp:spPr>
        <a:xfrm>
          <a:off x="4131239" y="484886"/>
          <a:ext cx="1531597" cy="604652"/>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b="1" kern="1200">
              <a:solidFill>
                <a:sysClr val="windowText" lastClr="000000"/>
              </a:solidFill>
              <a:latin typeface="Times New Roman" panose="02020603050405020304" pitchFamily="18" charset="0"/>
              <a:cs typeface="Times New Roman" panose="02020603050405020304" pitchFamily="18" charset="0"/>
            </a:rPr>
            <a:t>с 01.01.2025 по 30.06.2025 - 0%</a:t>
          </a:r>
        </a:p>
      </dsp:txBody>
      <dsp:txXfrm>
        <a:off x="4148949" y="502596"/>
        <a:ext cx="1496177" cy="569232"/>
      </dsp:txXfrm>
    </dsp:sp>
    <dsp:sp modelId="{F694C174-18D4-4CC4-A40A-86D65DD73D53}">
      <dsp:nvSpPr>
        <dsp:cNvPr id="0" name=""/>
        <dsp:cNvSpPr/>
      </dsp:nvSpPr>
      <dsp:spPr>
        <a:xfrm rot="2142401">
          <a:off x="3591525" y="1291208"/>
          <a:ext cx="595705" cy="35034"/>
        </a:xfrm>
        <a:custGeom>
          <a:avLst/>
          <a:gdLst/>
          <a:ahLst/>
          <a:cxnLst/>
          <a:rect l="0" t="0" r="0" b="0"/>
          <a:pathLst>
            <a:path>
              <a:moveTo>
                <a:pt x="0" y="17517"/>
              </a:moveTo>
              <a:lnTo>
                <a:pt x="595705" y="1751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solidFill>
            <a:latin typeface="Times New Roman" panose="02020603050405020304" pitchFamily="18" charset="0"/>
            <a:cs typeface="Times New Roman" panose="02020603050405020304" pitchFamily="18" charset="0"/>
          </a:endParaRPr>
        </a:p>
      </dsp:txBody>
      <dsp:txXfrm>
        <a:off x="3874485" y="1293832"/>
        <a:ext cx="29785" cy="29785"/>
      </dsp:txXfrm>
    </dsp:sp>
    <dsp:sp modelId="{76B08899-F6DC-4AD4-AA1A-033DB8E9E691}">
      <dsp:nvSpPr>
        <dsp:cNvPr id="0" name=""/>
        <dsp:cNvSpPr/>
      </dsp:nvSpPr>
      <dsp:spPr>
        <a:xfrm>
          <a:off x="4131239" y="1180236"/>
          <a:ext cx="1531597" cy="604652"/>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b="1" kern="1200">
              <a:solidFill>
                <a:sysClr val="windowText" lastClr="000000"/>
              </a:solidFill>
              <a:latin typeface="Times New Roman" panose="02020603050405020304" pitchFamily="18" charset="0"/>
              <a:cs typeface="Times New Roman" panose="02020603050405020304" pitchFamily="18" charset="0"/>
            </a:rPr>
            <a:t>с 01.07.2025 по 01.07.2025 - 11,9%</a:t>
          </a:r>
        </a:p>
      </dsp:txBody>
      <dsp:txXfrm>
        <a:off x="4148949" y="1197946"/>
        <a:ext cx="1496177" cy="569232"/>
      </dsp:txXfrm>
    </dsp:sp>
    <dsp:sp modelId="{CF72A228-B507-48C4-9572-AA38C199DC84}">
      <dsp:nvSpPr>
        <dsp:cNvPr id="0" name=""/>
        <dsp:cNvSpPr/>
      </dsp:nvSpPr>
      <dsp:spPr>
        <a:xfrm rot="2829178">
          <a:off x="1310571" y="1899640"/>
          <a:ext cx="711310" cy="35034"/>
        </a:xfrm>
        <a:custGeom>
          <a:avLst/>
          <a:gdLst/>
          <a:ahLst/>
          <a:cxnLst/>
          <a:rect l="0" t="0" r="0" b="0"/>
          <a:pathLst>
            <a:path>
              <a:moveTo>
                <a:pt x="0" y="17517"/>
              </a:moveTo>
              <a:lnTo>
                <a:pt x="711310" y="17517"/>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solidFill>
            <a:latin typeface="Times New Roman" panose="02020603050405020304" pitchFamily="18" charset="0"/>
            <a:cs typeface="Times New Roman" panose="02020603050405020304" pitchFamily="18" charset="0"/>
          </a:endParaRPr>
        </a:p>
      </dsp:txBody>
      <dsp:txXfrm>
        <a:off x="1648444" y="1899374"/>
        <a:ext cx="35565" cy="35565"/>
      </dsp:txXfrm>
    </dsp:sp>
    <dsp:sp modelId="{4F743FB4-97B2-4A02-B552-D329DEF32418}">
      <dsp:nvSpPr>
        <dsp:cNvPr id="0" name=""/>
        <dsp:cNvSpPr/>
      </dsp:nvSpPr>
      <dsp:spPr>
        <a:xfrm>
          <a:off x="1908088" y="1734098"/>
          <a:ext cx="1739428" cy="887630"/>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Text" lastClr="000000"/>
              </a:solidFill>
              <a:latin typeface="Times New Roman" panose="02020603050405020304" pitchFamily="18" charset="0"/>
              <a:cs typeface="Times New Roman" panose="02020603050405020304" pitchFamily="18" charset="0"/>
            </a:rPr>
            <a:t>Предельно допустимое отклонение по отдельным муниципальным образованиям Новосибирской области</a:t>
          </a:r>
        </a:p>
      </dsp:txBody>
      <dsp:txXfrm>
        <a:off x="1934086" y="1760096"/>
        <a:ext cx="1687432" cy="835634"/>
      </dsp:txXfrm>
    </dsp:sp>
    <dsp:sp modelId="{E5CE5630-AFE8-4B4B-B807-A6FB68D92BDD}">
      <dsp:nvSpPr>
        <dsp:cNvPr id="0" name=""/>
        <dsp:cNvSpPr/>
      </dsp:nvSpPr>
      <dsp:spPr>
        <a:xfrm>
          <a:off x="3647517" y="2160396"/>
          <a:ext cx="483722" cy="35034"/>
        </a:xfrm>
        <a:custGeom>
          <a:avLst/>
          <a:gdLst/>
          <a:ahLst/>
          <a:cxnLst/>
          <a:rect l="0" t="0" r="0" b="0"/>
          <a:pathLst>
            <a:path>
              <a:moveTo>
                <a:pt x="0" y="17517"/>
              </a:moveTo>
              <a:lnTo>
                <a:pt x="483722" y="1751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solidFill>
            <a:latin typeface="Times New Roman" panose="02020603050405020304" pitchFamily="18" charset="0"/>
            <a:cs typeface="Times New Roman" panose="02020603050405020304" pitchFamily="18" charset="0"/>
          </a:endParaRPr>
        </a:p>
      </dsp:txBody>
      <dsp:txXfrm>
        <a:off x="3877285" y="2165820"/>
        <a:ext cx="24186" cy="24186"/>
      </dsp:txXfrm>
    </dsp:sp>
    <dsp:sp modelId="{4F756954-EE5E-4F5B-AB7D-0A34E81ECA27}">
      <dsp:nvSpPr>
        <dsp:cNvPr id="0" name=""/>
        <dsp:cNvSpPr/>
      </dsp:nvSpPr>
      <dsp:spPr>
        <a:xfrm>
          <a:off x="4131239" y="1875587"/>
          <a:ext cx="1531597" cy="604652"/>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b="1" kern="1200">
              <a:solidFill>
                <a:sysClr val="windowText" lastClr="000000"/>
              </a:solidFill>
              <a:latin typeface="Times New Roman" panose="02020603050405020304" pitchFamily="18" charset="0"/>
              <a:cs typeface="Times New Roman" panose="02020603050405020304" pitchFamily="18" charset="0"/>
            </a:rPr>
            <a:t>на 2025-2028 годы - 4,8%</a:t>
          </a:r>
        </a:p>
      </dsp:txBody>
      <dsp:txXfrm>
        <a:off x="4148949" y="1893297"/>
        <a:ext cx="1496177" cy="569232"/>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5D05085-E7E8-4D2C-A3F9-19AAE4F379AB}">
      <dsp:nvSpPr>
        <dsp:cNvPr id="0" name=""/>
        <dsp:cNvSpPr/>
      </dsp:nvSpPr>
      <dsp:spPr>
        <a:xfrm>
          <a:off x="5261" y="0"/>
          <a:ext cx="1089124" cy="2825261"/>
        </a:xfrm>
        <a:prstGeom prst="roundRect">
          <a:avLst>
            <a:gd name="adj" fmla="val 10000"/>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ru-RU" sz="1100" b="1" kern="1200">
              <a:latin typeface="Times New Roman" panose="02020603050405020304" pitchFamily="18" charset="0"/>
              <a:cs typeface="Times New Roman" panose="02020603050405020304" pitchFamily="18" charset="0"/>
            </a:rPr>
            <a:t>Постановление Губернатора Новосибирской области           от 28.12.2024 № 261</a:t>
          </a:r>
        </a:p>
      </dsp:txBody>
      <dsp:txXfrm>
        <a:off x="37160" y="31899"/>
        <a:ext cx="1025326" cy="2761463"/>
      </dsp:txXfrm>
    </dsp:sp>
    <dsp:sp modelId="{0B6D4FDA-15BD-43DE-A7CA-7596CEA8BF30}">
      <dsp:nvSpPr>
        <dsp:cNvPr id="0" name=""/>
        <dsp:cNvSpPr/>
      </dsp:nvSpPr>
      <dsp:spPr>
        <a:xfrm>
          <a:off x="1203298" y="1277579"/>
          <a:ext cx="230894" cy="270102"/>
        </a:xfrm>
        <a:prstGeom prst="rightArrow">
          <a:avLst>
            <a:gd name="adj1" fmla="val 60000"/>
            <a:gd name="adj2" fmla="val 50000"/>
          </a:avLst>
        </a:prstGeom>
        <a:solidFill>
          <a:schemeClr val="accent4">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ru-RU" sz="1200" kern="1200">
            <a:solidFill>
              <a:sysClr val="windowText" lastClr="000000"/>
            </a:solidFill>
            <a:latin typeface="Times New Roman" panose="02020603050405020304" pitchFamily="18" charset="0"/>
            <a:cs typeface="Times New Roman" panose="02020603050405020304" pitchFamily="18" charset="0"/>
          </a:endParaRPr>
        </a:p>
      </dsp:txBody>
      <dsp:txXfrm>
        <a:off x="1203298" y="1331599"/>
        <a:ext cx="161626" cy="162062"/>
      </dsp:txXfrm>
    </dsp:sp>
    <dsp:sp modelId="{23486631-1C2D-42AC-B9A7-60968D18BBB3}">
      <dsp:nvSpPr>
        <dsp:cNvPr id="0" name=""/>
        <dsp:cNvSpPr/>
      </dsp:nvSpPr>
      <dsp:spPr>
        <a:xfrm>
          <a:off x="1530035" y="0"/>
          <a:ext cx="1089124" cy="2825261"/>
        </a:xfrm>
        <a:prstGeom prst="roundRect">
          <a:avLst>
            <a:gd name="adj" fmla="val 10000"/>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r>
            <a:rPr lang="ru-RU" sz="1050" kern="1200">
              <a:latin typeface="Times New Roman" panose="02020603050405020304" pitchFamily="18" charset="0"/>
              <a:cs typeface="Times New Roman" panose="02020603050405020304" pitchFamily="18" charset="0"/>
            </a:rPr>
            <a:t>Утверждены 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на 2025 год</a:t>
          </a:r>
        </a:p>
      </dsp:txBody>
      <dsp:txXfrm>
        <a:off x="1561934" y="31899"/>
        <a:ext cx="1025326" cy="2761463"/>
      </dsp:txXfrm>
    </dsp:sp>
    <dsp:sp modelId="{A39F4EAA-A5CE-4A15-B276-F510A74679C3}">
      <dsp:nvSpPr>
        <dsp:cNvPr id="0" name=""/>
        <dsp:cNvSpPr/>
      </dsp:nvSpPr>
      <dsp:spPr>
        <a:xfrm>
          <a:off x="2728072" y="1277579"/>
          <a:ext cx="230894" cy="270102"/>
        </a:xfrm>
        <a:prstGeom prst="rightArrow">
          <a:avLst>
            <a:gd name="adj1" fmla="val 60000"/>
            <a:gd name="adj2" fmla="val 50000"/>
          </a:avLst>
        </a:prstGeom>
        <a:solidFill>
          <a:schemeClr val="accent4">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ru-RU" sz="1200" kern="1200">
            <a:solidFill>
              <a:sysClr val="windowText" lastClr="000000"/>
            </a:solidFill>
            <a:latin typeface="Times New Roman" panose="02020603050405020304" pitchFamily="18" charset="0"/>
            <a:cs typeface="Times New Roman" panose="02020603050405020304" pitchFamily="18" charset="0"/>
          </a:endParaRPr>
        </a:p>
      </dsp:txBody>
      <dsp:txXfrm>
        <a:off x="2728072" y="1331599"/>
        <a:ext cx="161626" cy="162062"/>
      </dsp:txXfrm>
    </dsp:sp>
    <dsp:sp modelId="{2EC5753C-4463-4A48-AE87-C378BCF78380}">
      <dsp:nvSpPr>
        <dsp:cNvPr id="0" name=""/>
        <dsp:cNvSpPr/>
      </dsp:nvSpPr>
      <dsp:spPr>
        <a:xfrm>
          <a:off x="3054809" y="0"/>
          <a:ext cx="1089124" cy="2825261"/>
        </a:xfrm>
        <a:prstGeom prst="roundRect">
          <a:avLst>
            <a:gd name="adj" fmla="val 10000"/>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i="0" kern="1200">
              <a:latin typeface="Times New Roman" panose="02020603050405020304" pitchFamily="18" charset="0"/>
              <a:cs typeface="Times New Roman" panose="02020603050405020304" pitchFamily="18" charset="0"/>
            </a:rPr>
            <a:t>с 01.01.2025         по 30.06.2025 </a:t>
          </a:r>
          <a:r>
            <a:rPr lang="ru-RU" sz="1000" b="1" kern="1200">
              <a:latin typeface="Times New Roman" panose="02020603050405020304" pitchFamily="18" charset="0"/>
              <a:cs typeface="Times New Roman" panose="02020603050405020304" pitchFamily="18" charset="0"/>
            </a:rPr>
            <a:t>- </a:t>
          </a:r>
          <a:r>
            <a:rPr lang="ru-RU" sz="1000" b="0" i="1" kern="1200">
              <a:latin typeface="Times New Roman" panose="02020603050405020304" pitchFamily="18" charset="0"/>
              <a:cs typeface="Times New Roman" panose="02020603050405020304" pitchFamily="18" charset="0"/>
            </a:rPr>
            <a:t>0% </a:t>
          </a:r>
        </a:p>
        <a:p>
          <a:pPr lvl="0" algn="ctr" defTabSz="444500">
            <a:lnSpc>
              <a:spcPct val="90000"/>
            </a:lnSpc>
            <a:spcBef>
              <a:spcPct val="0"/>
            </a:spcBef>
            <a:spcAft>
              <a:spcPct val="35000"/>
            </a:spcAft>
          </a:pPr>
          <a:endParaRPr lang="ru-RU" sz="1000" b="1" kern="1200">
            <a:latin typeface="Times New Roman" panose="02020603050405020304" pitchFamily="18" charset="0"/>
            <a:cs typeface="Times New Roman" panose="02020603050405020304" pitchFamily="18" charset="0"/>
          </a:endParaRP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       </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                            </a:t>
          </a:r>
          <a:r>
            <a:rPr lang="ru-RU" sz="1000" i="1" kern="1200">
              <a:latin typeface="Times New Roman" panose="02020603050405020304" pitchFamily="18" charset="0"/>
              <a:cs typeface="Times New Roman" panose="02020603050405020304" pitchFamily="18" charset="0"/>
            </a:rPr>
            <a:t>по всем муниципальным образованиям Новосибирской области</a:t>
          </a:r>
        </a:p>
      </dsp:txBody>
      <dsp:txXfrm>
        <a:off x="3086708" y="31899"/>
        <a:ext cx="1025326" cy="2761463"/>
      </dsp:txXfrm>
    </dsp:sp>
    <dsp:sp modelId="{18D31D15-AF26-429E-AF15-4C1294EFFF1A}">
      <dsp:nvSpPr>
        <dsp:cNvPr id="0" name=""/>
        <dsp:cNvSpPr/>
      </dsp:nvSpPr>
      <dsp:spPr>
        <a:xfrm>
          <a:off x="4252845" y="1277579"/>
          <a:ext cx="230894" cy="270102"/>
        </a:xfrm>
        <a:prstGeom prst="rightArrow">
          <a:avLst>
            <a:gd name="adj1" fmla="val 60000"/>
            <a:gd name="adj2" fmla="val 50000"/>
          </a:avLst>
        </a:prstGeom>
        <a:solidFill>
          <a:schemeClr val="accent4">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ru-RU" sz="1200" kern="1200">
            <a:solidFill>
              <a:sysClr val="windowText" lastClr="000000"/>
            </a:solidFill>
            <a:latin typeface="Times New Roman" panose="02020603050405020304" pitchFamily="18" charset="0"/>
            <a:cs typeface="Times New Roman" panose="02020603050405020304" pitchFamily="18" charset="0"/>
          </a:endParaRPr>
        </a:p>
      </dsp:txBody>
      <dsp:txXfrm>
        <a:off x="4252845" y="1331599"/>
        <a:ext cx="161626" cy="162062"/>
      </dsp:txXfrm>
    </dsp:sp>
    <dsp:sp modelId="{8DB9B792-CB5B-4FA8-B33F-84E09157C441}">
      <dsp:nvSpPr>
        <dsp:cNvPr id="0" name=""/>
        <dsp:cNvSpPr/>
      </dsp:nvSpPr>
      <dsp:spPr>
        <a:xfrm>
          <a:off x="4579583" y="0"/>
          <a:ext cx="1089124" cy="2825261"/>
        </a:xfrm>
        <a:prstGeom prst="roundRect">
          <a:avLst>
            <a:gd name="adj" fmla="val 10000"/>
          </a:avLst>
        </a:prstGeom>
        <a:solidFill>
          <a:schemeClr val="lt1">
            <a:hueOff val="0"/>
            <a:satOff val="0"/>
            <a:lumOff val="0"/>
            <a:alphaOff val="0"/>
          </a:schemeClr>
        </a:solidFill>
        <a:ln w="25400" cap="flat" cmpd="sng" algn="ctr">
          <a:solidFill>
            <a:schemeClr val="accent4">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с 01.07.2025             по 31.12.2025:</a:t>
          </a:r>
        </a:p>
        <a:p>
          <a:pPr lvl="0" algn="ctr" defTabSz="444500">
            <a:lnSpc>
              <a:spcPct val="100000"/>
            </a:lnSpc>
            <a:spcBef>
              <a:spcPct val="0"/>
            </a:spcBef>
            <a:spcAft>
              <a:spcPts val="0"/>
            </a:spcAft>
          </a:pPr>
          <a:endParaRPr lang="ru-RU" sz="700" b="1" kern="1200">
            <a:latin typeface="Times New Roman" panose="02020603050405020304" pitchFamily="18" charset="0"/>
            <a:cs typeface="Times New Roman" panose="02020603050405020304" pitchFamily="18" charset="0"/>
          </a:endParaRPr>
        </a:p>
        <a:p>
          <a:pPr lvl="0" algn="ctr" defTabSz="444500">
            <a:lnSpc>
              <a:spcPct val="100000"/>
            </a:lnSpc>
            <a:spcBef>
              <a:spcPct val="0"/>
            </a:spcBef>
            <a:spcAft>
              <a:spcPts val="0"/>
            </a:spcAft>
          </a:pPr>
          <a:r>
            <a:rPr lang="ru-RU" sz="1000" b="0" i="1" kern="1200">
              <a:latin typeface="Times New Roman" panose="02020603050405020304" pitchFamily="18" charset="0"/>
              <a:cs typeface="Times New Roman" panose="02020603050405020304" pitchFamily="18" charset="0"/>
            </a:rPr>
            <a:t>-12,3% для 37 </a:t>
          </a:r>
          <a:r>
            <a:rPr lang="ru-RU" sz="1000" b="0" kern="1200">
              <a:latin typeface="Times New Roman" panose="02020603050405020304" pitchFamily="18" charset="0"/>
              <a:cs typeface="Times New Roman" panose="02020603050405020304" pitchFamily="18" charset="0"/>
            </a:rPr>
            <a:t>муниципальных образований Новосибирской области:</a:t>
          </a:r>
        </a:p>
        <a:p>
          <a:pPr lvl="0" algn="ctr" defTabSz="444500">
            <a:lnSpc>
              <a:spcPct val="100000"/>
            </a:lnSpc>
            <a:spcBef>
              <a:spcPct val="0"/>
            </a:spcBef>
            <a:spcAft>
              <a:spcPts val="0"/>
            </a:spcAft>
          </a:pPr>
          <a:endParaRPr lang="ru-RU" sz="700" b="1" kern="1200">
            <a:latin typeface="Times New Roman" panose="02020603050405020304" pitchFamily="18" charset="0"/>
            <a:cs typeface="Times New Roman" panose="02020603050405020304" pitchFamily="18" charset="0"/>
          </a:endParaRPr>
        </a:p>
        <a:p>
          <a:pPr lvl="0" algn="ctr" defTabSz="444500">
            <a:lnSpc>
              <a:spcPct val="100000"/>
            </a:lnSpc>
            <a:spcBef>
              <a:spcPct val="0"/>
            </a:spcBef>
            <a:spcAft>
              <a:spcPts val="0"/>
            </a:spcAft>
          </a:pPr>
          <a:r>
            <a:rPr lang="ru-RU" sz="1000" i="1" kern="1200">
              <a:latin typeface="Times New Roman" panose="02020603050405020304" pitchFamily="18" charset="0"/>
              <a:cs typeface="Times New Roman" panose="02020603050405020304" pitchFamily="18" charset="0"/>
            </a:rPr>
            <a:t>- 13,5% для </a:t>
          </a:r>
          <a:r>
            <a:rPr lang="ru-RU" sz="1000" b="0" i="1" kern="1200">
              <a:latin typeface="Times New Roman" panose="02020603050405020304" pitchFamily="18" charset="0"/>
              <a:cs typeface="Times New Roman" panose="02020603050405020304" pitchFamily="18" charset="0"/>
            </a:rPr>
            <a:t>367</a:t>
          </a:r>
          <a:r>
            <a:rPr lang="ru-RU" sz="1000" b="1" i="1" kern="1200">
              <a:latin typeface="Times New Roman" panose="02020603050405020304" pitchFamily="18" charset="0"/>
              <a:cs typeface="Times New Roman" panose="02020603050405020304" pitchFamily="18" charset="0"/>
            </a:rPr>
            <a:t> </a:t>
          </a:r>
          <a:r>
            <a:rPr lang="ru-RU" sz="1000" b="0" kern="1200">
              <a:latin typeface="Times New Roman" panose="02020603050405020304" pitchFamily="18" charset="0"/>
              <a:cs typeface="Times New Roman" panose="02020603050405020304" pitchFamily="18" charset="0"/>
            </a:rPr>
            <a:t>муниципальных образований </a:t>
          </a:r>
          <a:r>
            <a:rPr lang="ru-RU" sz="1000" kern="1200">
              <a:latin typeface="Times New Roman" panose="02020603050405020304" pitchFamily="18" charset="0"/>
              <a:cs typeface="Times New Roman" panose="02020603050405020304" pitchFamily="18" charset="0"/>
            </a:rPr>
            <a:t>Новосибирской области;</a:t>
          </a:r>
        </a:p>
        <a:p>
          <a:pPr lvl="0" algn="ctr" defTabSz="444500">
            <a:lnSpc>
              <a:spcPct val="100000"/>
            </a:lnSpc>
            <a:spcBef>
              <a:spcPct val="0"/>
            </a:spcBef>
            <a:spcAft>
              <a:spcPts val="0"/>
            </a:spcAft>
          </a:pPr>
          <a:endParaRPr lang="ru-RU" sz="700" kern="1200">
            <a:latin typeface="Times New Roman" panose="02020603050405020304" pitchFamily="18" charset="0"/>
            <a:cs typeface="Times New Roman" panose="02020603050405020304" pitchFamily="18" charset="0"/>
          </a:endParaRPr>
        </a:p>
        <a:p>
          <a:pPr lvl="0" algn="ctr" defTabSz="444500">
            <a:lnSpc>
              <a:spcPct val="100000"/>
            </a:lnSpc>
            <a:spcBef>
              <a:spcPct val="0"/>
            </a:spcBef>
            <a:spcAft>
              <a:spcPts val="0"/>
            </a:spcAft>
          </a:pPr>
          <a:r>
            <a:rPr lang="ru-RU" sz="1000" i="1" kern="1200">
              <a:latin typeface="Times New Roman" panose="02020603050405020304" pitchFamily="18" charset="0"/>
              <a:cs typeface="Times New Roman" panose="02020603050405020304" pitchFamily="18" charset="0"/>
            </a:rPr>
            <a:t>- 16,7% для 11 </a:t>
          </a:r>
          <a:r>
            <a:rPr lang="ru-RU" sz="1000" kern="1200">
              <a:latin typeface="Times New Roman" panose="02020603050405020304" pitchFamily="18" charset="0"/>
              <a:cs typeface="Times New Roman" panose="02020603050405020304" pitchFamily="18" charset="0"/>
            </a:rPr>
            <a:t>муниципальных образований Новосибирской области.</a:t>
          </a:r>
        </a:p>
      </dsp:txBody>
      <dsp:txXfrm>
        <a:off x="4611482" y="31899"/>
        <a:ext cx="1025326" cy="276146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8/layout/RadialCluster">
  <dgm:title val=""/>
  <dgm:desc val=""/>
  <dgm:catLst>
    <dgm:cat type="relationship" pri="19500"/>
    <dgm:cat type="cycle" pri="15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useDef="1">
    <dgm:dataModel>
      <dgm:ptLst/>
      <dgm:bg/>
      <dgm:whole/>
    </dgm:dataModel>
  </dgm:styleData>
  <dgm:clrData useDef="1">
    <dgm:dataModel>
      <dgm:ptLst/>
      <dgm:bg/>
      <dgm:whole/>
    </dgm:dataModel>
  </dgm:clrData>
  <dgm:layoutNode name="Name0">
    <dgm:varLst>
      <dgm:chMax val="1"/>
      <dgm:chPref val="1"/>
      <dgm:dir/>
      <dgm:animOne val="branch"/>
      <dgm:animLvl val="lvl"/>
    </dgm:varLst>
    <dgm:alg type="composite">
      <dgm:param type="ar" val="1.00"/>
    </dgm:alg>
    <dgm:shape xmlns:r="http://schemas.openxmlformats.org/officeDocument/2006/relationships" r:blip="">
      <dgm:adjLst/>
    </dgm:shape>
    <dgm:choose name="Name1">
      <dgm:if name="Name2" func="var" arg="dir" op="equ" val="norm">
        <dgm:choose name="Name3">
          <dgm:if name="Name4" axis="ch ch" ptType="node node" cnt="1 0" func="cnt" op="equ" val="1">
            <dgm:constrLst>
              <dgm:constr type="l" for="ch" forName="textCenter"/>
              <dgm:constr type="ctrY" for="ch" forName="textCenter" refType="h" fact="0.5"/>
              <dgm:constr type="w" for="ch" forName="textCenter" refType="w" fact="0.32"/>
              <dgm:constr type="h" for="ch" forName="textCenter" refType="w" refFor="ch" refForName="textCenter"/>
              <dgm:constr type="r" for="ch" forName="cycle_1" refType="w"/>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5" axis="ch ch" ptType="node node" cnt="1 0"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6" axis="ch ch" ptType="node node" cnt="1 0" func="cnt" op="equ" val="3">
            <dgm:choose name="Name7">
              <dgm:if name="Name8" axis="ch ch ch" ptType="node node node" st="1 2 0" cnt="1 1 0" func="cnt" op="equ" val="1">
                <dgm:choose name="Name9">
                  <dgm:if name="Name10"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12">
                <dgm:choose name="Name13">
                  <dgm:if name="Name14"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5">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16" axis="ch ch" ptType="node node" cnt="1 0"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r" for="ch" forName="cycle_2" refType="w"/>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l" for="ch" forName="cycle_4"/>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17" axis="ch ch" ptType="node node" cnt="1 0"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24"/>
              <dgm:constr type="w" for="ch" forName="cycle_2" refType="w" fact="0.33"/>
              <dgm:constr type="h" for="ch" forName="cycle_2" refType="w" refFor="ch" refForName="cycle_2"/>
              <dgm:constr type="r" for="ch" forName="cycle_3" refType="w" fact="0.89"/>
              <dgm:constr type="b" for="ch" forName="cycle_3" refType="h"/>
              <dgm:constr type="w" for="ch" forName="cycle_3" refType="w" fact="0.33"/>
              <dgm:constr type="h" for="ch" forName="cycle_3" refType="w" refFor="ch" refForName="cycle_3"/>
              <dgm:constr type="l" for="ch" forName="cycle_4" refType="w" fact="0.11"/>
              <dgm:constr type="b" for="ch" forName="cycle_4" refType="h"/>
              <dgm:constr type="w" for="ch" forName="cycle_4" refType="w" fact="0.33"/>
              <dgm:constr type="h" for="ch" forName="cycle_4" refType="w" refFor="ch" refForName="cycle_4"/>
              <dgm:constr type="l" for="ch" forName="cycle_5"/>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18" axis="ch ch" ptType="node node" cnt="1 0"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17"/>
              <dgm:constr type="w" for="ch" forName="cycle_2" refType="w" fact="0.33"/>
              <dgm:constr type="h" for="ch" forName="cycle_2" refType="w" refFor="ch" refForName="cycle_2"/>
              <dgm:constr type="r" for="ch" forName="cycle_3" refType="w"/>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l" for="ch" forName="cycle_5"/>
              <dgm:constr type="b" for="ch" forName="cycle_5" refType="h" fact="0.83"/>
              <dgm:constr type="w" for="ch" forName="cycle_5" refType="w" fact="0.33"/>
              <dgm:constr type="h" for="ch" forName="cycle_5" refType="w" refFor="ch" refForName="cycle_5"/>
              <dgm:constr type="l" for="ch" forName="cycle_6"/>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19">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r" for="ch" forName="cycle_2" refType="w" fact="0.938"/>
              <dgm:constr type="t" for="ch" forName="cycle_2" refType="h" fact="0.141"/>
              <dgm:constr type="w" for="ch" forName="cycle_2" refType="w" fact="0.263"/>
              <dgm:constr type="h" for="ch" forName="cycle_2" refType="w" refFor="ch" refForName="cycle_2"/>
              <dgm:constr type="r" for="ch" forName="cycle_3" refType="w"/>
              <dgm:constr type="b" for="ch" forName="cycle_3" refType="h" fact="0.74"/>
              <dgm:constr type="w" for="ch" forName="cycle_3" refType="w" fact="0.263"/>
              <dgm:constr type="h" for="ch" forName="cycle_3" refType="w" refFor="ch" refForName="cycle_3"/>
              <dgm:constr type="r" for="ch" forName="cycle_4" refType="w" fact="0.8"/>
              <dgm:constr type="b" for="ch" forName="cycle_4" refType="h"/>
              <dgm:constr type="w" for="ch" forName="cycle_4" refType="w" fact="0.263"/>
              <dgm:constr type="h" for="ch" forName="cycle_4" refType="w" refFor="ch" refForName="cycle_4"/>
              <dgm:constr type="l" for="ch" forName="cycle_5" refType="w" fact="0.2"/>
              <dgm:constr type="b" for="ch" forName="cycle_5" refType="h"/>
              <dgm:constr type="w" for="ch" forName="cycle_5" refType="w" fact="0.263"/>
              <dgm:constr type="h" for="ch" forName="cycle_5" refType="w" refFor="ch" refForName="cycle_5"/>
              <dgm:constr type="l" for="ch" forName="cycle_6"/>
              <dgm:constr type="b" for="ch" forName="cycle_6" refType="h" fact="0.74"/>
              <dgm:constr type="w" for="ch" forName="cycle_6" refType="w" fact="0.263"/>
              <dgm:constr type="h" for="ch" forName="cycle_6" refType="w" refFor="ch" refForName="cycle_6"/>
              <dgm:constr type="l" for="ch" forName="cycle_7" refType="w" fact="0.062"/>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if>
      <dgm:else name="Name20">
        <dgm:choose name="Name21">
          <dgm:if name="Name22" axis="ch ch" ptType="node node" func="cnt" op="equ" val="1">
            <dgm:constrLst>
              <dgm:constr type="r" for="ch" forName="textCenter" refType="w"/>
              <dgm:constr type="ctrY" for="ch" forName="textCenter" refType="h" fact="0.5"/>
              <dgm:constr type="w" for="ch" forName="textCenter" refType="w" fact="0.32"/>
              <dgm:constr type="h" for="ch" forName="textCenter" refType="w" refFor="ch" refForName="textCenter"/>
              <dgm:constr type="l" for="ch" forName="cycle_1"/>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23" axis="ch ch" ptType="node node"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24" axis="ch ch" ptType="node node" func="cnt" op="equ" val="3">
            <dgm:choose name="Name25">
              <dgm:if name="Name26" axis="ch ch ch" ptType="node node node" st="1 2 0" cnt="1 1 0" func="cnt" op="equ" val="1">
                <dgm:choose name="Name27">
                  <dgm:if name="Name28"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29">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30">
                <dgm:choose name="Name31">
                  <dgm:if name="Name32"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33">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34" axis="ch ch" ptType="node node"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l" for="ch" forName="cycle_2"/>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r" for="ch" forName="cycle_4" refType="w"/>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35" axis="ch ch" ptType="node node"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24"/>
              <dgm:constr type="w" for="ch" forName="cycle_2" refType="w" fact="0.33"/>
              <dgm:constr type="h" for="ch" forName="cycle_2" refType="w" refFor="ch" refForName="cycle_2"/>
              <dgm:constr type="l" for="ch" forName="cycle_3" refType="w" fact="0.11"/>
              <dgm:constr type="b" for="ch" forName="cycle_3" refType="h"/>
              <dgm:constr type="w" for="ch" forName="cycle_3" refType="w" fact="0.33"/>
              <dgm:constr type="h" for="ch" forName="cycle_3" refType="w" refFor="ch" refForName="cycle_3"/>
              <dgm:constr type="r" for="ch" forName="cycle_4" refType="w" fact="0.89"/>
              <dgm:constr type="b" for="ch" forName="cycle_4" refType="h"/>
              <dgm:constr type="w" for="ch" forName="cycle_4" refType="w" fact="0.33"/>
              <dgm:constr type="h" for="ch" forName="cycle_4" refType="w" refFor="ch" refForName="cycle_4"/>
              <dgm:constr type="r" for="ch" forName="cycle_5" refType="w"/>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36" axis="ch ch" ptType="node node"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17"/>
              <dgm:constr type="w" for="ch" forName="cycle_2" refType="w" fact="0.33"/>
              <dgm:constr type="h" for="ch" forName="cycle_2" refType="w" refFor="ch" refForName="cycle_2"/>
              <dgm:constr type="l" for="ch" forName="cycle_3"/>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r" for="ch" forName="cycle_5" refType="w"/>
              <dgm:constr type="b" for="ch" forName="cycle_5" refType="h" fact="0.83"/>
              <dgm:constr type="w" for="ch" forName="cycle_5" refType="w" fact="0.33"/>
              <dgm:constr type="h" for="ch" forName="cycle_5" refType="w" refFor="ch" refForName="cycle_5"/>
              <dgm:constr type="r" for="ch" forName="cycle_6" refType="w"/>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37">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l" for="ch" forName="cycle_2" refType="w" fact="0.062"/>
              <dgm:constr type="t" for="ch" forName="cycle_2" refType="h" fact="0.141"/>
              <dgm:constr type="w" for="ch" forName="cycle_2" refType="w" fact="0.263"/>
              <dgm:constr type="h" for="ch" forName="cycle_2" refType="w" refFor="ch" refForName="cycle_2"/>
              <dgm:constr type="l" for="ch" forName="cycle_3"/>
              <dgm:constr type="b" for="ch" forName="cycle_3" refType="h" fact="0.74"/>
              <dgm:constr type="w" for="ch" forName="cycle_3" refType="w" fact="0.263"/>
              <dgm:constr type="h" for="ch" forName="cycle_3" refType="w" refFor="ch" refForName="cycle_3"/>
              <dgm:constr type="l" for="ch" forName="cycle_4" refType="w" fact="0.2"/>
              <dgm:constr type="b" for="ch" forName="cycle_4" refType="h"/>
              <dgm:constr type="w" for="ch" forName="cycle_4" refType="w" fact="0.263"/>
              <dgm:constr type="h" for="ch" forName="cycle_4" refType="w" refFor="ch" refForName="cycle_4"/>
              <dgm:constr type="r" for="ch" forName="cycle_5" refType="w" fact="0.8"/>
              <dgm:constr type="b" for="ch" forName="cycle_5" refType="h"/>
              <dgm:constr type="w" for="ch" forName="cycle_5" refType="w" fact="0.263"/>
              <dgm:constr type="h" for="ch" forName="cycle_5" refType="w" refFor="ch" refForName="cycle_5"/>
              <dgm:constr type="r" for="ch" forName="cycle_6" refType="w"/>
              <dgm:constr type="b" for="ch" forName="cycle_6" refType="h" fact="0.74"/>
              <dgm:constr type="w" for="ch" forName="cycle_6" refType="w" fact="0.263"/>
              <dgm:constr type="h" for="ch" forName="cycle_6" refType="w" refFor="ch" refForName="cycle_6"/>
              <dgm:constr type="r" for="ch" forName="cycle_7" refType="w" fact="0.938"/>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else>
    </dgm:choose>
    <dgm:forEach name="Name38" axis="ch" ptType="node" cnt="1">
      <dgm:choose name="Name39">
        <dgm:if name="Name40" axis="des" func="maxDepth" op="lte" val="1">
          <dgm:layoutNode name="singleCycle">
            <dgm:choose name="Name41">
              <dgm:if name="Name42" axis="ch" ptType="node" func="cnt" op="equ" val="1">
                <dgm:choose name="Name43">
                  <dgm:if name="Name44" func="var" arg="dir" op="equ" val="norm">
                    <dgm:alg type="cycle">
                      <dgm:param type="stAng" val="90"/>
                      <dgm:param type="ctrShpMap" val="fNode"/>
                    </dgm:alg>
                  </dgm:if>
                  <dgm:else name="Name45">
                    <dgm:alg type="cycle">
                      <dgm:param type="stAng" val="-90"/>
                      <dgm:param type="spanAng" val="-360"/>
                      <dgm:param type="ctrShpMap" val="fNode"/>
                    </dgm:alg>
                  </dgm:else>
                </dgm:choose>
              </dgm:if>
              <dgm:else name="Name46">
                <dgm:choose name="Name47">
                  <dgm:if name="Name48" func="var" arg="dir" op="equ" val="norm">
                    <dgm:alg type="cycle">
                      <dgm:param type="ctrShpMap" val="fNode"/>
                    </dgm:alg>
                  </dgm:if>
                  <dgm:else name="Name49">
                    <dgm:alg type="cycle">
                      <dgm:param type="spanAng" val="-360"/>
                      <dgm:param type="ctrShpMap" val="fNode"/>
                    </dgm:alg>
                  </dgm:else>
                </dgm:choose>
              </dgm:else>
            </dgm:choose>
            <dgm:shape xmlns:r="http://schemas.openxmlformats.org/officeDocument/2006/relationships" r:blip="">
              <dgm:adjLst/>
            </dgm:shape>
            <dgm:presOf/>
            <dgm:choose name="Name50">
              <dgm:if name="Name51" axis="ch" ptType="node" func="cnt" op="equ" val="0">
                <dgm:constrLst>
                  <dgm:constr type="w" for="ch" forName="singleCenter" refType="w"/>
                  <dgm:constr type="h" for="ch" forName="singleCenter" refType="w" refFor="ch" refForName="singleCenter"/>
                </dgm:constrLst>
              </dgm:if>
              <dgm:if name="Name52" axis="ch" ptType="node" func="cnt" op="equ" val="1">
                <dgm:constrLst>
                  <dgm:constr type="w" for="ch" forName="singleCenter" refType="w" fact="0.5"/>
                  <dgm:constr type="h" for="ch" forName="singleCenter" refType="w" refFor="ch" refForName="singleCenter"/>
                  <dgm:constr type="userS" for="ch" ptType="node" refType="w" refFor="ch" refForName="singleCenter" fact="0.67"/>
                </dgm:constrLst>
              </dgm:if>
              <dgm:else name="Name53">
                <dgm:constrLst>
                  <dgm:constr type="w" for="ch" forName="singleCenter" refType="w" fact="0.3"/>
                  <dgm:constr type="h" for="ch" forName="singleCenter" refType="w" refFor="ch" refForName="singleCenter"/>
                  <dgm:constr type="userS" for="ch" ptType="node" refType="w" refFor="ch" refForName="singleCenter" fact="0.67"/>
                </dgm:constrLst>
              </dgm:else>
            </dgm:choose>
            <dgm:layoutNode name="singleCenter" styleLbl="node1">
              <dgm:varLst>
                <dgm:chMax val="7"/>
                <dgm:chPref val="7"/>
              </dgm:varLst>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54" axis="ch" cnt="21">
              <dgm:forEach name="Name55" axis="self" ptType="parTrans">
                <dgm:layoutNode name="Name5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57" axis="self" ptType="node">
                <dgm:layoutNode name="text0"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layoutNode>
        </dgm:if>
        <dgm:else name="Name58">
          <dgm:layoutNode name="textCenter" styleLbl="node1">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choose name="Name59">
            <dgm:if name="Name60" axis="ch" ptType="node" func="cnt" op="gte" val="1">
              <dgm:layoutNode name="cycle_1">
                <dgm:choose name="Name61">
                  <dgm:if name="Name62" func="var" arg="dir" op="equ" val="norm">
                    <dgm:choose name="Name63">
                      <dgm:if name="Name64" axis="ch" ptType="node" func="cnt" op="equ" val="1">
                        <dgm:choose name="Name65">
                          <dgm:if name="Name66" axis="ch ch" ptType="node node" st="1 1" cnt="1 0" func="cnt" op="equ" val="1">
                            <dgm:alg type="cycle">
                              <dgm:param type="ctrShpMap" val="fNode"/>
                              <dgm:param type="stAng" val="90"/>
                            </dgm:alg>
                          </dgm:if>
                          <dgm:if name="Name67" axis="ch ch" ptType="node node" st="1 1" cnt="1 0" func="cnt" op="equ" val="2">
                            <dgm:alg type="cycle">
                              <dgm:param type="ctrShpMap" val="fNode"/>
                              <dgm:param type="stAng" val="45"/>
                              <dgm:param type="spanAng" val="90"/>
                            </dgm:alg>
                          </dgm:if>
                          <dgm:else name="Name68">
                            <dgm:alg type="cycle">
                              <dgm:param type="ctrShpMap" val="fNode"/>
                              <dgm:param type="stAng" val="0"/>
                              <dgm:param type="spanAng" val="180"/>
                            </dgm:alg>
                          </dgm:else>
                        </dgm:choose>
                      </dgm:if>
                      <dgm:if name="Name69" axis="ch" ptType="node" func="cnt" op="equ" val="2">
                        <dgm:choose name="Name70">
                          <dgm:if name="Name71" axis="ch ch" ptType="node node" st="1 1" cnt="1 0" func="cnt" op="equ" val="1">
                            <dgm:alg type="cycle">
                              <dgm:param type="ctrShpMap" val="fNode"/>
                              <dgm:param type="stAng" val="0"/>
                            </dgm:alg>
                          </dgm:if>
                          <dgm:if name="Name72" axis="ch ch" ptType="node node" st="1 1" cnt="1 0" func="cnt" op="equ" val="2">
                            <dgm:alg type="cycle">
                              <dgm:param type="ctrShpMap" val="fNode"/>
                              <dgm:param type="stAng" val="315"/>
                              <dgm:param type="spanAng" val="90"/>
                            </dgm:alg>
                          </dgm:if>
                          <dgm:else name="Name73">
                            <dgm:alg type="cycle">
                              <dgm:param type="ctrShpMap" val="fNode"/>
                              <dgm:param type="stAng" val="270"/>
                              <dgm:param type="spanAng" val="180"/>
                            </dgm:alg>
                          </dgm:else>
                        </dgm:choose>
                      </dgm:if>
                      <dgm:if name="Name74" axis="ch" ptType="node" func="cnt" op="equ" val="3">
                        <dgm:choose name="Name75">
                          <dgm:if name="Name76" axis="ch ch" ptType="node node" st="1 1" cnt="1 0" func="cnt" op="equ" val="1">
                            <dgm:alg type="cycle">
                              <dgm:param type="ctrShpMap" val="fNode"/>
                              <dgm:param type="stAng" val="0"/>
                            </dgm:alg>
                          </dgm:if>
                          <dgm:if name="Name77" axis="ch ch" ptType="node node" st="1 1" cnt="1 0" func="cnt" op="equ" val="2">
                            <dgm:alg type="cycle">
                              <dgm:param type="ctrShpMap" val="fNode"/>
                              <dgm:param type="stAng" val="315"/>
                              <dgm:param type="spanAng" val="90"/>
                            </dgm:alg>
                          </dgm:if>
                          <dgm:else name="Name78">
                            <dgm:alg type="cycle">
                              <dgm:param type="ctrShpMap" val="fNode"/>
                              <dgm:param type="stAng" val="270"/>
                              <dgm:param type="spanAng" val="180"/>
                            </dgm:alg>
                          </dgm:else>
                        </dgm:choose>
                      </dgm:if>
                      <dgm:if name="Name79" axis="ch" ptType="node" func="cnt" op="equ" val="4">
                        <dgm:choose name="Name80">
                          <dgm:if name="Name81" axis="ch ch" ptType="node node" st="1 1" cnt="1 0" func="cnt" op="equ" val="1">
                            <dgm:alg type="cycle">
                              <dgm:param type="ctrShpMap" val="fNode"/>
                              <dgm:param type="stAng" val="0"/>
                            </dgm:alg>
                          </dgm:if>
                          <dgm:if name="Name82" axis="ch ch" ptType="node node" st="1 1" cnt="1 0" func="cnt" op="equ" val="2">
                            <dgm:alg type="cycle">
                              <dgm:param type="ctrShpMap" val="fNode"/>
                              <dgm:param type="stAng" val="315"/>
                              <dgm:param type="spanAng" val="90"/>
                            </dgm:alg>
                          </dgm:if>
                          <dgm:else name="Name83">
                            <dgm:alg type="cycle">
                              <dgm:param type="ctrShpMap" val="fNode"/>
                              <dgm:param type="stAng" val="292.5"/>
                              <dgm:param type="spanAng" val="135"/>
                            </dgm:alg>
                          </dgm:else>
                        </dgm:choose>
                      </dgm:if>
                      <dgm:if name="Name84" axis="ch" ptType="node" func="cnt" op="equ" val="5">
                        <dgm:choose name="Name85">
                          <dgm:if name="Name86" axis="ch ch" ptType="node node" st="1 1" cnt="1 0" func="cnt" op="equ" val="1">
                            <dgm:alg type="cycle">
                              <dgm:param type="ctrShpMap" val="fNode"/>
                              <dgm:param type="stAng" val="0"/>
                            </dgm:alg>
                          </dgm:if>
                          <dgm:if name="Name87" axis="ch ch" ptType="node node" st="1 1" cnt="1 0" func="cnt" op="equ" val="2">
                            <dgm:alg type="cycle">
                              <dgm:param type="ctrShpMap" val="fNode"/>
                              <dgm:param type="stAng" val="315"/>
                              <dgm:param type="spanAng" val="90"/>
                            </dgm:alg>
                          </dgm:if>
                          <dgm:else name="Name88">
                            <dgm:alg type="cycle">
                              <dgm:param type="ctrShpMap" val="fNode"/>
                              <dgm:param type="stAng" val="0"/>
                              <dgm:param type="spanAng" val="360"/>
                            </dgm:alg>
                          </dgm:else>
                        </dgm:choose>
                      </dgm:if>
                      <dgm:if name="Name89" axis="ch" ptType="node" func="cnt" op="equ" val="6">
                        <dgm:choose name="Name90">
                          <dgm:if name="Name91" axis="ch ch" ptType="node node" st="1 1" cnt="1 0" func="cnt" op="equ" val="1">
                            <dgm:alg type="cycle">
                              <dgm:param type="ctrShpMap" val="fNode"/>
                              <dgm:param type="stAng" val="0"/>
                            </dgm:alg>
                          </dgm:if>
                          <dgm:if name="Name92" axis="ch ch" ptType="node node" st="1 1" cnt="1 0" func="cnt" op="equ" val="2">
                            <dgm:alg type="cycle">
                              <dgm:param type="ctrShpMap" val="fNode"/>
                              <dgm:param type="stAng" val="315"/>
                              <dgm:param type="spanAng" val="90"/>
                            </dgm:alg>
                          </dgm:if>
                          <dgm:else name="Name93">
                            <dgm:alg type="cycle">
                              <dgm:param type="ctrShpMap" val="fNode"/>
                              <dgm:param type="stAng" val="0"/>
                              <dgm:param type="spanAng" val="360"/>
                            </dgm:alg>
                          </dgm:else>
                        </dgm:choose>
                      </dgm:if>
                      <dgm:if name="Name94" axis="ch" ptType="node" func="cnt" op="gte" val="7">
                        <dgm:choose name="Name95">
                          <dgm:if name="Name96" axis="ch ch" ptType="node node" st="1 1" cnt="1 0" func="cnt" op="equ" val="1">
                            <dgm:alg type="cycle">
                              <dgm:param type="ctrShpMap" val="fNode"/>
                              <dgm:param type="stAng" val="0"/>
                            </dgm:alg>
                          </dgm:if>
                          <dgm:if name="Name97" axis="ch ch" ptType="node node" st="1 1" cnt="1 0" func="cnt" op="equ" val="2">
                            <dgm:alg type="cycle">
                              <dgm:param type="ctrShpMap" val="fNode"/>
                              <dgm:param type="stAng" val="315"/>
                              <dgm:param type="spanAng" val="90"/>
                            </dgm:alg>
                          </dgm:if>
                          <dgm:else name="Name98">
                            <dgm:alg type="cycle">
                              <dgm:param type="ctrShpMap" val="fNode"/>
                              <dgm:param type="stAng" val="0"/>
                              <dgm:param type="spanAng" val="360"/>
                            </dgm:alg>
                          </dgm:else>
                        </dgm:choose>
                      </dgm:if>
                      <dgm:else name="Name99"/>
                    </dgm:choose>
                  </dgm:if>
                  <dgm:else name="Name100">
                    <dgm:choose name="Name101">
                      <dgm:if name="Name102" axis="ch" ptType="node" func="cnt" op="equ" val="1">
                        <dgm:choose name="Name103">
                          <dgm:if name="Name104" axis="ch ch" ptType="node node" st="1 1" cnt="1 0" func="cnt" op="equ" val="1">
                            <dgm:alg type="cycle">
                              <dgm:param type="ctrShpMap" val="fNode"/>
                              <dgm:param type="stAng" val="270"/>
                            </dgm:alg>
                          </dgm:if>
                          <dgm:if name="Name105" axis="ch ch" ptType="node node" st="1 1" cnt="1 0" func="cnt" op="equ" val="2">
                            <dgm:alg type="cycle">
                              <dgm:param type="ctrShpMap" val="fNode"/>
                              <dgm:param type="stAng" val="315"/>
                              <dgm:param type="spanAng" val="-90"/>
                            </dgm:alg>
                          </dgm:if>
                          <dgm:else name="Name106">
                            <dgm:alg type="cycle">
                              <dgm:param type="ctrShpMap" val="fNode"/>
                              <dgm:param type="stAng" val="0"/>
                              <dgm:param type="spanAng" val="-180"/>
                            </dgm:alg>
                          </dgm:else>
                        </dgm:choose>
                      </dgm:if>
                      <dgm:if name="Name107" axis="ch" ptType="node" func="cnt" op="equ" val="2">
                        <dgm:choose name="Name108">
                          <dgm:if name="Name109" axis="ch ch" ptType="node node" st="1 1" cnt="1 0" func="cnt" op="equ" val="1">
                            <dgm:alg type="cycle">
                              <dgm:param type="ctrShpMap" val="fNode"/>
                              <dgm:param type="stAng" val="0"/>
                            </dgm:alg>
                          </dgm:if>
                          <dgm:if name="Name110" axis="ch ch" ptType="node node" st="1 1" cnt="1 0" func="cnt" op="equ" val="2">
                            <dgm:alg type="cycle">
                              <dgm:param type="ctrShpMap" val="fNode"/>
                              <dgm:param type="stAng" val="45"/>
                              <dgm:param type="spanAng" val="-90"/>
                            </dgm:alg>
                          </dgm:if>
                          <dgm:else name="Name111">
                            <dgm:alg type="cycle">
                              <dgm:param type="ctrShpMap" val="fNode"/>
                              <dgm:param type="stAng" val="90"/>
                              <dgm:param type="spanAng" val="-180"/>
                            </dgm:alg>
                          </dgm:else>
                        </dgm:choose>
                      </dgm:if>
                      <dgm:if name="Name112" axis="ch" ptType="node" func="cnt" op="equ" val="3">
                        <dgm:choose name="Name113">
                          <dgm:if name="Name114" axis="ch ch" ptType="node node" st="1 1" cnt="1 0" func="cnt" op="equ" val="1">
                            <dgm:alg type="cycle">
                              <dgm:param type="ctrShpMap" val="fNode"/>
                              <dgm:param type="stAng" val="0"/>
                            </dgm:alg>
                          </dgm:if>
                          <dgm:if name="Name115" axis="ch ch" ptType="node node" st="1 1" cnt="1 0" func="cnt" op="equ" val="2">
                            <dgm:alg type="cycle">
                              <dgm:param type="ctrShpMap" val="fNode"/>
                              <dgm:param type="stAng" val="45"/>
                              <dgm:param type="spanAng" val="-90"/>
                            </dgm:alg>
                          </dgm:if>
                          <dgm:else name="Name116">
                            <dgm:alg type="cycle">
                              <dgm:param type="ctrShpMap" val="fNode"/>
                              <dgm:param type="stAng" val="90"/>
                              <dgm:param type="spanAng" val="-180"/>
                            </dgm:alg>
                          </dgm:else>
                        </dgm:choose>
                      </dgm:if>
                      <dgm:if name="Name117" axis="ch" ptType="node" func="cnt" op="equ" val="4">
                        <dgm:choose name="Name118">
                          <dgm:if name="Name119" axis="ch ch" ptType="node node" st="1 1" cnt="1 0" func="cnt" op="equ" val="1">
                            <dgm:alg type="cycle">
                              <dgm:param type="ctrShpMap" val="fNode"/>
                              <dgm:param type="stAng" val="0"/>
                            </dgm:alg>
                          </dgm:if>
                          <dgm:if name="Name120" axis="ch ch" ptType="node node" st="1 1" cnt="1 0" func="cnt" op="equ" val="2">
                            <dgm:alg type="cycle">
                              <dgm:param type="ctrShpMap" val="fNode"/>
                              <dgm:param type="stAng" val="45"/>
                              <dgm:param type="spanAng" val="-90"/>
                            </dgm:alg>
                          </dgm:if>
                          <dgm:else name="Name121">
                            <dgm:alg type="cycle">
                              <dgm:param type="ctrShpMap" val="fNode"/>
                              <dgm:param type="stAng" val="67.5"/>
                              <dgm:param type="spanAng" val="-135"/>
                            </dgm:alg>
                          </dgm:else>
                        </dgm:choose>
                      </dgm:if>
                      <dgm:if name="Name122" axis="ch" ptType="node" func="cnt" op="equ" val="5">
                        <dgm:choose name="Name123">
                          <dgm:if name="Name124" axis="ch ch" ptType="node node" st="1 1" cnt="1 0" func="cnt" op="equ" val="1">
                            <dgm:alg type="cycle">
                              <dgm:param type="ctrShpMap" val="fNode"/>
                              <dgm:param type="stAng" val="0"/>
                            </dgm:alg>
                          </dgm:if>
                          <dgm:if name="Name125" axis="ch ch" ptType="node node" st="1 1" cnt="1 0" func="cnt" op="equ" val="2">
                            <dgm:alg type="cycle">
                              <dgm:param type="ctrShpMap" val="fNode"/>
                              <dgm:param type="stAng" val="45"/>
                              <dgm:param type="spanAng" val="-90"/>
                            </dgm:alg>
                          </dgm:if>
                          <dgm:else name="Name126">
                            <dgm:alg type="cycle">
                              <dgm:param type="ctrShpMap" val="fNode"/>
                              <dgm:param type="stAng" val="0"/>
                              <dgm:param type="spanAng" val="-360"/>
                            </dgm:alg>
                          </dgm:else>
                        </dgm:choose>
                      </dgm:if>
                      <dgm:if name="Name127" axis="ch" ptType="node" func="cnt" op="equ" val="6">
                        <dgm:choose name="Name128">
                          <dgm:if name="Name129" axis="ch ch" ptType="node node" st="1 1" cnt="1 0" func="cnt" op="equ" val="1">
                            <dgm:alg type="cycle">
                              <dgm:param type="ctrShpMap" val="fNode"/>
                              <dgm:param type="stAng" val="0"/>
                            </dgm:alg>
                          </dgm:if>
                          <dgm:if name="Name130" axis="ch ch" ptType="node node" st="1 1" cnt="1 0" func="cnt" op="equ" val="2">
                            <dgm:alg type="cycle">
                              <dgm:param type="ctrShpMap" val="fNode"/>
                              <dgm:param type="stAng" val="45"/>
                              <dgm:param type="spanAng" val="-90"/>
                            </dgm:alg>
                          </dgm:if>
                          <dgm:else name="Name131">
                            <dgm:alg type="cycle">
                              <dgm:param type="ctrShpMap" val="fNode"/>
                              <dgm:param type="stAng" val="0"/>
                              <dgm:param type="spanAng" val="-360"/>
                            </dgm:alg>
                          </dgm:else>
                        </dgm:choose>
                      </dgm:if>
                      <dgm:if name="Name132" axis="ch" ptType="node" func="cnt" op="gte" val="7">
                        <dgm:choose name="Name133">
                          <dgm:if name="Name134" axis="ch ch" ptType="node node" st="1 1" cnt="1 0" func="cnt" op="equ" val="1">
                            <dgm:alg type="cycle">
                              <dgm:param type="ctrShpMap" val="fNode"/>
                              <dgm:param type="stAng" val="0"/>
                            </dgm:alg>
                          </dgm:if>
                          <dgm:if name="Name135" axis="ch ch" ptType="node node" st="1 1" cnt="1 0" func="cnt" op="equ" val="2">
                            <dgm:alg type="cycle">
                              <dgm:param type="ctrShpMap" val="fNode"/>
                              <dgm:param type="stAng" val="45"/>
                              <dgm:param type="spanAng" val="-90"/>
                            </dgm:alg>
                          </dgm:if>
                          <dgm:else name="Name136">
                            <dgm:alg type="cycle">
                              <dgm:param type="ctrShpMap" val="fNode"/>
                              <dgm:param type="stAng" val="0"/>
                              <dgm:param type="spanAng" val="-360"/>
                            </dgm:alg>
                          </dgm:else>
                        </dgm:choose>
                      </dgm:if>
                      <dgm:else name="Name137"/>
                    </dgm:choose>
                  </dgm:else>
                </dgm:choose>
                <dgm:shape xmlns:r="http://schemas.openxmlformats.org/officeDocument/2006/relationships" r:blip="">
                  <dgm:adjLst/>
                </dgm:shape>
                <dgm:presOf/>
                <dgm:constrLst>
                  <dgm:constr type="sp" refType="w" fact="0.1"/>
                  <dgm:constr type="sibSp" refType="w" fact="0.1"/>
                </dgm:constrLst>
                <dgm:forEach name="Name138" axis="ch" ptType="node" cnt="1">
                  <dgm:layoutNode name="childCenter1"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139" axis="ch">
                    <dgm:forEach name="Name140" axis="self" ptType="parTrans">
                      <dgm:layoutNode name="Name141">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142" axis="self" ptType="node">
                      <dgm:layoutNode name="text1"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143" axis="ch" ptType="parTrans" cnt="1">
                <dgm:layoutNode name="Name144">
                  <dgm:alg type="conn">
                    <dgm:param type="dim" val="1D"/>
                    <dgm:param type="begPts" val="auto"/>
                    <dgm:param type="endPts" val="auto"/>
                    <dgm:param type="endSty" val="noArr"/>
                    <dgm:param type="srcNode" val="textCenter"/>
                    <dgm:param type="dstNode" val="childCenter1"/>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145"/>
          </dgm:choose>
          <dgm:choose name="Name146">
            <dgm:if name="Name147" axis="ch" ptType="node" func="cnt" op="gte" val="2">
              <dgm:layoutNode name="cycle_2">
                <dgm:choose name="Name148">
                  <dgm:if name="Name149" func="var" arg="dir" op="equ" val="norm">
                    <dgm:choose name="Name150">
                      <dgm:if name="Name151" axis="ch" ptType="node" func="cnt" op="equ" val="2">
                        <dgm:choose name="Name152">
                          <dgm:if name="Name153" axis="ch ch" ptType="node node" st="2 1" cnt="1 0" func="cnt" op="equ" val="1">
                            <dgm:alg type="cycle">
                              <dgm:param type="ctrShpMap" val="fNode"/>
                              <dgm:param type="stAng" val="180"/>
                            </dgm:alg>
                          </dgm:if>
                          <dgm:if name="Name154" axis="ch ch" ptType="node node" st="2 1" cnt="1 0" func="cnt" op="equ" val="2">
                            <dgm:alg type="cycle">
                              <dgm:param type="ctrShpMap" val="fNode"/>
                              <dgm:param type="stAng" val="135"/>
                              <dgm:param type="spanAng" val="90"/>
                            </dgm:alg>
                          </dgm:if>
                          <dgm:else name="Name155">
                            <dgm:alg type="cycle">
                              <dgm:param type="ctrShpMap" val="fNode"/>
                              <dgm:param type="stAng" val="90"/>
                              <dgm:param type="spanAng" val="180"/>
                            </dgm:alg>
                          </dgm:else>
                        </dgm:choose>
                      </dgm:if>
                      <dgm:if name="Name156" axis="ch" ptType="node" func="cnt" op="equ" val="3">
                        <dgm:choose name="Name157">
                          <dgm:if name="Name158" axis="ch ch" ptType="node node" st="2 1" cnt="1 0" func="cnt" op="equ" val="1">
                            <dgm:alg type="cycle">
                              <dgm:param type="ctrShpMap" val="fNode"/>
                              <dgm:param type="stAng" val="120"/>
                              <dgm:param type="horzAlign" val="r"/>
                              <dgm:param type="vertAlign" val="b"/>
                            </dgm:alg>
                          </dgm:if>
                          <dgm:if name="Name159" axis="ch ch" ptType="node node" st="2 1" cnt="1 0" func="cnt" op="equ" val="2">
                            <dgm:alg type="cycle">
                              <dgm:param type="ctrShpMap" val="fNode"/>
                              <dgm:param type="stAng" val="75"/>
                              <dgm:param type="spanAng" val="90"/>
                              <dgm:param type="horzAlign" val="r"/>
                              <dgm:param type="vertAlign" val="b"/>
                            </dgm:alg>
                          </dgm:if>
                          <dgm:else name="Name160">
                            <dgm:alg type="cycle">
                              <dgm:param type="ctrShpMap" val="fNode"/>
                              <dgm:param type="stAng" val="30"/>
                              <dgm:param type="spanAng" val="180"/>
                            </dgm:alg>
                          </dgm:else>
                        </dgm:choose>
                      </dgm:if>
                      <dgm:if name="Name161" axis="ch" ptType="node" func="cnt" op="equ" val="4">
                        <dgm:choose name="Name162">
                          <dgm:if name="Name163" axis="ch ch" ptType="node node" st="2 1" cnt="1 0" func="cnt" op="equ" val="1">
                            <dgm:alg type="cycle">
                              <dgm:param type="ctrShpMap" val="fNode"/>
                              <dgm:param type="stAng" val="90"/>
                            </dgm:alg>
                          </dgm:if>
                          <dgm:if name="Name164" axis="ch ch" ptType="node node" st="2 1" cnt="1 0" func="cnt" op="equ" val="2">
                            <dgm:alg type="cycle">
                              <dgm:param type="ctrShpMap" val="fNode"/>
                              <dgm:param type="stAng" val="45"/>
                              <dgm:param type="spanAng" val="90"/>
                            </dgm:alg>
                          </dgm:if>
                          <dgm:else name="Name165">
                            <dgm:alg type="cycle">
                              <dgm:param type="ctrShpMap" val="fNode"/>
                              <dgm:param type="stAng" val="22.5"/>
                              <dgm:param type="spanAng" val="135"/>
                            </dgm:alg>
                          </dgm:else>
                        </dgm:choose>
                      </dgm:if>
                      <dgm:if name="Name166" axis="ch" ptType="node" func="cnt" op="equ" val="5">
                        <dgm:choose name="Name167">
                          <dgm:if name="Name168" axis="ch ch" ptType="node node" st="2 1" cnt="1 0" func="cnt" op="equ" val="1">
                            <dgm:alg type="cycle">
                              <dgm:param type="ctrShpMap" val="fNode"/>
                              <dgm:param type="stAng" val="72"/>
                            </dgm:alg>
                          </dgm:if>
                          <dgm:if name="Name169" axis="ch ch" ptType="node node" st="2 1" cnt="1 0" func="cnt" op="equ" val="2">
                            <dgm:alg type="cycle">
                              <dgm:param type="ctrShpMap" val="fNode"/>
                              <dgm:param type="stAng" val="27"/>
                              <dgm:param type="spanAng" val="90"/>
                            </dgm:alg>
                          </dgm:if>
                          <dgm:else name="Name170">
                            <dgm:alg type="cycle">
                              <dgm:param type="ctrShpMap" val="fNode"/>
                              <dgm:param type="stAng" val="0"/>
                              <dgm:param type="spanAng" val="360"/>
                            </dgm:alg>
                          </dgm:else>
                        </dgm:choose>
                      </dgm:if>
                      <dgm:if name="Name171" axis="ch" ptType="node" func="cnt" op="equ" val="6">
                        <dgm:choose name="Name172">
                          <dgm:if name="Name173" axis="ch ch" ptType="node node" st="2 1" cnt="1 0" func="cnt" op="equ" val="1">
                            <dgm:alg type="cycle">
                              <dgm:param type="ctrShpMap" val="fNode"/>
                              <dgm:param type="stAng" val="60"/>
                            </dgm:alg>
                          </dgm:if>
                          <dgm:if name="Name174" axis="ch ch" ptType="node node" st="2 1" cnt="1 0" func="cnt" op="equ" val="2">
                            <dgm:alg type="cycle">
                              <dgm:param type="ctrShpMap" val="fNode"/>
                              <dgm:param type="stAng" val="15"/>
                              <dgm:param type="spanAng" val="90"/>
                            </dgm:alg>
                          </dgm:if>
                          <dgm:else name="Name175">
                            <dgm:alg type="cycle">
                              <dgm:param type="ctrShpMap" val="fNode"/>
                              <dgm:param type="stAng" val="0"/>
                              <dgm:param type="spanAng" val="360"/>
                            </dgm:alg>
                          </dgm:else>
                        </dgm:choose>
                      </dgm:if>
                      <dgm:if name="Name176" axis="ch" ptType="node" func="cnt" op="gte" val="7">
                        <dgm:choose name="Name177">
                          <dgm:if name="Name178" axis="ch ch" ptType="node node" st="2 1" cnt="1 0" func="cnt" op="equ" val="1">
                            <dgm:alg type="cycle">
                              <dgm:param type="ctrShpMap" val="fNode"/>
                              <dgm:param type="stAng" val="51"/>
                            </dgm:alg>
                          </dgm:if>
                          <dgm:if name="Name179" axis="ch ch" ptType="node node" st="2 1" cnt="1 0" func="cnt" op="equ" val="2">
                            <dgm:alg type="cycle">
                              <dgm:param type="ctrShpMap" val="fNode"/>
                              <dgm:param type="stAng" val="6"/>
                              <dgm:param type="spanAng" val="90"/>
                            </dgm:alg>
                          </dgm:if>
                          <dgm:else name="Name180">
                            <dgm:alg type="cycle">
                              <dgm:param type="ctrShpMap" val="fNode"/>
                              <dgm:param type="stAng" val="0"/>
                              <dgm:param type="spanAng" val="360"/>
                            </dgm:alg>
                          </dgm:else>
                        </dgm:choose>
                      </dgm:if>
                      <dgm:else name="Name181"/>
                    </dgm:choose>
                  </dgm:if>
                  <dgm:else name="Name182">
                    <dgm:choose name="Name183">
                      <dgm:if name="Name184" axis="ch" ptType="node" func="cnt" op="equ" val="2">
                        <dgm:choose name="Name185">
                          <dgm:if name="Name186" axis="ch ch" ptType="node node" st="2 1" cnt="1 0" func="cnt" op="equ" val="1">
                            <dgm:alg type="cycle">
                              <dgm:param type="ctrShpMap" val="fNode"/>
                              <dgm:param type="stAng" val="180"/>
                            </dgm:alg>
                          </dgm:if>
                          <dgm:if name="Name187" axis="ch ch" ptType="node node" st="2 1" cnt="1 0" func="cnt" op="equ" val="2">
                            <dgm:alg type="cycle">
                              <dgm:param type="ctrShpMap" val="fNode"/>
                              <dgm:param type="stAng" val="225"/>
                              <dgm:param type="spanAng" val="-90"/>
                            </dgm:alg>
                          </dgm:if>
                          <dgm:else name="Name188">
                            <dgm:alg type="cycle">
                              <dgm:param type="ctrShpMap" val="fNode"/>
                              <dgm:param type="stAng" val="270"/>
                              <dgm:param type="spanAng" val="-180"/>
                            </dgm:alg>
                          </dgm:else>
                        </dgm:choose>
                      </dgm:if>
                      <dgm:if name="Name189" axis="ch" ptType="node" func="cnt" op="equ" val="3">
                        <dgm:choose name="Name190">
                          <dgm:if name="Name191" axis="ch ch" ptType="node node" st="2 1" cnt="1 0" func="cnt" op="equ" val="1">
                            <dgm:alg type="cycle">
                              <dgm:param type="ctrShpMap" val="fNode"/>
                              <dgm:param type="stAng" val="240"/>
                              <dgm:param type="horzAlign" val="l"/>
                              <dgm:param type="vertAlign" val="b"/>
                            </dgm:alg>
                          </dgm:if>
                          <dgm:if name="Name192" axis="ch ch" ptType="node node" st="2 1" cnt="1 0" func="cnt" op="equ" val="2">
                            <dgm:alg type="cycle">
                              <dgm:param type="ctrShpMap" val="fNode"/>
                              <dgm:param type="stAng" val="285"/>
                              <dgm:param type="spanAng" val="-90"/>
                              <dgm:param type="horzAlign" val="l"/>
                              <dgm:param type="vertAlign" val="b"/>
                            </dgm:alg>
                          </dgm:if>
                          <dgm:else name="Name193">
                            <dgm:alg type="cycle">
                              <dgm:param type="ctrShpMap" val="fNode"/>
                              <dgm:param type="stAng" val="330"/>
                              <dgm:param type="spanAng" val="-180"/>
                            </dgm:alg>
                          </dgm:else>
                        </dgm:choose>
                      </dgm:if>
                      <dgm:if name="Name194" axis="ch" ptType="node" func="cnt" op="equ" val="4">
                        <dgm:choose name="Name195">
                          <dgm:if name="Name196" axis="ch ch" ptType="node node" st="2 1" cnt="1 0" func="cnt" op="equ" val="1">
                            <dgm:alg type="cycle">
                              <dgm:param type="ctrShpMap" val="fNode"/>
                              <dgm:param type="stAng" val="270"/>
                            </dgm:alg>
                          </dgm:if>
                          <dgm:if name="Name197" axis="ch ch" ptType="node node" st="2 1" cnt="1 0" func="cnt" op="equ" val="2">
                            <dgm:alg type="cycle">
                              <dgm:param type="ctrShpMap" val="fNode"/>
                              <dgm:param type="stAng" val="315"/>
                              <dgm:param type="spanAng" val="-90"/>
                            </dgm:alg>
                          </dgm:if>
                          <dgm:else name="Name198">
                            <dgm:alg type="cycle">
                              <dgm:param type="ctrShpMap" val="fNode"/>
                              <dgm:param type="stAng" val="337.5"/>
                              <dgm:param type="spanAng" val="-135"/>
                            </dgm:alg>
                          </dgm:else>
                        </dgm:choose>
                      </dgm:if>
                      <dgm:if name="Name199" axis="ch" ptType="node" func="cnt" op="equ" val="5">
                        <dgm:choose name="Name200">
                          <dgm:if name="Name201" axis="ch ch" ptType="node node" st="2 1" cnt="1 0" func="cnt" op="equ" val="1">
                            <dgm:alg type="cycle">
                              <dgm:param type="ctrShpMap" val="fNode"/>
                              <dgm:param type="stAng" val="288"/>
                            </dgm:alg>
                          </dgm:if>
                          <dgm:if name="Name202" axis="ch ch" ptType="node node" st="2 1" cnt="1 0" func="cnt" op="equ" val="2">
                            <dgm:alg type="cycle">
                              <dgm:param type="ctrShpMap" val="fNode"/>
                              <dgm:param type="stAng" val="333"/>
                              <dgm:param type="spanAng" val="-90"/>
                            </dgm:alg>
                          </dgm:if>
                          <dgm:else name="Name203">
                            <dgm:alg type="cycle">
                              <dgm:param type="ctrShpMap" val="fNode"/>
                              <dgm:param type="stAng" val="0"/>
                              <dgm:param type="spanAng" val="-360"/>
                            </dgm:alg>
                          </dgm:else>
                        </dgm:choose>
                      </dgm:if>
                      <dgm:if name="Name204" axis="ch" ptType="node" func="cnt" op="equ" val="6">
                        <dgm:choose name="Name205">
                          <dgm:if name="Name206" axis="ch ch" ptType="node node" st="2 1" cnt="1 0" func="cnt" op="equ" val="1">
                            <dgm:alg type="cycle">
                              <dgm:param type="ctrShpMap" val="fNode"/>
                              <dgm:param type="stAng" val="300"/>
                            </dgm:alg>
                          </dgm:if>
                          <dgm:if name="Name207" axis="ch ch" ptType="node node" st="2 1" cnt="1 0" func="cnt" op="equ" val="2">
                            <dgm:alg type="cycle">
                              <dgm:param type="ctrShpMap" val="fNode"/>
                              <dgm:param type="stAng" val="345"/>
                              <dgm:param type="spanAng" val="-90"/>
                            </dgm:alg>
                          </dgm:if>
                          <dgm:else name="Name208">
                            <dgm:alg type="cycle">
                              <dgm:param type="ctrShpMap" val="fNode"/>
                              <dgm:param type="stAng" val="0"/>
                              <dgm:param type="spanAng" val="-360"/>
                            </dgm:alg>
                          </dgm:else>
                        </dgm:choose>
                      </dgm:if>
                      <dgm:if name="Name209" axis="ch" ptType="node" func="cnt" op="gte" val="7">
                        <dgm:choose name="Name210">
                          <dgm:if name="Name211" axis="ch ch" ptType="node node" st="2 1" cnt="1 0" func="cnt" op="equ" val="1">
                            <dgm:alg type="cycle">
                              <dgm:param type="ctrShpMap" val="fNode"/>
                              <dgm:param type="stAng" val="308"/>
                            </dgm:alg>
                          </dgm:if>
                          <dgm:if name="Name212" axis="ch ch" ptType="node node" st="2 1" cnt="1 0" func="cnt" op="equ" val="2">
                            <dgm:alg type="cycle">
                              <dgm:param type="ctrShpMap" val="fNode"/>
                              <dgm:param type="stAng" val="353"/>
                              <dgm:param type="spanAng" val="-90"/>
                            </dgm:alg>
                          </dgm:if>
                          <dgm:else name="Name213">
                            <dgm:alg type="cycle">
                              <dgm:param type="ctrShpMap" val="fNode"/>
                              <dgm:param type="stAng" val="0"/>
                              <dgm:param type="spanAng" val="-360"/>
                            </dgm:alg>
                          </dgm:else>
                        </dgm:choose>
                      </dgm:if>
                      <dgm:else name="Name214"/>
                    </dgm:choose>
                  </dgm:else>
                </dgm:choose>
                <dgm:shape xmlns:r="http://schemas.openxmlformats.org/officeDocument/2006/relationships" r:blip="">
                  <dgm:adjLst/>
                </dgm:shape>
                <dgm:presOf/>
                <dgm:constrLst>
                  <dgm:constr type="sp" refType="w" fact="0.1"/>
                  <dgm:constr type="sibSp" refType="w" fact="0.1"/>
                </dgm:constrLst>
                <dgm:forEach name="Name215" axis="ch" ptType="node" st="2" cnt="1">
                  <dgm:layoutNode name="childCenter2"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16" axis="ch">
                    <dgm:forEach name="Name217" axis="self" ptType="parTrans">
                      <dgm:layoutNode name="Name218">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19" axis="self" ptType="node">
                      <dgm:layoutNode name="text2"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20" axis="ch" ptType="parTrans" st="2" cnt="1">
                <dgm:layoutNode name="Name221">
                  <dgm:alg type="conn">
                    <dgm:param type="dim" val="1D"/>
                    <dgm:param type="begPts" val="auto"/>
                    <dgm:param type="endPts" val="auto"/>
                    <dgm:param type="endSty" val="noArr"/>
                    <dgm:param type="srcNode" val="textCenter"/>
                    <dgm:param type="dstNode" val="childCenter2"/>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22"/>
          </dgm:choose>
          <dgm:choose name="Name223">
            <dgm:if name="Name224" axis="ch" ptType="node" func="cnt" op="gte" val="3">
              <dgm:layoutNode name="cycle_3">
                <dgm:choose name="Name225">
                  <dgm:if name="Name226" func="var" arg="dir" op="equ" val="norm">
                    <dgm:choose name="Name227">
                      <dgm:if name="Name228" axis="ch" ptType="node" func="cnt" op="equ" val="3">
                        <dgm:choose name="Name229">
                          <dgm:if name="Name230" axis="ch ch" ptType="node node" st="3 1" cnt="1 0" func="cnt" op="equ" val="1">
                            <dgm:alg type="cycle">
                              <dgm:param type="ctrShpMap" val="fNode"/>
                              <dgm:param type="stAng" val="240"/>
                              <dgm:param type="horzAlign" val="l"/>
                              <dgm:param type="vertAlign" val="b"/>
                            </dgm:alg>
                          </dgm:if>
                          <dgm:if name="Name231" axis="ch ch" ptType="node node" st="3 1" cnt="1 0" func="cnt" op="equ" val="2">
                            <dgm:alg type="cycle">
                              <dgm:param type="ctrShpMap" val="fNode"/>
                              <dgm:param type="stAng" val="195"/>
                              <dgm:param type="spanAng" val="90"/>
                              <dgm:param type="horzAlign" val="l"/>
                              <dgm:param type="vertAlign" val="b"/>
                            </dgm:alg>
                          </dgm:if>
                          <dgm:else name="Name232">
                            <dgm:alg type="cycle">
                              <dgm:param type="ctrShpMap" val="fNode"/>
                              <dgm:param type="stAng" val="150"/>
                              <dgm:param type="spanAng" val="180"/>
                            </dgm:alg>
                          </dgm:else>
                        </dgm:choose>
                      </dgm:if>
                      <dgm:if name="Name233" axis="ch" ptType="node" func="cnt" op="equ" val="4">
                        <dgm:choose name="Name234">
                          <dgm:if name="Name235" axis="ch ch" ptType="node node" st="3 1" cnt="1 0" func="cnt" op="equ" val="1">
                            <dgm:alg type="cycle">
                              <dgm:param type="ctrShpMap" val="fNode"/>
                              <dgm:param type="stAng" val="180"/>
                            </dgm:alg>
                          </dgm:if>
                          <dgm:if name="Name236" axis="ch ch" ptType="node node" st="3 1" cnt="1 0" func="cnt" op="equ" val="2">
                            <dgm:alg type="cycle">
                              <dgm:param type="ctrShpMap" val="fNode"/>
                              <dgm:param type="stAng" val="135"/>
                              <dgm:param type="spanAng" val="90"/>
                            </dgm:alg>
                          </dgm:if>
                          <dgm:else name="Name237">
                            <dgm:alg type="cycle">
                              <dgm:param type="ctrShpMap" val="fNode"/>
                              <dgm:param type="stAng" val="112.5"/>
                              <dgm:param type="spanAng" val="135"/>
                            </dgm:alg>
                          </dgm:else>
                        </dgm:choose>
                      </dgm:if>
                      <dgm:if name="Name238" axis="ch" ptType="node" func="cnt" op="equ" val="5">
                        <dgm:choose name="Name239">
                          <dgm:if name="Name240" axis="ch ch" ptType="node node" st="3 1" cnt="1 0" func="cnt" op="equ" val="1">
                            <dgm:alg type="cycle">
                              <dgm:param type="ctrShpMap" val="fNode"/>
                              <dgm:param type="stAng" val="144"/>
                            </dgm:alg>
                          </dgm:if>
                          <dgm:if name="Name241" axis="ch ch" ptType="node node" st="3 1" cnt="1 0" func="cnt" op="equ" val="2">
                            <dgm:alg type="cycle">
                              <dgm:param type="ctrShpMap" val="fNode"/>
                              <dgm:param type="stAng" val="99"/>
                              <dgm:param type="spanAng" val="90"/>
                            </dgm:alg>
                          </dgm:if>
                          <dgm:else name="Name242">
                            <dgm:alg type="cycle">
                              <dgm:param type="ctrShpMap" val="fNode"/>
                              <dgm:param type="stAng" val="0"/>
                              <dgm:param type="spanAng" val="360"/>
                            </dgm:alg>
                          </dgm:else>
                        </dgm:choose>
                      </dgm:if>
                      <dgm:if name="Name243" axis="ch" ptType="node" func="cnt" op="equ" val="6">
                        <dgm:choose name="Name244">
                          <dgm:if name="Name245" axis="ch ch" ptType="node node" st="3 1" cnt="1 0" func="cnt" op="equ" val="1">
                            <dgm:alg type="cycle">
                              <dgm:param type="ctrShpMap" val="fNode"/>
                              <dgm:param type="stAng" val="120"/>
                            </dgm:alg>
                          </dgm:if>
                          <dgm:if name="Name246" axis="ch ch" ptType="node node" st="3 1" cnt="1 0" func="cnt" op="equ" val="2">
                            <dgm:alg type="cycle">
                              <dgm:param type="ctrShpMap" val="fNode"/>
                              <dgm:param type="stAng" val="75"/>
                              <dgm:param type="spanAng" val="90"/>
                            </dgm:alg>
                          </dgm:if>
                          <dgm:else name="Name247">
                            <dgm:alg type="cycle">
                              <dgm:param type="ctrShpMap" val="fNode"/>
                              <dgm:param type="stAng" val="0"/>
                              <dgm:param type="spanAng" val="360"/>
                            </dgm:alg>
                          </dgm:else>
                        </dgm:choose>
                      </dgm:if>
                      <dgm:if name="Name248" axis="ch" ptType="node" func="cnt" op="gte" val="7">
                        <dgm:choose name="Name249">
                          <dgm:if name="Name250" axis="ch ch" ptType="node node" st="3 1" cnt="1 0" func="cnt" op="equ" val="1">
                            <dgm:alg type="cycle">
                              <dgm:param type="ctrShpMap" val="fNode"/>
                              <dgm:param type="stAng" val="102"/>
                            </dgm:alg>
                          </dgm:if>
                          <dgm:if name="Name251" axis="ch ch" ptType="node node" st="3 1" cnt="1 0" func="cnt" op="equ" val="2">
                            <dgm:alg type="cycle">
                              <dgm:param type="ctrShpMap" val="fNode"/>
                              <dgm:param type="stAng" val="57"/>
                              <dgm:param type="spanAng" val="90"/>
                            </dgm:alg>
                          </dgm:if>
                          <dgm:else name="Name252">
                            <dgm:alg type="cycle">
                              <dgm:param type="ctrShpMap" val="fNode"/>
                              <dgm:param type="stAng" val="0"/>
                              <dgm:param type="spanAng" val="360"/>
                            </dgm:alg>
                          </dgm:else>
                        </dgm:choose>
                      </dgm:if>
                      <dgm:else name="Name253"/>
                    </dgm:choose>
                  </dgm:if>
                  <dgm:else name="Name254">
                    <dgm:choose name="Name255">
                      <dgm:if name="Name256" axis="ch" ptType="node" func="cnt" op="equ" val="3">
                        <dgm:choose name="Name257">
                          <dgm:if name="Name258" axis="ch ch" ptType="node node" st="3 1" cnt="1 0" func="cnt" op="equ" val="1">
                            <dgm:alg type="cycle">
                              <dgm:param type="ctrShpMap" val="fNode"/>
                              <dgm:param type="stAng" val="120"/>
                              <dgm:param type="horzAlign" val="r"/>
                              <dgm:param type="vertAlign" val="b"/>
                            </dgm:alg>
                          </dgm:if>
                          <dgm:if name="Name259" axis="ch ch" ptType="node node" st="3 1" cnt="1 0" func="cnt" op="equ" val="2">
                            <dgm:alg type="cycle">
                              <dgm:param type="ctrShpMap" val="fNode"/>
                              <dgm:param type="stAng" val="165"/>
                              <dgm:param type="spanAng" val="-90"/>
                              <dgm:param type="horzAlign" val="r"/>
                              <dgm:param type="vertAlign" val="b"/>
                            </dgm:alg>
                          </dgm:if>
                          <dgm:else name="Name260">
                            <dgm:alg type="cycle">
                              <dgm:param type="ctrShpMap" val="fNode"/>
                              <dgm:param type="stAng" val="210"/>
                              <dgm:param type="spanAng" val="-180"/>
                            </dgm:alg>
                          </dgm:else>
                        </dgm:choose>
                      </dgm:if>
                      <dgm:if name="Name261" axis="ch" ptType="node" func="cnt" op="equ" val="4">
                        <dgm:choose name="Name262">
                          <dgm:if name="Name263" axis="ch ch" ptType="node node" st="3 1" cnt="1 0" func="cnt" op="equ" val="1">
                            <dgm:alg type="cycle">
                              <dgm:param type="ctrShpMap" val="fNode"/>
                              <dgm:param type="stAng" val="180"/>
                            </dgm:alg>
                          </dgm:if>
                          <dgm:if name="Name264" axis="ch ch" ptType="node node" st="3 1" cnt="1 0" func="cnt" op="equ" val="2">
                            <dgm:alg type="cycle">
                              <dgm:param type="ctrShpMap" val="fNode"/>
                              <dgm:param type="stAng" val="225"/>
                              <dgm:param type="spanAng" val="-90"/>
                            </dgm:alg>
                          </dgm:if>
                          <dgm:else name="Name265">
                            <dgm:alg type="cycle">
                              <dgm:param type="ctrShpMap" val="fNode"/>
                              <dgm:param type="stAng" val="247.5"/>
                              <dgm:param type="spanAng" val="-135"/>
                            </dgm:alg>
                          </dgm:else>
                        </dgm:choose>
                      </dgm:if>
                      <dgm:if name="Name266" axis="ch" ptType="node" func="cnt" op="equ" val="5">
                        <dgm:choose name="Name267">
                          <dgm:if name="Name268" axis="ch ch" ptType="node node" st="3 1" cnt="1 0" func="cnt" op="equ" val="1">
                            <dgm:alg type="cycle">
                              <dgm:param type="ctrShpMap" val="fNode"/>
                              <dgm:param type="stAng" val="216"/>
                            </dgm:alg>
                          </dgm:if>
                          <dgm:if name="Name269" axis="ch ch" ptType="node node" st="3 1" cnt="1 0" func="cnt" op="equ" val="2">
                            <dgm:alg type="cycle">
                              <dgm:param type="ctrShpMap" val="fNode"/>
                              <dgm:param type="stAng" val="261"/>
                              <dgm:param type="spanAng" val="-90"/>
                            </dgm:alg>
                          </dgm:if>
                          <dgm:else name="Name270">
                            <dgm:alg type="cycle">
                              <dgm:param type="ctrShpMap" val="fNode"/>
                              <dgm:param type="stAng" val="0"/>
                              <dgm:param type="spanAng" val="-360"/>
                            </dgm:alg>
                          </dgm:else>
                        </dgm:choose>
                      </dgm:if>
                      <dgm:if name="Name271" axis="ch" ptType="node" func="cnt" op="equ" val="6">
                        <dgm:choose name="Name272">
                          <dgm:if name="Name273" axis="ch ch" ptType="node node" st="3 1" cnt="1 0" func="cnt" op="equ" val="1">
                            <dgm:alg type="cycle">
                              <dgm:param type="ctrShpMap" val="fNode"/>
                              <dgm:param type="stAng" val="240"/>
                            </dgm:alg>
                          </dgm:if>
                          <dgm:if name="Name274" axis="ch ch" ptType="node node" st="3 1" cnt="1 0" func="cnt" op="equ" val="2">
                            <dgm:alg type="cycle">
                              <dgm:param type="ctrShpMap" val="fNode"/>
                              <dgm:param type="stAng" val="285"/>
                              <dgm:param type="spanAng" val="-90"/>
                            </dgm:alg>
                          </dgm:if>
                          <dgm:else name="Name275">
                            <dgm:alg type="cycle">
                              <dgm:param type="ctrShpMap" val="fNode"/>
                              <dgm:param type="stAng" val="0"/>
                              <dgm:param type="spanAng" val="-360"/>
                            </dgm:alg>
                          </dgm:else>
                        </dgm:choose>
                      </dgm:if>
                      <dgm:if name="Name276" axis="ch" ptType="node" func="cnt" op="gte" val="7">
                        <dgm:choose name="Name277">
                          <dgm:if name="Name278" axis="ch ch" ptType="node node" st="3 1" cnt="1 0" func="cnt" op="equ" val="1">
                            <dgm:alg type="cycle">
                              <dgm:param type="ctrShpMap" val="fNode"/>
                              <dgm:param type="stAng" val="257"/>
                            </dgm:alg>
                          </dgm:if>
                          <dgm:if name="Name279" axis="ch ch" ptType="node node" st="3 1" cnt="1 0" func="cnt" op="equ" val="2">
                            <dgm:alg type="cycle">
                              <dgm:param type="ctrShpMap" val="fNode"/>
                              <dgm:param type="stAng" val="302"/>
                              <dgm:param type="spanAng" val="-90"/>
                            </dgm:alg>
                          </dgm:if>
                          <dgm:else name="Name280">
                            <dgm:alg type="cycle">
                              <dgm:param type="ctrShpMap" val="fNode"/>
                              <dgm:param type="stAng" val="0"/>
                              <dgm:param type="spanAng" val="-360"/>
                            </dgm:alg>
                          </dgm:else>
                        </dgm:choose>
                      </dgm:if>
                      <dgm:else name="Name281"/>
                    </dgm:choose>
                  </dgm:else>
                </dgm:choose>
                <dgm:shape xmlns:r="http://schemas.openxmlformats.org/officeDocument/2006/relationships" r:blip="">
                  <dgm:adjLst/>
                </dgm:shape>
                <dgm:presOf/>
                <dgm:constrLst>
                  <dgm:constr type="sp" refType="w" fact="0.1"/>
                  <dgm:constr type="sibSp" refType="w" fact="0.1"/>
                </dgm:constrLst>
                <dgm:forEach name="Name282" axis="ch" ptType="node" st="3" cnt="1">
                  <dgm:layoutNode name="childCenter3"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83" axis="ch">
                    <dgm:forEach name="Name284" axis="self" ptType="parTrans">
                      <dgm:layoutNode name="Name285">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86" axis="self" ptType="node">
                      <dgm:layoutNode name="text3"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87" axis="ch" ptType="parTrans" st="3" cnt="1">
                <dgm:layoutNode name="Name288">
                  <dgm:alg type="conn">
                    <dgm:param type="dim" val="1D"/>
                    <dgm:param type="begPts" val="auto"/>
                    <dgm:param type="endPts" val="auto"/>
                    <dgm:param type="endSty" val="noArr"/>
                    <dgm:param type="srcNode" val="textCenter"/>
                    <dgm:param type="dstNode" val="childCenter3"/>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89"/>
          </dgm:choose>
          <dgm:choose name="Name290">
            <dgm:if name="Name291" axis="ch" ptType="node" func="cnt" op="gte" val="4">
              <dgm:layoutNode name="cycle_4">
                <dgm:choose name="Name292">
                  <dgm:if name="Name293" func="var" arg="dir" op="equ" val="norm">
                    <dgm:choose name="Name294">
                      <dgm:if name="Name295" axis="ch" ptType="node" func="cnt" op="equ" val="4">
                        <dgm:choose name="Name296">
                          <dgm:if name="Name297" axis="ch ch" ptType="node node" st="4 1" cnt="1 0" func="cnt" op="equ" val="1">
                            <dgm:alg type="cycle">
                              <dgm:param type="ctrShpMap" val="fNode"/>
                              <dgm:param type="stAng" val="270"/>
                            </dgm:alg>
                          </dgm:if>
                          <dgm:if name="Name298" axis="ch ch" ptType="node node" st="4 1" cnt="1 0" func="cnt" op="equ" val="2">
                            <dgm:alg type="cycle">
                              <dgm:param type="ctrShpMap" val="fNode"/>
                              <dgm:param type="stAng" val="225"/>
                              <dgm:param type="spanAng" val="90"/>
                            </dgm:alg>
                          </dgm:if>
                          <dgm:else name="Name299">
                            <dgm:alg type="cycle">
                              <dgm:param type="ctrShpMap" val="fNode"/>
                              <dgm:param type="stAng" val="202.5"/>
                              <dgm:param type="spanAng" val="135"/>
                            </dgm:alg>
                          </dgm:else>
                        </dgm:choose>
                      </dgm:if>
                      <dgm:if name="Name300" axis="ch" ptType="node" func="cnt" op="equ" val="5">
                        <dgm:choose name="Name301">
                          <dgm:if name="Name302" axis="ch ch" ptType="node node" st="4 1" cnt="1 0" func="cnt" op="equ" val="1">
                            <dgm:alg type="cycle">
                              <dgm:param type="ctrShpMap" val="fNode"/>
                              <dgm:param type="stAng" val="216"/>
                            </dgm:alg>
                          </dgm:if>
                          <dgm:if name="Name303" axis="ch ch" ptType="node node" st="4 1" cnt="1 0" func="cnt" op="equ" val="2">
                            <dgm:alg type="cycle">
                              <dgm:param type="ctrShpMap" val="fNode"/>
                              <dgm:param type="stAng" val="171"/>
                              <dgm:param type="spanAng" val="90"/>
                            </dgm:alg>
                          </dgm:if>
                          <dgm:else name="Name304">
                            <dgm:alg type="cycle">
                              <dgm:param type="ctrShpMap" val="fNode"/>
                              <dgm:param type="stAng" val="0"/>
                              <dgm:param type="spanAng" val="360"/>
                            </dgm:alg>
                          </dgm:else>
                        </dgm:choose>
                      </dgm:if>
                      <dgm:if name="Name305" axis="ch" ptType="node" func="cnt" op="equ" val="6">
                        <dgm:choose name="Name306">
                          <dgm:if name="Name307" axis="ch ch" ptType="node node" st="4 1" cnt="1 0" func="cnt" op="equ" val="1">
                            <dgm:alg type="cycle">
                              <dgm:param type="ctrShpMap" val="fNode"/>
                              <dgm:param type="stAng" val="180"/>
                            </dgm:alg>
                          </dgm:if>
                          <dgm:if name="Name308" axis="ch ch" ptType="node node" st="4 1" cnt="1 0" func="cnt" op="equ" val="2">
                            <dgm:alg type="cycle">
                              <dgm:param type="ctrShpMap" val="fNode"/>
                              <dgm:param type="stAng" val="135"/>
                              <dgm:param type="spanAng" val="90"/>
                            </dgm:alg>
                          </dgm:if>
                          <dgm:else name="Name309">
                            <dgm:alg type="cycle">
                              <dgm:param type="ctrShpMap" val="fNode"/>
                              <dgm:param type="stAng" val="0"/>
                              <dgm:param type="spanAng" val="360"/>
                            </dgm:alg>
                          </dgm:else>
                        </dgm:choose>
                      </dgm:if>
                      <dgm:if name="Name310" axis="ch" ptType="node" func="cnt" op="gte" val="7">
                        <dgm:choose name="Name311">
                          <dgm:if name="Name312" axis="ch ch" ptType="node node" st="4 1" cnt="1 0" func="cnt" op="equ" val="1">
                            <dgm:alg type="cycle">
                              <dgm:param type="ctrShpMap" val="fNode"/>
                              <dgm:param type="stAng" val="154"/>
                            </dgm:alg>
                          </dgm:if>
                          <dgm:if name="Name313" axis="ch ch" ptType="node node" st="4 1" cnt="1 0" func="cnt" op="equ" val="2">
                            <dgm:alg type="cycle">
                              <dgm:param type="ctrShpMap" val="fNode"/>
                              <dgm:param type="stAng" val="109"/>
                              <dgm:param type="spanAng" val="90"/>
                            </dgm:alg>
                          </dgm:if>
                          <dgm:else name="Name314">
                            <dgm:alg type="cycle">
                              <dgm:param type="ctrShpMap" val="fNode"/>
                              <dgm:param type="stAng" val="0"/>
                              <dgm:param type="spanAng" val="360"/>
                            </dgm:alg>
                          </dgm:else>
                        </dgm:choose>
                      </dgm:if>
                      <dgm:else name="Name315"/>
                    </dgm:choose>
                  </dgm:if>
                  <dgm:else name="Name316">
                    <dgm:choose name="Name317">
                      <dgm:if name="Name318" axis="ch" ptType="node" func="cnt" op="equ" val="4">
                        <dgm:choose name="Name319">
                          <dgm:if name="Name320" axis="ch ch" ptType="node node" st="4 1" cnt="1 0" func="cnt" op="equ" val="1">
                            <dgm:alg type="cycle">
                              <dgm:param type="ctrShpMap" val="fNode"/>
                              <dgm:param type="stAng" val="90"/>
                            </dgm:alg>
                          </dgm:if>
                          <dgm:if name="Name321" axis="ch ch" ptType="node node" st="4 1" cnt="1 0" func="cnt" op="equ" val="2">
                            <dgm:alg type="cycle">
                              <dgm:param type="ctrShpMap" val="fNode"/>
                              <dgm:param type="stAng" val="135"/>
                              <dgm:param type="spanAng" val="-90"/>
                            </dgm:alg>
                          </dgm:if>
                          <dgm:else name="Name322">
                            <dgm:alg type="cycle">
                              <dgm:param type="ctrShpMap" val="fNode"/>
                              <dgm:param type="stAng" val="157.5"/>
                              <dgm:param type="spanAng" val="-135"/>
                            </dgm:alg>
                          </dgm:else>
                        </dgm:choose>
                      </dgm:if>
                      <dgm:if name="Name323" axis="ch" ptType="node" func="cnt" op="equ" val="5">
                        <dgm:choose name="Name324">
                          <dgm:if name="Name325" axis="ch ch" ptType="node node" st="4 1" cnt="1 0" func="cnt" op="equ" val="1">
                            <dgm:alg type="cycle">
                              <dgm:param type="ctrShpMap" val="fNode"/>
                              <dgm:param type="stAng" val="144"/>
                            </dgm:alg>
                          </dgm:if>
                          <dgm:if name="Name326" axis="ch ch" ptType="node node" st="4 1" cnt="1 0" func="cnt" op="equ" val="2">
                            <dgm:alg type="cycle">
                              <dgm:param type="ctrShpMap" val="fNode"/>
                              <dgm:param type="stAng" val="189"/>
                              <dgm:param type="spanAng" val="-90"/>
                            </dgm:alg>
                          </dgm:if>
                          <dgm:else name="Name327">
                            <dgm:alg type="cycle">
                              <dgm:param type="ctrShpMap" val="fNode"/>
                              <dgm:param type="stAng" val="0"/>
                              <dgm:param type="spanAng" val="-360"/>
                            </dgm:alg>
                          </dgm:else>
                        </dgm:choose>
                      </dgm:if>
                      <dgm:if name="Name328" axis="ch" ptType="node" func="cnt" op="equ" val="6">
                        <dgm:choose name="Name329">
                          <dgm:if name="Name330" axis="ch ch" ptType="node node" st="4 1" cnt="1 0" func="cnt" op="equ" val="1">
                            <dgm:alg type="cycle">
                              <dgm:param type="ctrShpMap" val="fNode"/>
                              <dgm:param type="stAng" val="180"/>
                            </dgm:alg>
                          </dgm:if>
                          <dgm:if name="Name331" axis="ch ch" ptType="node node" st="4 1" cnt="1 0" func="cnt" op="equ" val="2">
                            <dgm:alg type="cycle">
                              <dgm:param type="ctrShpMap" val="fNode"/>
                              <dgm:param type="stAng" val="225"/>
                              <dgm:param type="spanAng" val="-90"/>
                            </dgm:alg>
                          </dgm:if>
                          <dgm:else name="Name332">
                            <dgm:alg type="cycle">
                              <dgm:param type="ctrShpMap" val="fNode"/>
                              <dgm:param type="stAng" val="0"/>
                              <dgm:param type="spanAng" val="-360"/>
                            </dgm:alg>
                          </dgm:else>
                        </dgm:choose>
                      </dgm:if>
                      <dgm:if name="Name333" axis="ch" ptType="node" func="cnt" op="gte" val="7">
                        <dgm:choose name="Name334">
                          <dgm:if name="Name335" axis="ch ch" ptType="node node" st="4 1" cnt="1 0" func="cnt" op="equ" val="1">
                            <dgm:alg type="cycle">
                              <dgm:param type="ctrShpMap" val="fNode"/>
                              <dgm:param type="stAng" val="205"/>
                            </dgm:alg>
                          </dgm:if>
                          <dgm:if name="Name336" axis="ch ch" ptType="node node" st="4 1" cnt="1 0" func="cnt" op="equ" val="2">
                            <dgm:alg type="cycle">
                              <dgm:param type="ctrShpMap" val="fNode"/>
                              <dgm:param type="stAng" val="250"/>
                              <dgm:param type="spanAng" val="-90"/>
                            </dgm:alg>
                          </dgm:if>
                          <dgm:else name="Name337">
                            <dgm:alg type="cycle">
                              <dgm:param type="ctrShpMap" val="fNode"/>
                              <dgm:param type="stAng" val="0"/>
                              <dgm:param type="spanAng" val="-360"/>
                            </dgm:alg>
                          </dgm:else>
                        </dgm:choose>
                      </dgm:if>
                      <dgm:else name="Name338"/>
                    </dgm:choose>
                  </dgm:else>
                </dgm:choose>
                <dgm:shape xmlns:r="http://schemas.openxmlformats.org/officeDocument/2006/relationships" r:blip="">
                  <dgm:adjLst/>
                </dgm:shape>
                <dgm:presOf/>
                <dgm:constrLst>
                  <dgm:constr type="sp" refType="w" fact="0.1"/>
                  <dgm:constr type="sibSp" refType="w" fact="0.1"/>
                </dgm:constrLst>
                <dgm:forEach name="Name339" axis="ch" ptType="node" st="4" cnt="1">
                  <dgm:layoutNode name="childCenter4"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40" axis="ch">
                    <dgm:forEach name="Name341" axis="self" ptType="parTrans">
                      <dgm:layoutNode name="Name342">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43" axis="self" ptType="node">
                      <dgm:layoutNode name="text4"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44" axis="ch" ptType="parTrans" st="4" cnt="1">
                <dgm:layoutNode name="Name345">
                  <dgm:alg type="conn">
                    <dgm:param type="dim" val="1D"/>
                    <dgm:param type="begPts" val="auto"/>
                    <dgm:param type="endPts" val="auto"/>
                    <dgm:param type="endSty" val="noArr"/>
                    <dgm:param type="srcNode" val="textCenter"/>
                    <dgm:param type="dstNode" val="childCenter4"/>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46"/>
          </dgm:choose>
          <dgm:choose name="Name347">
            <dgm:if name="Name348" axis="ch" ptType="node" func="cnt" op="gte" val="5">
              <dgm:layoutNode name="cycle_5">
                <dgm:choose name="Name349">
                  <dgm:if name="Name350" func="var" arg="dir" op="equ" val="norm">
                    <dgm:choose name="Name351">
                      <dgm:if name="Name352" axis="ch" ptType="node" func="cnt" op="equ" val="5">
                        <dgm:choose name="Name353">
                          <dgm:if name="Name354" axis="ch ch" ptType="node node" st="5 1" cnt="1 0" func="cnt" op="equ" val="1">
                            <dgm:alg type="cycle">
                              <dgm:param type="ctrShpMap" val="fNode"/>
                              <dgm:param type="stAng" val="288"/>
                            </dgm:alg>
                          </dgm:if>
                          <dgm:if name="Name355" axis="ch ch" ptType="node node" st="5 1" cnt="1 0" func="cnt" op="equ" val="2">
                            <dgm:alg type="cycle">
                              <dgm:param type="ctrShpMap" val="fNode"/>
                              <dgm:param type="stAng" val="243"/>
                              <dgm:param type="spanAng" val="90"/>
                            </dgm:alg>
                          </dgm:if>
                          <dgm:else name="Name356">
                            <dgm:alg type="cycle">
                              <dgm:param type="ctrShpMap" val="fNode"/>
                              <dgm:param type="stAng" val="0"/>
                              <dgm:param type="spanAng" val="360"/>
                            </dgm:alg>
                          </dgm:else>
                        </dgm:choose>
                      </dgm:if>
                      <dgm:if name="Name357" axis="ch" ptType="node" func="cnt" op="equ" val="6">
                        <dgm:choose name="Name358">
                          <dgm:if name="Name359" axis="ch ch" ptType="node node" st="5 1" cnt="1 0" func="cnt" op="equ" val="1">
                            <dgm:alg type="cycle">
                              <dgm:param type="ctrShpMap" val="fNode"/>
                              <dgm:param type="stAng" val="240"/>
                            </dgm:alg>
                          </dgm:if>
                          <dgm:if name="Name360" axis="ch ch" ptType="node node" st="5 1" cnt="1 0" func="cnt" op="equ" val="2">
                            <dgm:alg type="cycle">
                              <dgm:param type="ctrShpMap" val="fNode"/>
                              <dgm:param type="stAng" val="195"/>
                              <dgm:param type="spanAng" val="90"/>
                            </dgm:alg>
                          </dgm:if>
                          <dgm:else name="Name361">
                            <dgm:alg type="cycle">
                              <dgm:param type="ctrShpMap" val="fNode"/>
                              <dgm:param type="stAng" val="0"/>
                              <dgm:param type="spanAng" val="360"/>
                            </dgm:alg>
                          </dgm:else>
                        </dgm:choose>
                      </dgm:if>
                      <dgm:if name="Name362" axis="ch" ptType="node" func="cnt" op="gte" val="7">
                        <dgm:choose name="Name363">
                          <dgm:if name="Name364" axis="ch ch" ptType="node node" st="5 1" cnt="1 0" func="cnt" op="equ" val="1">
                            <dgm:alg type="cycle">
                              <dgm:param type="ctrShpMap" val="fNode"/>
                              <dgm:param type="stAng" val="205"/>
                            </dgm:alg>
                          </dgm:if>
                          <dgm:if name="Name365" axis="ch ch" ptType="node node" st="5 1" cnt="1 0" func="cnt" op="equ" val="2">
                            <dgm:alg type="cycle">
                              <dgm:param type="ctrShpMap" val="fNode"/>
                              <dgm:param type="stAng" val="160"/>
                              <dgm:param type="spanAng" val="90"/>
                            </dgm:alg>
                          </dgm:if>
                          <dgm:else name="Name366">
                            <dgm:alg type="cycle">
                              <dgm:param type="ctrShpMap" val="fNode"/>
                              <dgm:param type="stAng" val="0"/>
                              <dgm:param type="spanAng" val="360"/>
                            </dgm:alg>
                          </dgm:else>
                        </dgm:choose>
                      </dgm:if>
                      <dgm:else name="Name367"/>
                    </dgm:choose>
                  </dgm:if>
                  <dgm:else name="Name368">
                    <dgm:choose name="Name369">
                      <dgm:if name="Name370" axis="ch" ptType="node" func="cnt" op="equ" val="5">
                        <dgm:choose name="Name371">
                          <dgm:if name="Name372" axis="ch ch" ptType="node node" st="5 1" cnt="1 0" func="cnt" op="equ" val="1">
                            <dgm:alg type="cycle">
                              <dgm:param type="ctrShpMap" val="fNode"/>
                              <dgm:param type="stAng" val="72"/>
                            </dgm:alg>
                          </dgm:if>
                          <dgm:if name="Name373" axis="ch ch" ptType="node node" st="5 1" cnt="1 0" func="cnt" op="equ" val="2">
                            <dgm:alg type="cycle">
                              <dgm:param type="ctrShpMap" val="fNode"/>
                              <dgm:param type="stAng" val="117"/>
                              <dgm:param type="spanAng" val="-90"/>
                            </dgm:alg>
                          </dgm:if>
                          <dgm:else name="Name374">
                            <dgm:alg type="cycle">
                              <dgm:param type="ctrShpMap" val="fNode"/>
                              <dgm:param type="stAng" val="0"/>
                              <dgm:param type="spanAng" val="-360"/>
                            </dgm:alg>
                          </dgm:else>
                        </dgm:choose>
                      </dgm:if>
                      <dgm:if name="Name375" axis="ch" ptType="node" func="cnt" op="equ" val="6">
                        <dgm:choose name="Name376">
                          <dgm:if name="Name377" axis="ch ch" ptType="node node" st="5 1" cnt="1 0" func="cnt" op="equ" val="1">
                            <dgm:alg type="cycle">
                              <dgm:param type="ctrShpMap" val="fNode"/>
                              <dgm:param type="stAng" val="120"/>
                            </dgm:alg>
                          </dgm:if>
                          <dgm:if name="Name378" axis="ch ch" ptType="node node" st="5 1" cnt="1 0" func="cnt" op="equ" val="2">
                            <dgm:alg type="cycle">
                              <dgm:param type="ctrShpMap" val="fNode"/>
                              <dgm:param type="stAng" val="165"/>
                              <dgm:param type="spanAng" val="-90"/>
                            </dgm:alg>
                          </dgm:if>
                          <dgm:else name="Name379">
                            <dgm:alg type="cycle">
                              <dgm:param type="ctrShpMap" val="fNode"/>
                              <dgm:param type="stAng" val="0"/>
                              <dgm:param type="spanAng" val="-360"/>
                            </dgm:alg>
                          </dgm:else>
                        </dgm:choose>
                      </dgm:if>
                      <dgm:if name="Name380" axis="ch" ptType="node" func="cnt" op="gte" val="7">
                        <dgm:choose name="Name381">
                          <dgm:if name="Name382" axis="ch ch" ptType="node node" st="5 1" cnt="1 0" func="cnt" op="equ" val="1">
                            <dgm:alg type="cycle">
                              <dgm:param type="ctrShpMap" val="fNode"/>
                              <dgm:param type="stAng" val="154"/>
                            </dgm:alg>
                          </dgm:if>
                          <dgm:if name="Name383" axis="ch ch" ptType="node node" st="5 1" cnt="1 0" func="cnt" op="equ" val="2">
                            <dgm:alg type="cycle">
                              <dgm:param type="ctrShpMap" val="fNode"/>
                              <dgm:param type="stAng" val="199"/>
                              <dgm:param type="spanAng" val="-90"/>
                            </dgm:alg>
                          </dgm:if>
                          <dgm:else name="Name384">
                            <dgm:alg type="cycle">
                              <dgm:param type="ctrShpMap" val="fNode"/>
                              <dgm:param type="stAng" val="0"/>
                              <dgm:param type="spanAng" val="-360"/>
                            </dgm:alg>
                          </dgm:else>
                        </dgm:choose>
                      </dgm:if>
                      <dgm:else name="Name385"/>
                    </dgm:choose>
                  </dgm:else>
                </dgm:choose>
                <dgm:shape xmlns:r="http://schemas.openxmlformats.org/officeDocument/2006/relationships" r:blip="">
                  <dgm:adjLst/>
                </dgm:shape>
                <dgm:presOf/>
                <dgm:constrLst>
                  <dgm:constr type="sp" refType="w" fact="0.1"/>
                  <dgm:constr type="sibSp" refType="w" fact="0.1"/>
                </dgm:constrLst>
                <dgm:forEach name="Name386" axis="ch" ptType="node" st="5" cnt="1">
                  <dgm:layoutNode name="childCenter5"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87" axis="ch">
                    <dgm:forEach name="Name388" axis="self" ptType="parTrans">
                      <dgm:layoutNode name="Name38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90" axis="self" ptType="node">
                      <dgm:layoutNode name="text5"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91" axis="ch" ptType="parTrans" st="5" cnt="1">
                <dgm:layoutNode name="Name392">
                  <dgm:alg type="conn">
                    <dgm:param type="dim" val="1D"/>
                    <dgm:param type="begPts" val="auto"/>
                    <dgm:param type="endPts" val="auto"/>
                    <dgm:param type="endSty" val="noArr"/>
                    <dgm:param type="srcNode" val="textCenter"/>
                    <dgm:param type="dstNode" val="childCenter5"/>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93"/>
          </dgm:choose>
          <dgm:choose name="Name394">
            <dgm:if name="Name395" axis="ch" ptType="node" func="cnt" op="gte" val="6">
              <dgm:layoutNode name="cycle_6">
                <dgm:choose name="Name396">
                  <dgm:if name="Name397" func="var" arg="dir" op="equ" val="norm">
                    <dgm:choose name="Name398">
                      <dgm:if name="Name399" axis="ch" ptType="node" func="cnt" op="equ" val="6">
                        <dgm:choose name="Name400">
                          <dgm:if name="Name401" axis="ch ch" ptType="node node" st="6 1" cnt="1 0" func="cnt" op="equ" val="1">
                            <dgm:alg type="cycle">
                              <dgm:param type="ctrShpMap" val="fNode"/>
                              <dgm:param type="stAng" val="300"/>
                            </dgm:alg>
                          </dgm:if>
                          <dgm:if name="Name402" axis="ch ch" ptType="node node" st="6 1" cnt="1 0" func="cnt" op="equ" val="2">
                            <dgm:alg type="cycle">
                              <dgm:param type="ctrShpMap" val="fNode"/>
                              <dgm:param type="stAng" val="255"/>
                              <dgm:param type="spanAng" val="90"/>
                            </dgm:alg>
                          </dgm:if>
                          <dgm:else name="Name403">
                            <dgm:alg type="cycle">
                              <dgm:param type="ctrShpMap" val="fNode"/>
                              <dgm:param type="stAng" val="0"/>
                              <dgm:param type="spanAng" val="360"/>
                            </dgm:alg>
                          </dgm:else>
                        </dgm:choose>
                      </dgm:if>
                      <dgm:if name="Name404" axis="ch" ptType="node" func="cnt" op="gte" val="7">
                        <dgm:choose name="Name405">
                          <dgm:if name="Name406" axis="ch ch" ptType="node node" st="6 1" cnt="1 0" func="cnt" op="equ" val="1">
                            <dgm:alg type="cycle">
                              <dgm:param type="ctrShpMap" val="fNode"/>
                              <dgm:param type="stAng" val="257"/>
                            </dgm:alg>
                          </dgm:if>
                          <dgm:if name="Name407" axis="ch ch" ptType="node node" st="6 1" cnt="1 0" func="cnt" op="equ" val="2">
                            <dgm:alg type="cycle">
                              <dgm:param type="ctrShpMap" val="fNode"/>
                              <dgm:param type="stAng" val="212"/>
                              <dgm:param type="spanAng" val="90"/>
                            </dgm:alg>
                          </dgm:if>
                          <dgm:else name="Name408">
                            <dgm:alg type="cycle">
                              <dgm:param type="ctrShpMap" val="fNode"/>
                              <dgm:param type="stAng" val="0"/>
                              <dgm:param type="spanAng" val="360"/>
                            </dgm:alg>
                          </dgm:else>
                        </dgm:choose>
                      </dgm:if>
                      <dgm:else name="Name409"/>
                    </dgm:choose>
                  </dgm:if>
                  <dgm:else name="Name410">
                    <dgm:choose name="Name411">
                      <dgm:if name="Name412" axis="ch" ptType="node" func="cnt" op="equ" val="6">
                        <dgm:choose name="Name413">
                          <dgm:if name="Name414" axis="ch ch" ptType="node node" st="6 1" cnt="1 0" func="cnt" op="equ" val="1">
                            <dgm:alg type="cycle">
                              <dgm:param type="ctrShpMap" val="fNode"/>
                              <dgm:param type="stAng" val="60"/>
                            </dgm:alg>
                          </dgm:if>
                          <dgm:if name="Name415" axis="ch ch" ptType="node node" st="6 1" cnt="1 0" func="cnt" op="equ" val="2">
                            <dgm:alg type="cycle">
                              <dgm:param type="ctrShpMap" val="fNode"/>
                              <dgm:param type="stAng" val="105"/>
                              <dgm:param type="spanAng" val="-90"/>
                            </dgm:alg>
                          </dgm:if>
                          <dgm:else name="Name416">
                            <dgm:alg type="cycle">
                              <dgm:param type="ctrShpMap" val="fNode"/>
                              <dgm:param type="stAng" val="0"/>
                              <dgm:param type="spanAng" val="-360"/>
                            </dgm:alg>
                          </dgm:else>
                        </dgm:choose>
                      </dgm:if>
                      <dgm:if name="Name417" axis="ch" ptType="node" func="cnt" op="gte" val="7">
                        <dgm:choose name="Name418">
                          <dgm:if name="Name419" axis="ch ch" ptType="node node" st="6 1" cnt="1 0" func="cnt" op="equ" val="1">
                            <dgm:alg type="cycle">
                              <dgm:param type="ctrShpMap" val="fNode"/>
                              <dgm:param type="stAng" val="102"/>
                            </dgm:alg>
                          </dgm:if>
                          <dgm:if name="Name420" axis="ch ch" ptType="node node" st="6 1" cnt="1 0" func="cnt" op="equ" val="2">
                            <dgm:alg type="cycle">
                              <dgm:param type="ctrShpMap" val="fNode"/>
                              <dgm:param type="stAng" val="147"/>
                              <dgm:param type="spanAng" val="-90"/>
                            </dgm:alg>
                          </dgm:if>
                          <dgm:else name="Name421">
                            <dgm:alg type="cycle">
                              <dgm:param type="ctrShpMap" val="fNode"/>
                              <dgm:param type="stAng" val="0"/>
                              <dgm:param type="spanAng" val="-360"/>
                            </dgm:alg>
                          </dgm:else>
                        </dgm:choose>
                      </dgm:if>
                      <dgm:else name="Name422"/>
                    </dgm:choose>
                  </dgm:else>
                </dgm:choose>
                <dgm:shape xmlns:r="http://schemas.openxmlformats.org/officeDocument/2006/relationships" r:blip="">
                  <dgm:adjLst/>
                </dgm:shape>
                <dgm:presOf/>
                <dgm:constrLst>
                  <dgm:constr type="sp" refType="w" fact="0.1"/>
                  <dgm:constr type="sibSp" refType="w" fact="0.1"/>
                </dgm:constrLst>
                <dgm:forEach name="Name423" axis="ch" ptType="node" st="6" cnt="1">
                  <dgm:layoutNode name="childCenter6"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24" axis="ch">
                    <dgm:forEach name="Name425" axis="self" ptType="parTrans">
                      <dgm:layoutNode name="Name42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27" axis="self" ptType="node">
                      <dgm:layoutNode name="text6"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28" axis="ch" ptType="parTrans" st="6" cnt="1">
                <dgm:layoutNode name="Name429">
                  <dgm:alg type="conn">
                    <dgm:param type="dim" val="1D"/>
                    <dgm:param type="begPts" val="auto"/>
                    <dgm:param type="endPts" val="auto"/>
                    <dgm:param type="endSty" val="noArr"/>
                    <dgm:param type="srcNode" val="textCenter"/>
                    <dgm:param type="dstNode" val="childCenter6"/>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30"/>
          </dgm:choose>
          <dgm:choose name="Name431">
            <dgm:if name="Name432" axis="ch" ptType="node" func="cnt" op="gte" val="7">
              <dgm:layoutNode name="cycle_7">
                <dgm:choose name="Name433">
                  <dgm:if name="Name434" func="var" arg="dir" op="equ" val="norm">
                    <dgm:choose name="Name435">
                      <dgm:if name="Name436" axis="ch" ptType="node" func="cnt" op="gte" val="7">
                        <dgm:choose name="Name437">
                          <dgm:if name="Name438" axis="ch ch" ptType="node node" st="7 1" cnt="1 0" func="cnt" op="equ" val="1">
                            <dgm:alg type="cycle">
                              <dgm:param type="ctrShpMap" val="fNode"/>
                              <dgm:param type="stAng" val="308"/>
                            </dgm:alg>
                          </dgm:if>
                          <dgm:if name="Name439" axis="ch ch" ptType="node node" st="7 1" cnt="1 0" func="cnt" op="equ" val="2">
                            <dgm:alg type="cycle">
                              <dgm:param type="ctrShpMap" val="fNode"/>
                              <dgm:param type="stAng" val="263"/>
                              <dgm:param type="spanAng" val="90"/>
                            </dgm:alg>
                          </dgm:if>
                          <dgm:else name="Name440">
                            <dgm:alg type="cycle">
                              <dgm:param type="ctrShpMap" val="fNode"/>
                              <dgm:param type="stAng" val="0"/>
                              <dgm:param type="spanAng" val="360"/>
                            </dgm:alg>
                          </dgm:else>
                        </dgm:choose>
                      </dgm:if>
                      <dgm:else name="Name441"/>
                    </dgm:choose>
                  </dgm:if>
                  <dgm:else name="Name442">
                    <dgm:choose name="Name443">
                      <dgm:if name="Name444" axis="ch" ptType="node" func="cnt" op="gte" val="7">
                        <dgm:choose name="Name445">
                          <dgm:if name="Name446" axis="ch ch" ptType="node node" st="7 1" cnt="1 0" func="cnt" op="equ" val="1">
                            <dgm:alg type="cycle">
                              <dgm:param type="ctrShpMap" val="fNode"/>
                              <dgm:param type="stAng" val="51"/>
                            </dgm:alg>
                          </dgm:if>
                          <dgm:if name="Name447" axis="ch ch" ptType="node node" st="7 1" cnt="1 0" func="cnt" op="equ" val="2">
                            <dgm:alg type="cycle">
                              <dgm:param type="ctrShpMap" val="fNode"/>
                              <dgm:param type="stAng" val="96"/>
                              <dgm:param type="spanAng" val="-90"/>
                            </dgm:alg>
                          </dgm:if>
                          <dgm:else name="Name448">
                            <dgm:alg type="cycle">
                              <dgm:param type="ctrShpMap" val="fNode"/>
                              <dgm:param type="stAng" val="0"/>
                              <dgm:param type="spanAng" val="-360"/>
                            </dgm:alg>
                          </dgm:else>
                        </dgm:choose>
                      </dgm:if>
                      <dgm:else name="Name449"/>
                    </dgm:choose>
                  </dgm:else>
                </dgm:choose>
                <dgm:shape xmlns:r="http://schemas.openxmlformats.org/officeDocument/2006/relationships" r:blip="">
                  <dgm:adjLst/>
                </dgm:shape>
                <dgm:presOf/>
                <dgm:constrLst>
                  <dgm:constr type="sp" refType="w" fact="0.1"/>
                  <dgm:constr type="sibSp" refType="w" fact="0.1"/>
                </dgm:constrLst>
                <dgm:forEach name="Name450" axis="ch" ptType="node" st="7" cnt="1">
                  <dgm:layoutNode name="childCenter7"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51" axis="ch">
                    <dgm:forEach name="Name452" axis="self" ptType="parTrans">
                      <dgm:layoutNode name="Name453">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54" axis="self" ptType="node">
                      <dgm:layoutNode name="text7"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55" axis="ch" ptType="parTrans" st="7" cnt="1">
                <dgm:layoutNode name="Name456">
                  <dgm:alg type="conn">
                    <dgm:param type="dim" val="1D"/>
                    <dgm:param type="begPts" val="auto"/>
                    <dgm:param type="endPts" val="auto"/>
                    <dgm:param type="endSty" val="noArr"/>
                    <dgm:param type="srcNode" val="textCenter"/>
                    <dgm:param type="dstNode" val="childCenter7"/>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57"/>
          </dgm:choose>
        </dgm:else>
      </dgm:choose>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3">
  <dgm:title val=""/>
  <dgm:desc val=""/>
  <dgm:catLst>
    <dgm:cat type="hierarchy" pri="7000"/>
    <dgm:cat type="list" pri="23000"/>
    <dgm:cat type="relationship" pri="15000"/>
    <dgm:cat type="convert" pri="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1" destId="11" srcOrd="0" destOrd="0"/>
        <dgm:cxn modelId="6" srcId="1" destId="12" srcOrd="1" destOrd="0"/>
        <dgm:cxn modelId="7" srcId="0" destId="2" srcOrd="1" destOrd="0"/>
        <dgm:cxn modelId="8" srcId="2" destId="21" srcOrd="0" destOrd="0"/>
        <dgm:cxn modelId="9" srcId="2" destId="2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diagram">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w" for="des" forName="rootComposite" refType="w"/>
      <dgm:constr type="h" for="des" forName="rootComposite" refType="w" fact="0.5"/>
      <dgm:constr type="w" for="des" forName="childText" refType="w" refFor="des" refForName="rootComposite" fact="0.8"/>
      <dgm:constr type="h" for="des" forName="childText" refType="h" refFor="des" refForName="rootComposite"/>
      <dgm:constr type="sibSp" refType="w" refFor="des" refForName="rootComposite" fact="0.25"/>
      <dgm:constr type="sibSp" for="des" forName="childShape" refType="h" refFor="des" refForName="childText" fact="0.25"/>
      <dgm:constr type="sp" for="des" forName="root" refType="h" refFor="des" refForName="childText" fact="0.25"/>
    </dgm:constrLst>
    <dgm:ruleLst/>
    <dgm:forEach name="Name3" axis="ch">
      <dgm:forEach name="Name4" axis="self" ptType="node" cnt="1">
        <dgm:layoutNode name="root">
          <dgm:choose name="Name5">
            <dgm:if name="Name6" func="var" arg="dir" op="equ" val="norm">
              <dgm:alg type="hierRoot">
                <dgm:param type="hierAlign" val="tL"/>
              </dgm:alg>
            </dgm:if>
            <dgm:else name="Name7">
              <dgm:alg type="hierRoot">
                <dgm:param type="hierAlign" val="tR"/>
              </dgm:alg>
            </dgm:else>
          </dgm:choose>
          <dgm:shape xmlns:r="http://schemas.openxmlformats.org/officeDocument/2006/relationships" r:blip="">
            <dgm:adjLst/>
          </dgm:shape>
          <dgm:presOf/>
          <dgm:constrLst>
            <dgm:constr type="alignOff" val="0.2"/>
          </dgm:constrLst>
          <dgm:ruleLst/>
          <dgm:layoutNode name="rootComposite">
            <dgm:alg type="composite"/>
            <dgm:shape xmlns:r="http://schemas.openxmlformats.org/officeDocument/2006/relationships" r:blip="">
              <dgm:adjLst/>
            </dgm:shape>
            <dgm:presOf axis="self" ptType="node" cnt="1"/>
            <dgm:choose name="Name8">
              <dgm:if name="Name9" func="var" arg="dir" op="equ" val="norm">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10">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styleLbl="node1">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rootConnector" moveWith="rootText">
              <dgm:alg type="sp"/>
              <dgm:shape xmlns:r="http://schemas.openxmlformats.org/officeDocument/2006/relationships" type="roundRect" r:blip="" hideGeom="1">
                <dgm:adjLst>
                  <dgm:adj idx="1" val="0.1"/>
                </dgm:adjLst>
              </dgm:shape>
              <dgm:presOf axis="self" ptType="node" cnt="1"/>
              <dgm:constrLst/>
              <dgm:ruleLst/>
            </dgm:layoutNode>
          </dgm:layoutNode>
          <dgm:layoutNode name="childShape">
            <dgm:alg type="hierChild">
              <dgm:param type="chAlign" val="l"/>
              <dgm:param type="linDir" val="fromT"/>
            </dgm:alg>
            <dgm:shape xmlns:r="http://schemas.openxmlformats.org/officeDocument/2006/relationships" r:blip="">
              <dgm:adjLst/>
            </dgm:shape>
            <dgm:presOf/>
            <dgm:constrLst/>
            <dgm:ruleLst/>
            <dgm:forEach name="Name11" axis="ch">
              <dgm:forEach name="Name12" axis="self" ptType="parTrans" cnt="1">
                <dgm:layoutNode name="Name13">
                  <dgm:choose name="Name14">
                    <dgm:if name="Name15" func="var" arg="dir" op="equ" val="norm">
                      <dgm:alg type="conn">
                        <dgm:param type="dim" val="1D"/>
                        <dgm:param type="endSty" val="noArr"/>
                        <dgm:param type="connRout" val="bend"/>
                        <dgm:param type="srcNode" val="rootConnector"/>
                        <dgm:param type="begPts" val="bCtr"/>
                        <dgm:param type="endPts" val="midL"/>
                      </dgm:alg>
                    </dgm:if>
                    <dgm:else name="Name16">
                      <dgm:alg type="conn">
                        <dgm:param type="dim" val="1D"/>
                        <dgm:param type="endSty" val="noArr"/>
                        <dgm:param type="connRout" val="bend"/>
                        <dgm:param type="srcNode" val="rootConnector"/>
                        <dgm:param type="begPts" val="bCtr"/>
                        <dgm:param type="endPts" val="midR"/>
                      </dgm:alg>
                    </dgm:else>
                  </dgm:choose>
                  <dgm:shape xmlns:r="http://schemas.openxmlformats.org/officeDocument/2006/relationships" type="conn" r:blip="">
                    <dgm:adjLst/>
                  </dgm:shape>
                  <dgm:presOf axis="self"/>
                  <dgm:constrLst>
                    <dgm:constr type="begPad"/>
                    <dgm:constr type="endPad"/>
                  </dgm:constrLst>
                  <dgm:ruleLst/>
                </dgm:layoutNode>
              </dgm:forEach>
              <dgm:forEach name="Name17" axis="self" ptType="node">
                <dgm:layoutNode name="childText" styleLbl="bgAcc1">
                  <dgm:varLst>
                    <dgm:bulletEnabled val="1"/>
                  </dgm:varLst>
                  <dgm:alg type="tx"/>
                  <dgm:shape xmlns:r="http://schemas.openxmlformats.org/officeDocument/2006/relationships" type="roundRect" r:blip="">
                    <dgm:adjLst>
                      <dgm:adj idx="1" val="0.1"/>
                    </dgm:adjLst>
                  </dgm:shape>
                  <dgm:presOf axis="self desOrSelf" ptType="node node" st="1 1" cnt="1 0"/>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0.07472</cdr:x>
      <cdr:y>0.0212</cdr:y>
    </cdr:from>
    <cdr:to>
      <cdr:x>0.94817</cdr:x>
      <cdr:y>0.10686</cdr:y>
    </cdr:to>
    <cdr:sp macro="" textlink="">
      <cdr:nvSpPr>
        <cdr:cNvPr id="3" name="TextBox 1"/>
        <cdr:cNvSpPr txBox="1"/>
      </cdr:nvSpPr>
      <cdr:spPr>
        <a:xfrm xmlns:a="http://schemas.openxmlformats.org/drawingml/2006/main">
          <a:off x="439821" y="71886"/>
          <a:ext cx="5141520" cy="2904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latin typeface="Times New Roman" panose="02020603050405020304" pitchFamily="18" charset="0"/>
              <a:cs typeface="Times New Roman" panose="02020603050405020304" pitchFamily="18" charset="0"/>
            </a:rPr>
            <a:t>Структура конечной цены на электрическую энергию</a:t>
          </a:r>
          <a:r>
            <a:rPr lang="ru-RU" sz="1200" b="1" baseline="0">
              <a:latin typeface="Times New Roman" panose="02020603050405020304" pitchFamily="18" charset="0"/>
              <a:cs typeface="Times New Roman" panose="02020603050405020304" pitchFamily="18" charset="0"/>
            </a:rPr>
            <a:t> </a:t>
          </a:r>
          <a:r>
            <a:rPr lang="ru-RU" sz="1200" b="1">
              <a:latin typeface="Times New Roman" panose="02020603050405020304" pitchFamily="18" charset="0"/>
              <a:cs typeface="Times New Roman" panose="02020603050405020304" pitchFamily="18" charset="0"/>
            </a:rPr>
            <a:t>для</a:t>
          </a:r>
          <a:r>
            <a:rPr lang="ru-RU" sz="1200" b="1" baseline="0">
              <a:latin typeface="Times New Roman" panose="02020603050405020304" pitchFamily="18" charset="0"/>
              <a:cs typeface="Times New Roman" panose="02020603050405020304" pitchFamily="18" charset="0"/>
            </a:rPr>
            <a:t> </a:t>
          </a:r>
          <a:r>
            <a:rPr lang="ru-RU" sz="1200" b="1">
              <a:latin typeface="Times New Roman" panose="02020603050405020304" pitchFamily="18" charset="0"/>
              <a:cs typeface="Times New Roman" panose="02020603050405020304" pitchFamily="18" charset="0"/>
            </a:rPr>
            <a:t>населения, %</a:t>
          </a:r>
        </a:p>
      </cdr:txBody>
    </cdr:sp>
  </cdr:relSizeAnchor>
  <cdr:relSizeAnchor xmlns:cdr="http://schemas.openxmlformats.org/drawingml/2006/chartDrawing">
    <cdr:from>
      <cdr:x>0.25317</cdr:x>
      <cdr:y>0.93293</cdr:y>
    </cdr:from>
    <cdr:to>
      <cdr:x>0.43356</cdr:x>
      <cdr:y>0.98837</cdr:y>
    </cdr:to>
    <cdr:sp macro="" textlink="">
      <cdr:nvSpPr>
        <cdr:cNvPr id="2" name="TextBox 1"/>
        <cdr:cNvSpPr txBox="1"/>
      </cdr:nvSpPr>
      <cdr:spPr>
        <a:xfrm xmlns:a="http://schemas.openxmlformats.org/drawingml/2006/main">
          <a:off x="1413085" y="3163472"/>
          <a:ext cx="1006874" cy="187992"/>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ru-RU" sz="1100" b="1">
              <a:latin typeface="Times New Roman" panose="02020603050405020304" pitchFamily="18" charset="0"/>
              <a:cs typeface="Times New Roman" panose="02020603050405020304" pitchFamily="18" charset="0"/>
            </a:rPr>
            <a:t>год</a:t>
          </a:r>
        </a:p>
      </cdr:txBody>
    </cdr:sp>
  </cdr:relSizeAnchor>
</c:userShapes>
</file>

<file path=word/drawings/drawing2.xml><?xml version="1.0" encoding="utf-8"?>
<c:userShapes xmlns:c="http://schemas.openxmlformats.org/drawingml/2006/chart">
  <cdr:relSizeAnchor xmlns:cdr="http://schemas.openxmlformats.org/drawingml/2006/chartDrawing">
    <cdr:from>
      <cdr:x>0.08185</cdr:x>
      <cdr:y>0</cdr:y>
    </cdr:from>
    <cdr:to>
      <cdr:x>0.91992</cdr:x>
      <cdr:y>0.26254</cdr:y>
    </cdr:to>
    <cdr:sp macro="" textlink="">
      <cdr:nvSpPr>
        <cdr:cNvPr id="4" name="TextBox 3"/>
        <cdr:cNvSpPr txBox="1"/>
      </cdr:nvSpPr>
      <cdr:spPr>
        <a:xfrm xmlns:a="http://schemas.openxmlformats.org/drawingml/2006/main">
          <a:off x="496567" y="0"/>
          <a:ext cx="5084394" cy="834886"/>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ru-RU" sz="1200" b="1">
              <a:latin typeface="Times New Roman" panose="02020603050405020304" pitchFamily="18" charset="0"/>
              <a:cs typeface="Times New Roman" panose="02020603050405020304" pitchFamily="18" charset="0"/>
            </a:rPr>
            <a:t>Сравнительная динамика утвержденных тарифов на электрическую энергию по первому диапазону для населения с экономически обоснованной величиной за период </a:t>
          </a:r>
          <a:r>
            <a:rPr lang="ru-RU" sz="1200" b="1" baseline="0">
              <a:latin typeface="Times New Roman" panose="02020603050405020304" pitchFamily="18" charset="0"/>
              <a:cs typeface="Times New Roman" panose="02020603050405020304" pitchFamily="18" charset="0"/>
            </a:rPr>
            <a:t> </a:t>
          </a:r>
          <a:r>
            <a:rPr lang="ru-RU" sz="1200" b="1">
              <a:latin typeface="Times New Roman" panose="02020603050405020304" pitchFamily="18" charset="0"/>
              <a:cs typeface="Times New Roman" panose="02020603050405020304" pitchFamily="18" charset="0"/>
            </a:rPr>
            <a:t>2015</a:t>
          </a:r>
          <a:r>
            <a:rPr lang="ru-RU" sz="1200" b="1" baseline="0">
              <a:latin typeface="Times New Roman" panose="02020603050405020304" pitchFamily="18" charset="0"/>
              <a:cs typeface="Times New Roman" panose="02020603050405020304" pitchFamily="18" charset="0"/>
            </a:rPr>
            <a:t> - 2025 годы, руб./кВтч</a:t>
          </a:r>
          <a:endParaRPr lang="ru-RU" sz="12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0.07496</cdr:x>
      <cdr:y>0.90687</cdr:y>
    </cdr:from>
    <cdr:to>
      <cdr:x>0.74231</cdr:x>
      <cdr:y>0.98099</cdr:y>
    </cdr:to>
    <cdr:sp macro="" textlink="">
      <cdr:nvSpPr>
        <cdr:cNvPr id="3" name="TextBox 1"/>
        <cdr:cNvSpPr txBox="1"/>
      </cdr:nvSpPr>
      <cdr:spPr>
        <a:xfrm xmlns:a="http://schemas.openxmlformats.org/drawingml/2006/main">
          <a:off x="454767" y="2883912"/>
          <a:ext cx="4048672" cy="23570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latin typeface="Times New Roman" panose="02020603050405020304" pitchFamily="18" charset="0"/>
              <a:cs typeface="Times New Roman" panose="02020603050405020304" pitchFamily="18" charset="0"/>
            </a:rPr>
            <a:t>год (2015 - 2022 гг., 2024 - 2025 гг. - с 1 июля, 2023 г. - за год)</a:t>
          </a:r>
        </a:p>
      </cdr:txBody>
    </cdr:sp>
  </cdr:relSizeAnchor>
</c:userShapes>
</file>

<file path=word/drawings/drawing3.xml><?xml version="1.0" encoding="utf-8"?>
<c:userShapes xmlns:c="http://schemas.openxmlformats.org/drawingml/2006/chart">
  <cdr:relSizeAnchor xmlns:cdr="http://schemas.openxmlformats.org/drawingml/2006/chartDrawing">
    <cdr:from>
      <cdr:x>0.11077</cdr:x>
      <cdr:y>0.92478</cdr:y>
    </cdr:from>
    <cdr:to>
      <cdr:x>0.84968</cdr:x>
      <cdr:y>0.9769</cdr:y>
    </cdr:to>
    <cdr:sp macro="" textlink="">
      <cdr:nvSpPr>
        <cdr:cNvPr id="2" name="TextBox 1"/>
        <cdr:cNvSpPr txBox="1"/>
      </cdr:nvSpPr>
      <cdr:spPr>
        <a:xfrm xmlns:a="http://schemas.openxmlformats.org/drawingml/2006/main">
          <a:off x="615590" y="3757131"/>
          <a:ext cx="4106507" cy="21175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latin typeface="Times New Roman" panose="02020603050405020304" pitchFamily="18" charset="0"/>
              <a:cs typeface="Times New Roman" panose="02020603050405020304" pitchFamily="18" charset="0"/>
            </a:rPr>
            <a:t>год (2015 - 2022 гг., 2024 - 2025 гг. - с 1 июля, 2023 г. за год)</a:t>
          </a:r>
        </a:p>
      </cdr:txBody>
    </cdr:sp>
  </cdr:relSizeAnchor>
  <cdr:relSizeAnchor xmlns:cdr="http://schemas.openxmlformats.org/drawingml/2006/chartDrawing">
    <cdr:from>
      <cdr:x>0.02275</cdr:x>
      <cdr:y>0.32858</cdr:y>
    </cdr:from>
    <cdr:to>
      <cdr:x>0.08248</cdr:x>
      <cdr:y>0.72763</cdr:y>
    </cdr:to>
    <cdr:sp macro="" textlink="">
      <cdr:nvSpPr>
        <cdr:cNvPr id="3" name="TextBox 1"/>
        <cdr:cNvSpPr txBox="1"/>
      </cdr:nvSpPr>
      <cdr:spPr>
        <a:xfrm xmlns:a="http://schemas.openxmlformats.org/drawingml/2006/main">
          <a:off x="127000" y="1317625"/>
          <a:ext cx="333375" cy="1600200"/>
        </a:xfrm>
        <a:prstGeom xmlns:a="http://schemas.openxmlformats.org/drawingml/2006/main" prst="rect">
          <a:avLst/>
        </a:prstGeom>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тариф, руб./кВтч</a:t>
          </a:r>
        </a:p>
      </cdr:txBody>
    </cdr:sp>
  </cdr:relSizeAnchor>
  <cdr:relSizeAnchor xmlns:cdr="http://schemas.openxmlformats.org/drawingml/2006/chartDrawing">
    <cdr:from>
      <cdr:x>0.02048</cdr:x>
      <cdr:y>0.0095</cdr:y>
    </cdr:from>
    <cdr:to>
      <cdr:x>0.99147</cdr:x>
      <cdr:y>0.2114</cdr:y>
    </cdr:to>
    <cdr:sp macro="" textlink="">
      <cdr:nvSpPr>
        <cdr:cNvPr id="4" name="TextBox 3"/>
        <cdr:cNvSpPr txBox="1"/>
      </cdr:nvSpPr>
      <cdr:spPr>
        <a:xfrm xmlns:a="http://schemas.openxmlformats.org/drawingml/2006/main">
          <a:off x="114300" y="38100"/>
          <a:ext cx="5419725" cy="8096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marL="0" marR="0" indent="0" algn="ctr" defTabSz="914400" eaLnBrk="1" fontAlgn="auto" latinLnBrk="0" hangingPunct="1">
            <a:lnSpc>
              <a:spcPct val="100000"/>
            </a:lnSpc>
            <a:spcBef>
              <a:spcPts val="0"/>
            </a:spcBef>
            <a:spcAft>
              <a:spcPts val="0"/>
            </a:spcAft>
            <a:buClrTx/>
            <a:buSzTx/>
            <a:buFontTx/>
            <a:buNone/>
            <a:tabLst/>
            <a:defRPr/>
          </a:pPr>
          <a:r>
            <a:rPr lang="ru-RU" sz="1100" b="1">
              <a:latin typeface="Times New Roman" panose="02020603050405020304" pitchFamily="18" charset="0"/>
              <a:cs typeface="Times New Roman" panose="02020603050405020304" pitchFamily="18" charset="0"/>
            </a:rPr>
            <a:t>Сравнительная динамика тарифов </a:t>
          </a:r>
          <a:r>
            <a:rPr lang="ru-RU" sz="1100" b="1">
              <a:effectLst/>
              <a:latin typeface="Times New Roman" panose="02020603050405020304" pitchFamily="18" charset="0"/>
              <a:ea typeface="+mn-ea"/>
              <a:cs typeface="Times New Roman" panose="02020603050405020304" pitchFamily="18" charset="0"/>
            </a:rPr>
            <a:t> на электрическую энергию для населения, проживающего в городских населенных пунктах, в домах, оборудованных в установленном порядке стационарными электроплитами и электроотопительными установками, руб/кВтч</a:t>
          </a:r>
          <a:endParaRPr lang="ru-RU" sz="1100">
            <a:effectLst/>
            <a:latin typeface="Times New Roman" panose="02020603050405020304" pitchFamily="18" charset="0"/>
            <a:cs typeface="Times New Roman" panose="02020603050405020304" pitchFamily="18" charset="0"/>
          </a:endParaRPr>
        </a:p>
        <a:p xmlns:a="http://schemas.openxmlformats.org/drawingml/2006/main">
          <a:pPr algn="ctr"/>
          <a:r>
            <a:rPr lang="ru-RU" sz="1100"/>
            <a:t> </a:t>
          </a:r>
        </a:p>
      </cdr:txBody>
    </cdr:sp>
  </cdr:relSizeAnchor>
</c:userShapes>
</file>

<file path=word/drawings/drawing4.xml><?xml version="1.0" encoding="utf-8"?>
<c:userShapes xmlns:c="http://schemas.openxmlformats.org/drawingml/2006/chart">
  <cdr:relSizeAnchor xmlns:cdr="http://schemas.openxmlformats.org/drawingml/2006/chartDrawing">
    <cdr:from>
      <cdr:x>0.02469</cdr:x>
      <cdr:y>0.28509</cdr:y>
    </cdr:from>
    <cdr:to>
      <cdr:x>0.08105</cdr:x>
      <cdr:y>0.72719</cdr:y>
    </cdr:to>
    <cdr:sp macro="" textlink="">
      <cdr:nvSpPr>
        <cdr:cNvPr id="3" name="TextBox 1"/>
        <cdr:cNvSpPr txBox="1"/>
      </cdr:nvSpPr>
      <cdr:spPr>
        <a:xfrm xmlns:a="http://schemas.openxmlformats.org/drawingml/2006/main">
          <a:off x="146050" y="1031875"/>
          <a:ext cx="333375" cy="1600200"/>
        </a:xfrm>
        <a:prstGeom xmlns:a="http://schemas.openxmlformats.org/drawingml/2006/main" prst="rect">
          <a:avLst/>
        </a:prstGeom>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тариф, руб./кВтч</a:t>
          </a:r>
        </a:p>
      </cdr:txBody>
    </cdr:sp>
  </cdr:relSizeAnchor>
  <cdr:relSizeAnchor xmlns:cdr="http://schemas.openxmlformats.org/drawingml/2006/chartDrawing">
    <cdr:from>
      <cdr:x>0</cdr:x>
      <cdr:y>0.01404</cdr:y>
    </cdr:from>
    <cdr:to>
      <cdr:x>1</cdr:x>
      <cdr:y>0.18425</cdr:y>
    </cdr:to>
    <cdr:sp macro="" textlink="">
      <cdr:nvSpPr>
        <cdr:cNvPr id="4" name="TextBox 1"/>
        <cdr:cNvSpPr txBox="1"/>
      </cdr:nvSpPr>
      <cdr:spPr>
        <a:xfrm xmlns:a="http://schemas.openxmlformats.org/drawingml/2006/main">
          <a:off x="50800" y="50800"/>
          <a:ext cx="7889409" cy="61610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latin typeface="Times New Roman" panose="02020603050405020304" pitchFamily="18" charset="0"/>
              <a:cs typeface="Times New Roman" panose="02020603050405020304" pitchFamily="18" charset="0"/>
            </a:rPr>
            <a:t>Тарифы на электрическую энергию для населения, проживающего в городских населенных пунктах, в домах, не оборудованных в установленном порядке стационарными электроплитами и электроотопительными установками, руб/кВтч</a:t>
          </a:r>
        </a:p>
      </cdr:txBody>
    </cdr:sp>
  </cdr:relSizeAnchor>
  <cdr:relSizeAnchor xmlns:cdr="http://schemas.openxmlformats.org/drawingml/2006/chartDrawing">
    <cdr:from>
      <cdr:x>0.14886</cdr:x>
      <cdr:y>0.92048</cdr:y>
    </cdr:from>
    <cdr:to>
      <cdr:x>0.83945</cdr:x>
      <cdr:y>0.97499</cdr:y>
    </cdr:to>
    <cdr:sp macro="" textlink="">
      <cdr:nvSpPr>
        <cdr:cNvPr id="5" name="TextBox 1"/>
        <cdr:cNvSpPr txBox="1"/>
      </cdr:nvSpPr>
      <cdr:spPr>
        <a:xfrm xmlns:a="http://schemas.openxmlformats.org/drawingml/2006/main">
          <a:off x="889000" y="4594225"/>
          <a:ext cx="4124325" cy="27205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latin typeface="Times New Roman" panose="02020603050405020304" pitchFamily="18" charset="0"/>
              <a:cs typeface="Times New Roman" panose="02020603050405020304" pitchFamily="18" charset="0"/>
            </a:rPr>
            <a:t>год (2015 - 2022 гг., 2024 - 2025 гг. - с 1 июля, 2023 г. - за год)</a:t>
          </a:r>
        </a:p>
      </cdr:txBody>
    </cdr:sp>
  </cdr:relSizeAnchor>
</c:userShapes>
</file>

<file path=word/drawings/drawing5.xml><?xml version="1.0" encoding="utf-8"?>
<c:userShapes xmlns:c="http://schemas.openxmlformats.org/drawingml/2006/chart">
  <cdr:relSizeAnchor xmlns:cdr="http://schemas.openxmlformats.org/drawingml/2006/chartDrawing">
    <cdr:from>
      <cdr:x>0.10237</cdr:x>
      <cdr:y>0.03668</cdr:y>
    </cdr:from>
    <cdr:to>
      <cdr:x>0.90653</cdr:x>
      <cdr:y>0.18323</cdr:y>
    </cdr:to>
    <cdr:sp macro="" textlink="">
      <cdr:nvSpPr>
        <cdr:cNvPr id="2" name="TextBox 1"/>
        <cdr:cNvSpPr txBox="1"/>
      </cdr:nvSpPr>
      <cdr:spPr>
        <a:xfrm xmlns:a="http://schemas.openxmlformats.org/drawingml/2006/main">
          <a:off x="626453" y="132111"/>
          <a:ext cx="4921053" cy="52784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a:latin typeface="Times New Roman" panose="02020603050405020304" pitchFamily="18" charset="0"/>
              <a:cs typeface="Times New Roman" panose="02020603050405020304" pitchFamily="18" charset="0"/>
            </a:rPr>
            <a:t>Динамика величины перекрестного субсидирования  за период </a:t>
          </a:r>
        </a:p>
        <a:p xmlns:a="http://schemas.openxmlformats.org/drawingml/2006/main">
          <a:pPr algn="ctr"/>
          <a:r>
            <a:rPr lang="ru-RU" sz="1100" b="1">
              <a:latin typeface="Times New Roman" panose="02020603050405020304" pitchFamily="18" charset="0"/>
              <a:cs typeface="Times New Roman" panose="02020603050405020304" pitchFamily="18" charset="0"/>
            </a:rPr>
            <a:t>2016 - 2025 гг.</a:t>
          </a:r>
        </a:p>
      </cdr:txBody>
    </cdr:sp>
  </cdr:relSizeAnchor>
  <cdr:relSizeAnchor xmlns:cdr="http://schemas.openxmlformats.org/drawingml/2006/chartDrawing">
    <cdr:from>
      <cdr:x>0.03412</cdr:x>
      <cdr:y>0.38142</cdr:y>
    </cdr:from>
    <cdr:to>
      <cdr:x>0.05045</cdr:x>
      <cdr:y>0.65281</cdr:y>
    </cdr:to>
    <cdr:sp macro="" textlink="">
      <cdr:nvSpPr>
        <cdr:cNvPr id="3" name="TextBox 2"/>
        <cdr:cNvSpPr txBox="1"/>
      </cdr:nvSpPr>
      <cdr:spPr>
        <a:xfrm xmlns:a="http://schemas.openxmlformats.org/drawingml/2006/main">
          <a:off x="219075" y="1485901"/>
          <a:ext cx="104775" cy="10572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0.01148</cdr:x>
      <cdr:y>0.32168</cdr:y>
    </cdr:from>
    <cdr:to>
      <cdr:x>0.05302</cdr:x>
      <cdr:y>0.61263</cdr:y>
    </cdr:to>
    <cdr:sp macro="" textlink="">
      <cdr:nvSpPr>
        <cdr:cNvPr id="4" name="TextBox 3"/>
        <cdr:cNvSpPr txBox="1"/>
      </cdr:nvSpPr>
      <cdr:spPr>
        <a:xfrm xmlns:a="http://schemas.openxmlformats.org/drawingml/2006/main">
          <a:off x="61136" y="1201088"/>
          <a:ext cx="221178" cy="1086349"/>
        </a:xfrm>
        <a:prstGeom xmlns:a="http://schemas.openxmlformats.org/drawingml/2006/main" prst="rect">
          <a:avLst/>
        </a:prstGeom>
      </cdr:spPr>
      <cdr:txBody>
        <a:bodyPr xmlns:a="http://schemas.openxmlformats.org/drawingml/2006/main" vertOverflow="clip" vert="vert270" wrap="square" rtlCol="0" anchor="ctr" anchorCtr="1"/>
        <a:lstStyle xmlns:a="http://schemas.openxmlformats.org/drawingml/2006/main"/>
        <a:p xmlns:a="http://schemas.openxmlformats.org/drawingml/2006/main">
          <a:r>
            <a:rPr lang="ru-RU" sz="1200" b="1">
              <a:latin typeface="+mn-lt"/>
            </a:rPr>
            <a:t>млн. руб.</a:t>
          </a:r>
        </a:p>
      </cdr:txBody>
    </cdr:sp>
  </cdr:relSizeAnchor>
  <cdr:relSizeAnchor xmlns:cdr="http://schemas.openxmlformats.org/drawingml/2006/chartDrawing">
    <cdr:from>
      <cdr:x>0.32394</cdr:x>
      <cdr:y>0.8859</cdr:y>
    </cdr:from>
    <cdr:to>
      <cdr:x>0.54896</cdr:x>
      <cdr:y>0.94866</cdr:y>
    </cdr:to>
    <cdr:sp macro="" textlink="">
      <cdr:nvSpPr>
        <cdr:cNvPr id="5" name="TextBox 1"/>
        <cdr:cNvSpPr txBox="1"/>
      </cdr:nvSpPr>
      <cdr:spPr>
        <a:xfrm xmlns:a="http://schemas.openxmlformats.org/drawingml/2006/main">
          <a:off x="2079625" y="3451225"/>
          <a:ext cx="1444626" cy="244475"/>
        </a:xfrm>
        <a:prstGeom xmlns:a="http://schemas.openxmlformats.org/drawingml/2006/main" prst="rect">
          <a:avLst/>
        </a:prstGeom>
      </cdr:spPr>
      <cdr:txBody>
        <a:bodyPr xmlns:a="http://schemas.openxmlformats.org/drawingml/2006/main" vert="horz" wrap="square" rtlCol="0" anchor="ctr" anchorCtr="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1200" b="1">
              <a:latin typeface="+mn-lt"/>
            </a:rPr>
            <a:t>год</a:t>
          </a:r>
        </a:p>
      </cdr:txBody>
    </cdr:sp>
  </cdr:relSizeAnchor>
</c:userShapes>
</file>

<file path=word/drawings/drawing6.xml><?xml version="1.0" encoding="utf-8"?>
<c:userShapes xmlns:c="http://schemas.openxmlformats.org/drawingml/2006/chart">
  <cdr:relSizeAnchor xmlns:cdr="http://schemas.openxmlformats.org/drawingml/2006/chartDrawing">
    <cdr:from>
      <cdr:x>0.40751</cdr:x>
      <cdr:y>0.90984</cdr:y>
    </cdr:from>
    <cdr:to>
      <cdr:x>0.56495</cdr:x>
      <cdr:y>0.97512</cdr:y>
    </cdr:to>
    <cdr:sp macro="" textlink="">
      <cdr:nvSpPr>
        <cdr:cNvPr id="2" name="TextBox 3"/>
        <cdr:cNvSpPr txBox="1"/>
      </cdr:nvSpPr>
      <cdr:spPr>
        <a:xfrm xmlns:a="http://schemas.openxmlformats.org/drawingml/2006/main">
          <a:off x="2455954" y="2936687"/>
          <a:ext cx="948897" cy="210701"/>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год</a:t>
          </a:r>
        </a:p>
      </cdr:txBody>
    </cdr:sp>
  </cdr:relSizeAnchor>
  <cdr:relSizeAnchor xmlns:cdr="http://schemas.openxmlformats.org/drawingml/2006/chartDrawing">
    <cdr:from>
      <cdr:x>0.0171</cdr:x>
      <cdr:y>0.33768</cdr:y>
    </cdr:from>
    <cdr:to>
      <cdr:x>0.0632</cdr:x>
      <cdr:y>0.58925</cdr:y>
    </cdr:to>
    <cdr:sp macro="" textlink="">
      <cdr:nvSpPr>
        <cdr:cNvPr id="5" name="TextBox 1"/>
        <cdr:cNvSpPr txBox="1"/>
      </cdr:nvSpPr>
      <cdr:spPr>
        <a:xfrm xmlns:a="http://schemas.openxmlformats.org/drawingml/2006/main">
          <a:off x="109540" y="1481140"/>
          <a:ext cx="295274" cy="1103462"/>
        </a:xfrm>
        <a:prstGeom xmlns:a="http://schemas.openxmlformats.org/drawingml/2006/main" prst="rect">
          <a:avLst/>
        </a:prstGeom>
      </cdr:spPr>
      <cdr:txBody>
        <a:bodyPr xmlns:a="http://schemas.openxmlformats.org/drawingml/2006/main" vert="vert270" wrap="square" rtlCol="0" anchor="ctr" anchorCtr="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1200" b="1">
              <a:latin typeface="+mn-lt"/>
            </a:rPr>
            <a:t>руб./кВтч</a:t>
          </a:r>
        </a:p>
      </cdr:txBody>
    </cdr:sp>
  </cdr:relSizeAnchor>
</c:userShapes>
</file>

<file path=word/drawings/drawing7.xml><?xml version="1.0" encoding="utf-8"?>
<c:userShapes xmlns:c="http://schemas.openxmlformats.org/drawingml/2006/chart">
  <cdr:relSizeAnchor xmlns:cdr="http://schemas.openxmlformats.org/drawingml/2006/chartDrawing">
    <cdr:from>
      <cdr:x>0.35</cdr:x>
      <cdr:y>0.85764</cdr:y>
    </cdr:from>
    <cdr:to>
      <cdr:x>0.62292</cdr:x>
      <cdr:y>0.96181</cdr:y>
    </cdr:to>
    <cdr:sp macro="" textlink="">
      <cdr:nvSpPr>
        <cdr:cNvPr id="2" name="TextBox 1"/>
        <cdr:cNvSpPr txBox="1"/>
      </cdr:nvSpPr>
      <cdr:spPr>
        <a:xfrm xmlns:a="http://schemas.openxmlformats.org/drawingml/2006/main">
          <a:off x="1600200" y="2352675"/>
          <a:ext cx="1247775" cy="285750"/>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ru-RU" sz="1200" b="1"/>
            <a:t>год</a:t>
          </a:r>
        </a:p>
      </cdr:txBody>
    </cdr:sp>
  </cdr:relSizeAnchor>
  <cdr:relSizeAnchor xmlns:cdr="http://schemas.openxmlformats.org/drawingml/2006/chartDrawing">
    <cdr:from>
      <cdr:x>0.01185</cdr:x>
      <cdr:y>0.29178</cdr:y>
    </cdr:from>
    <cdr:to>
      <cdr:x>0.08403</cdr:x>
      <cdr:y>0.68563</cdr:y>
    </cdr:to>
    <cdr:sp macro="" textlink="">
      <cdr:nvSpPr>
        <cdr:cNvPr id="3" name="TextBox 1"/>
        <cdr:cNvSpPr txBox="1"/>
      </cdr:nvSpPr>
      <cdr:spPr>
        <a:xfrm xmlns:a="http://schemas.openxmlformats.org/drawingml/2006/main" rot="16200000">
          <a:off x="-406400" y="1389042"/>
          <a:ext cx="1252974" cy="331390"/>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Количест</a:t>
          </a:r>
          <a:r>
            <a:rPr lang="ru-RU" sz="1200" b="1" baseline="0"/>
            <a:t>во, шт.</a:t>
          </a:r>
          <a:endParaRPr lang="ru-RU" sz="1200" b="1"/>
        </a:p>
      </cdr:txBody>
    </cdr:sp>
  </cdr:relSizeAnchor>
</c:userShapes>
</file>

<file path=word/drawings/drawing8.xml><?xml version="1.0" encoding="utf-8"?>
<c:userShapes xmlns:c="http://schemas.openxmlformats.org/drawingml/2006/chart">
  <cdr:relSizeAnchor xmlns:cdr="http://schemas.openxmlformats.org/drawingml/2006/chartDrawing">
    <cdr:from>
      <cdr:x>0.04207</cdr:x>
      <cdr:y>0.1221</cdr:y>
    </cdr:from>
    <cdr:to>
      <cdr:x>0.06473</cdr:x>
      <cdr:y>0.46266</cdr:y>
    </cdr:to>
    <cdr:sp macro="" textlink="">
      <cdr:nvSpPr>
        <cdr:cNvPr id="4" name="TextBox 1"/>
        <cdr:cNvSpPr txBox="1"/>
      </cdr:nvSpPr>
      <cdr:spPr>
        <a:xfrm xmlns:a="http://schemas.openxmlformats.org/drawingml/2006/main">
          <a:off x="225137" y="419101"/>
          <a:ext cx="121228" cy="116897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0.07507</cdr:x>
      <cdr:y>0.35398</cdr:y>
    </cdr:from>
    <cdr:to>
      <cdr:x>0.1239</cdr:x>
      <cdr:y>0.69969</cdr:y>
    </cdr:to>
    <cdr:sp macro="" textlink="">
      <cdr:nvSpPr>
        <cdr:cNvPr id="5" name="TextBox 1"/>
        <cdr:cNvSpPr txBox="1"/>
      </cdr:nvSpPr>
      <cdr:spPr>
        <a:xfrm xmlns:a="http://schemas.openxmlformats.org/drawingml/2006/main" rot="16200000">
          <a:off x="65091" y="1455278"/>
          <a:ext cx="1050015" cy="28965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тыс. руб.</a:t>
          </a:r>
        </a:p>
      </cdr:txBody>
    </cdr:sp>
  </cdr:relSizeAnchor>
  <cdr:relSizeAnchor xmlns:cdr="http://schemas.openxmlformats.org/drawingml/2006/chartDrawing">
    <cdr:from>
      <cdr:x>0.49282</cdr:x>
      <cdr:y>0.91659</cdr:y>
    </cdr:from>
    <cdr:to>
      <cdr:x>0.61282</cdr:x>
      <cdr:y>0.9679</cdr:y>
    </cdr:to>
    <cdr:sp macro="" textlink="">
      <cdr:nvSpPr>
        <cdr:cNvPr id="6" name="TextBox 1"/>
        <cdr:cNvSpPr txBox="1"/>
      </cdr:nvSpPr>
      <cdr:spPr>
        <a:xfrm xmlns:a="http://schemas.openxmlformats.org/drawingml/2006/main">
          <a:off x="2923187" y="2783874"/>
          <a:ext cx="711792" cy="15583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год</a:t>
          </a:r>
        </a:p>
      </cdr:txBody>
    </cdr:sp>
  </cdr:relSizeAnchor>
</c:userShapes>
</file>

<file path=word/drawings/drawing9.xml><?xml version="1.0" encoding="utf-8"?>
<c:userShapes xmlns:c="http://schemas.openxmlformats.org/drawingml/2006/chart">
  <cdr:relSizeAnchor xmlns:cdr="http://schemas.openxmlformats.org/drawingml/2006/chartDrawing">
    <cdr:from>
      <cdr:x>0.04604</cdr:x>
      <cdr:y>0.03354</cdr:y>
    </cdr:from>
    <cdr:to>
      <cdr:x>0.96501</cdr:x>
      <cdr:y>0.22256</cdr:y>
    </cdr:to>
    <cdr:sp macro="" textlink="">
      <cdr:nvSpPr>
        <cdr:cNvPr id="2" name="TextBox 1"/>
        <cdr:cNvSpPr txBox="1"/>
      </cdr:nvSpPr>
      <cdr:spPr>
        <a:xfrm xmlns:a="http://schemas.openxmlformats.org/drawingml/2006/main">
          <a:off x="238127" y="104775"/>
          <a:ext cx="4752974" cy="59054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a:latin typeface="Times New Roman" panose="02020603050405020304" pitchFamily="18" charset="0"/>
              <a:cs typeface="Times New Roman" panose="02020603050405020304" pitchFamily="18" charset="0"/>
            </a:rPr>
            <a:t>Структура НВВ смежных ТСО без учета оплаты потерь</a:t>
          </a:r>
        </a:p>
        <a:p xmlns:a="http://schemas.openxmlformats.org/drawingml/2006/main">
          <a:pPr algn="ctr"/>
          <a:r>
            <a:rPr lang="ru-RU" sz="1100" b="1">
              <a:latin typeface="Times New Roman" panose="02020603050405020304" pitchFamily="18" charset="0"/>
              <a:cs typeface="Times New Roman" panose="02020603050405020304" pitchFamily="18" charset="0"/>
            </a:rPr>
            <a:t> в 2024 году, в %</a:t>
          </a:r>
        </a:p>
      </cdr:txBody>
    </cdr:sp>
  </cdr:relSizeAnchor>
</c:userShapes>
</file>

<file path=word/drawings/drawing10.xml><?xml version="1.0" encoding="utf-8"?>
<c:userShapes xmlns:c="http://schemas.openxmlformats.org/drawingml/2006/chart">
  <cdr:relSizeAnchor xmlns:cdr="http://schemas.openxmlformats.org/drawingml/2006/chartDrawing">
    <cdr:from>
      <cdr:x>0.0088</cdr:x>
      <cdr:y>0.01852</cdr:y>
    </cdr:from>
    <cdr:to>
      <cdr:x>1</cdr:x>
      <cdr:y>0.23552</cdr:y>
    </cdr:to>
    <cdr:sp macro="" textlink="">
      <cdr:nvSpPr>
        <cdr:cNvPr id="2" name="TextBox 1"/>
        <cdr:cNvSpPr txBox="1"/>
      </cdr:nvSpPr>
      <cdr:spPr>
        <a:xfrm xmlns:a="http://schemas.openxmlformats.org/drawingml/2006/main">
          <a:off x="50800" y="50800"/>
          <a:ext cx="4531766" cy="59528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1200" b="1">
              <a:latin typeface="Times New Roman" panose="02020603050405020304" pitchFamily="18" charset="0"/>
              <a:cs typeface="Times New Roman" panose="02020603050405020304" pitchFamily="18" charset="0"/>
            </a:rPr>
            <a:t>Структура НВВ смежных ТСО без учета оплаты потерь </a:t>
          </a:r>
        </a:p>
        <a:p xmlns:a="http://schemas.openxmlformats.org/drawingml/2006/main">
          <a:pPr algn="ctr"/>
          <a:r>
            <a:rPr lang="ru-RU" sz="1200" b="1">
              <a:latin typeface="Times New Roman" panose="02020603050405020304" pitchFamily="18" charset="0"/>
              <a:cs typeface="Times New Roman" panose="02020603050405020304" pitchFamily="18" charset="0"/>
            </a:rPr>
            <a:t>в 2025 году, в %</a:t>
          </a:r>
        </a:p>
      </cdr:txBody>
    </cdr:sp>
  </cdr:relSizeAnchor>
</c:userShapes>
</file>

<file path=word/drawings/drawing11.xml><?xml version="1.0" encoding="utf-8"?>
<c:userShapes xmlns:c="http://schemas.openxmlformats.org/drawingml/2006/chart">
  <cdr:relSizeAnchor xmlns:cdr="http://schemas.openxmlformats.org/drawingml/2006/chartDrawing">
    <cdr:from>
      <cdr:x>0.36372</cdr:x>
      <cdr:y>0.89255</cdr:y>
    </cdr:from>
    <cdr:to>
      <cdr:x>0.65643</cdr:x>
      <cdr:y>1</cdr:y>
    </cdr:to>
    <cdr:sp macro="" textlink="">
      <cdr:nvSpPr>
        <cdr:cNvPr id="4" name="TextBox 1"/>
        <cdr:cNvSpPr txBox="1"/>
      </cdr:nvSpPr>
      <cdr:spPr>
        <a:xfrm xmlns:a="http://schemas.openxmlformats.org/drawingml/2006/main">
          <a:off x="1691816" y="2576221"/>
          <a:ext cx="1361485" cy="31010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год</a:t>
          </a:r>
        </a:p>
      </cdr:txBody>
    </cdr:sp>
  </cdr:relSizeAnchor>
  <cdr:relSizeAnchor xmlns:cdr="http://schemas.openxmlformats.org/drawingml/2006/chartDrawing">
    <cdr:from>
      <cdr:x>0.01039</cdr:x>
      <cdr:y>0.24579</cdr:y>
    </cdr:from>
    <cdr:to>
      <cdr:x>0.09791</cdr:x>
      <cdr:y>0.69707</cdr:y>
    </cdr:to>
    <cdr:sp macro="" textlink="">
      <cdr:nvSpPr>
        <cdr:cNvPr id="5" name="TextBox 1"/>
        <cdr:cNvSpPr txBox="1"/>
      </cdr:nvSpPr>
      <cdr:spPr>
        <a:xfrm xmlns:a="http://schemas.openxmlformats.org/drawingml/2006/main" rot="16200000">
          <a:off x="-371408" y="1093150"/>
          <a:ext cx="1237952" cy="40014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Количест</a:t>
          </a:r>
          <a:r>
            <a:rPr lang="ru-RU" sz="1200" b="1" baseline="0"/>
            <a:t>во, уе.</a:t>
          </a:r>
          <a:endParaRPr lang="ru-RU" sz="1200" b="1"/>
        </a:p>
      </cdr:txBody>
    </cdr:sp>
  </cdr:relSizeAnchor>
  <cdr:relSizeAnchor xmlns:cdr="http://schemas.openxmlformats.org/drawingml/2006/chartDrawing">
    <cdr:from>
      <cdr:x>0.36372</cdr:x>
      <cdr:y>0.89255</cdr:y>
    </cdr:from>
    <cdr:to>
      <cdr:x>0.65643</cdr:x>
      <cdr:y>1</cdr:y>
    </cdr:to>
    <cdr:sp macro="" textlink="">
      <cdr:nvSpPr>
        <cdr:cNvPr id="6" name="TextBox 1"/>
        <cdr:cNvSpPr txBox="1"/>
      </cdr:nvSpPr>
      <cdr:spPr>
        <a:xfrm xmlns:a="http://schemas.openxmlformats.org/drawingml/2006/main">
          <a:off x="1691816" y="2576221"/>
          <a:ext cx="1361485" cy="31010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год</a:t>
          </a:r>
        </a:p>
      </cdr:txBody>
    </cdr:sp>
  </cdr:relSizeAnchor>
  <cdr:relSizeAnchor xmlns:cdr="http://schemas.openxmlformats.org/drawingml/2006/chartDrawing">
    <cdr:from>
      <cdr:x>0.01039</cdr:x>
      <cdr:y>0.24579</cdr:y>
    </cdr:from>
    <cdr:to>
      <cdr:x>0.09791</cdr:x>
      <cdr:y>0.69707</cdr:y>
    </cdr:to>
    <cdr:sp macro="" textlink="">
      <cdr:nvSpPr>
        <cdr:cNvPr id="7" name="TextBox 1"/>
        <cdr:cNvSpPr txBox="1"/>
      </cdr:nvSpPr>
      <cdr:spPr>
        <a:xfrm xmlns:a="http://schemas.openxmlformats.org/drawingml/2006/main" rot="16200000">
          <a:off x="-371408" y="1093150"/>
          <a:ext cx="1237952" cy="400142"/>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Количест</a:t>
          </a:r>
          <a:r>
            <a:rPr lang="ru-RU" sz="1200" b="1" baseline="0"/>
            <a:t>во, уе.</a:t>
          </a:r>
          <a:endParaRPr lang="ru-RU" sz="1200" b="1"/>
        </a:p>
      </cdr:txBody>
    </cdr:sp>
  </cdr:relSizeAnchor>
</c:userShapes>
</file>

<file path=word/drawings/drawing12.xml><?xml version="1.0" encoding="utf-8"?>
<c:userShapes xmlns:c="http://schemas.openxmlformats.org/drawingml/2006/chart">
  <cdr:relSizeAnchor xmlns:cdr="http://schemas.openxmlformats.org/drawingml/2006/chartDrawing">
    <cdr:from>
      <cdr:x>0.02762</cdr:x>
      <cdr:y>0.38095</cdr:y>
    </cdr:from>
    <cdr:to>
      <cdr:x>0.10856</cdr:x>
      <cdr:y>0.73128</cdr:y>
    </cdr:to>
    <cdr:sp macro="" textlink="">
      <cdr:nvSpPr>
        <cdr:cNvPr id="2" name="TextBox 1"/>
        <cdr:cNvSpPr txBox="1"/>
      </cdr:nvSpPr>
      <cdr:spPr>
        <a:xfrm xmlns:a="http://schemas.openxmlformats.org/drawingml/2006/main" rot="16200000">
          <a:off x="-282391" y="1765118"/>
          <a:ext cx="1237969" cy="400134"/>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тыс. руб.</a:t>
          </a:r>
        </a:p>
      </cdr:txBody>
    </cdr:sp>
  </cdr:relSizeAnchor>
  <cdr:relSizeAnchor xmlns:cdr="http://schemas.openxmlformats.org/drawingml/2006/chartDrawing">
    <cdr:from>
      <cdr:x>0.38191</cdr:x>
      <cdr:y>0.90734</cdr:y>
    </cdr:from>
    <cdr:to>
      <cdr:x>0.68796</cdr:x>
      <cdr:y>1</cdr:y>
    </cdr:to>
    <cdr:sp macro="" textlink="">
      <cdr:nvSpPr>
        <cdr:cNvPr id="3" name="TextBox 1"/>
        <cdr:cNvSpPr txBox="1"/>
      </cdr:nvSpPr>
      <cdr:spPr>
        <a:xfrm xmlns:a="http://schemas.openxmlformats.org/drawingml/2006/main">
          <a:off x="1912920" y="2359189"/>
          <a:ext cx="1532968" cy="240888"/>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год</a:t>
          </a:r>
        </a:p>
      </cdr:txBody>
    </cdr:sp>
  </cdr:relSizeAnchor>
</c:userShapes>
</file>

<file path=word/drawings/drawing13.xml><?xml version="1.0" encoding="utf-8"?>
<c:userShapes xmlns:c="http://schemas.openxmlformats.org/drawingml/2006/chart">
  <cdr:relSizeAnchor xmlns:cdr="http://schemas.openxmlformats.org/drawingml/2006/chartDrawing">
    <cdr:from>
      <cdr:x>0.38211</cdr:x>
      <cdr:y>0.8849</cdr:y>
    </cdr:from>
    <cdr:to>
      <cdr:x>0.61329</cdr:x>
      <cdr:y>0.95713</cdr:y>
    </cdr:to>
    <cdr:sp macro="" textlink="">
      <cdr:nvSpPr>
        <cdr:cNvPr id="2" name="TextBox 1"/>
        <cdr:cNvSpPr txBox="1"/>
      </cdr:nvSpPr>
      <cdr:spPr>
        <a:xfrm xmlns:a="http://schemas.openxmlformats.org/drawingml/2006/main">
          <a:off x="2065844" y="3116911"/>
          <a:ext cx="1249851" cy="25444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a:t>год</a:t>
          </a:r>
        </a:p>
      </cdr:txBody>
    </cdr:sp>
  </cdr:relSizeAnchor>
  <cdr:relSizeAnchor xmlns:cdr="http://schemas.openxmlformats.org/drawingml/2006/chartDrawing">
    <cdr:from>
      <cdr:x>0.04861</cdr:x>
      <cdr:y>0.22317</cdr:y>
    </cdr:from>
    <cdr:to>
      <cdr:x>0.14746</cdr:x>
      <cdr:y>0.80722</cdr:y>
    </cdr:to>
    <cdr:sp macro="" textlink="">
      <cdr:nvSpPr>
        <cdr:cNvPr id="3" name="TextBox 1"/>
        <cdr:cNvSpPr txBox="1"/>
      </cdr:nvSpPr>
      <cdr:spPr>
        <a:xfrm xmlns:a="http://schemas.openxmlformats.org/drawingml/2006/main">
          <a:off x="222250" y="746125"/>
          <a:ext cx="451926" cy="1952631"/>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userShapes>
</file>

<file path=word/drawings/drawing14.xml><?xml version="1.0" encoding="utf-8"?>
<c:userShapes xmlns:c="http://schemas.openxmlformats.org/drawingml/2006/chart">
  <cdr:relSizeAnchor xmlns:cdr="http://schemas.openxmlformats.org/drawingml/2006/chartDrawing">
    <cdr:from>
      <cdr:x>0.05029</cdr:x>
      <cdr:y>0.08551</cdr:y>
    </cdr:from>
    <cdr:to>
      <cdr:x>0.95364</cdr:x>
      <cdr:y>0.18442</cdr:y>
    </cdr:to>
    <cdr:sp macro="" textlink="">
      <cdr:nvSpPr>
        <cdr:cNvPr id="2" name="TextBox 1"/>
        <cdr:cNvSpPr txBox="1"/>
      </cdr:nvSpPr>
      <cdr:spPr>
        <a:xfrm xmlns:a="http://schemas.openxmlformats.org/drawingml/2006/main">
          <a:off x="152401" y="169418"/>
          <a:ext cx="2737338" cy="19596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800" b="1">
              <a:latin typeface="Times New Roman" panose="02020603050405020304" pitchFamily="18" charset="0"/>
              <a:cs typeface="Times New Roman" panose="02020603050405020304" pitchFamily="18" charset="0"/>
            </a:rPr>
            <a:t>Структура НВВ</a:t>
          </a:r>
          <a:r>
            <a:rPr lang="ru-RU" sz="800" b="1" baseline="0">
              <a:latin typeface="Times New Roman" panose="02020603050405020304" pitchFamily="18" charset="0"/>
              <a:cs typeface="Times New Roman" panose="02020603050405020304" pitchFamily="18" charset="0"/>
            </a:rPr>
            <a:t> ГП в 2017 году, в %</a:t>
          </a:r>
          <a:endParaRPr lang="ru-RU" sz="800" b="1">
            <a:latin typeface="Times New Roman" panose="02020603050405020304" pitchFamily="18" charset="0"/>
            <a:cs typeface="Times New Roman" panose="02020603050405020304" pitchFamily="18" charset="0"/>
          </a:endParaRPr>
        </a:p>
      </cdr:txBody>
    </cdr:sp>
  </cdr:relSizeAnchor>
</c:userShapes>
</file>

<file path=word/drawings/drawing15.xml><?xml version="1.0" encoding="utf-8"?>
<c:userShapes xmlns:c="http://schemas.openxmlformats.org/drawingml/2006/chart">
  <cdr:relSizeAnchor xmlns:cdr="http://schemas.openxmlformats.org/drawingml/2006/chartDrawing">
    <cdr:from>
      <cdr:x>0.02003</cdr:x>
      <cdr:y>0.26513</cdr:y>
    </cdr:from>
    <cdr:to>
      <cdr:x>0.11198</cdr:x>
      <cdr:y>0.85591</cdr:y>
    </cdr:to>
    <cdr:sp macro="" textlink="">
      <cdr:nvSpPr>
        <cdr:cNvPr id="2" name="TextBox 1"/>
        <cdr:cNvSpPr txBox="1"/>
      </cdr:nvSpPr>
      <cdr:spPr>
        <a:xfrm xmlns:a="http://schemas.openxmlformats.org/drawingml/2006/main">
          <a:off x="98425" y="876302"/>
          <a:ext cx="451930" cy="1952624"/>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0.39406</cdr:x>
      <cdr:y>0.90298</cdr:y>
    </cdr:from>
    <cdr:to>
      <cdr:x>0.65153</cdr:x>
      <cdr:y>0.96622</cdr:y>
    </cdr:to>
    <cdr:sp macro="" textlink="">
      <cdr:nvSpPr>
        <cdr:cNvPr id="3" name="TextBox 1"/>
        <cdr:cNvSpPr txBox="1"/>
      </cdr:nvSpPr>
      <cdr:spPr>
        <a:xfrm xmlns:a="http://schemas.openxmlformats.org/drawingml/2006/main">
          <a:off x="1936750" y="2984500"/>
          <a:ext cx="1265432" cy="20901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a:t>
          </a:r>
        </a:p>
      </cdr:txBody>
    </cdr:sp>
  </cdr:relSizeAnchor>
</c:userShapes>
</file>

<file path=word/drawings/drawing16.xml><?xml version="1.0" encoding="utf-8"?>
<c:userShapes xmlns:c="http://schemas.openxmlformats.org/drawingml/2006/chart">
  <cdr:relSizeAnchor xmlns:cdr="http://schemas.openxmlformats.org/drawingml/2006/chartDrawing">
    <cdr:from>
      <cdr:x>0.08543</cdr:x>
      <cdr:y>0.01021</cdr:y>
    </cdr:from>
    <cdr:to>
      <cdr:x>0.88107</cdr:x>
      <cdr:y>0.14031</cdr:y>
    </cdr:to>
    <cdr:sp macro="" textlink="">
      <cdr:nvSpPr>
        <cdr:cNvPr id="3" name="TextBox 2"/>
        <cdr:cNvSpPr txBox="1"/>
      </cdr:nvSpPr>
      <cdr:spPr>
        <a:xfrm xmlns:a="http://schemas.openxmlformats.org/drawingml/2006/main">
          <a:off x="485781" y="38109"/>
          <a:ext cx="4524369" cy="48576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a:latin typeface="Times New Roman" panose="02020603050405020304" pitchFamily="18" charset="0"/>
              <a:cs typeface="Times New Roman" panose="02020603050405020304" pitchFamily="18" charset="0"/>
            </a:rPr>
            <a:t>Сравнительная динамика сбытовых надбавок по группе "население" </a:t>
          </a:r>
        </a:p>
        <a:p xmlns:a="http://schemas.openxmlformats.org/drawingml/2006/main">
          <a:pPr algn="ctr"/>
          <a:r>
            <a:rPr lang="ru-RU" sz="1100" b="1">
              <a:latin typeface="Times New Roman" panose="02020603050405020304" pitchFamily="18" charset="0"/>
              <a:cs typeface="Times New Roman" panose="02020603050405020304" pitchFamily="18" charset="0"/>
            </a:rPr>
            <a:t>за 2015 - 2025 гг. среди городов-миллионников</a:t>
          </a:r>
        </a:p>
      </cdr:txBody>
    </cdr:sp>
  </cdr:relSizeAnchor>
  <cdr:relSizeAnchor xmlns:cdr="http://schemas.openxmlformats.org/drawingml/2006/chartDrawing">
    <cdr:from>
      <cdr:x>0.00335</cdr:x>
      <cdr:y>0.23045</cdr:y>
    </cdr:from>
    <cdr:to>
      <cdr:x>0.04823</cdr:x>
      <cdr:y>0.80698</cdr:y>
    </cdr:to>
    <cdr:sp macro="" textlink="">
      <cdr:nvSpPr>
        <cdr:cNvPr id="4" name="TextBox 1"/>
        <cdr:cNvSpPr txBox="1"/>
      </cdr:nvSpPr>
      <cdr:spPr>
        <a:xfrm xmlns:a="http://schemas.openxmlformats.org/drawingml/2006/main">
          <a:off x="22496" y="873624"/>
          <a:ext cx="301356" cy="2185597"/>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0.35461</cdr:x>
      <cdr:y>0.91206</cdr:y>
    </cdr:from>
    <cdr:to>
      <cdr:x>0.54043</cdr:x>
      <cdr:y>0.98899</cdr:y>
    </cdr:to>
    <cdr:sp macro="" textlink="">
      <cdr:nvSpPr>
        <cdr:cNvPr id="5" name="TextBox 1"/>
        <cdr:cNvSpPr txBox="1"/>
      </cdr:nvSpPr>
      <cdr:spPr>
        <a:xfrm xmlns:a="http://schemas.openxmlformats.org/drawingml/2006/main">
          <a:off x="2381252" y="3457575"/>
          <a:ext cx="1247776" cy="2916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(с 1 июля)</a:t>
          </a:r>
        </a:p>
      </cdr:txBody>
    </cdr:sp>
  </cdr:relSizeAnchor>
</c:userShapes>
</file>

<file path=word/drawings/drawing17.xml><?xml version="1.0" encoding="utf-8"?>
<c:userShapes xmlns:c="http://schemas.openxmlformats.org/drawingml/2006/chart">
  <cdr:relSizeAnchor xmlns:cdr="http://schemas.openxmlformats.org/drawingml/2006/chartDrawing">
    <cdr:from>
      <cdr:x>0.00645</cdr:x>
      <cdr:y>0.14286</cdr:y>
    </cdr:from>
    <cdr:to>
      <cdr:x>0.10058</cdr:x>
      <cdr:y>0.83833</cdr:y>
    </cdr:to>
    <cdr:sp macro="" textlink="">
      <cdr:nvSpPr>
        <cdr:cNvPr id="2" name="TextBox 1"/>
        <cdr:cNvSpPr txBox="1"/>
      </cdr:nvSpPr>
      <cdr:spPr>
        <a:xfrm xmlns:a="http://schemas.openxmlformats.org/drawingml/2006/main">
          <a:off x="31750" y="485776"/>
          <a:ext cx="463551" cy="2364906"/>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cdr:x>
      <cdr:y>0.01438</cdr:y>
    </cdr:from>
    <cdr:to>
      <cdr:x>1</cdr:x>
      <cdr:y>0.16218</cdr:y>
    </cdr:to>
    <cdr:sp macro="" textlink="">
      <cdr:nvSpPr>
        <cdr:cNvPr id="4" name="TextBox 1"/>
        <cdr:cNvSpPr txBox="1"/>
      </cdr:nvSpPr>
      <cdr:spPr>
        <a:xfrm xmlns:a="http://schemas.openxmlformats.org/drawingml/2006/main">
          <a:off x="50800" y="50800"/>
          <a:ext cx="5854620" cy="522311"/>
        </a:xfrm>
        <a:prstGeom xmlns:a="http://schemas.openxmlformats.org/drawingml/2006/main" prst="rect">
          <a:avLst/>
        </a:prstGeom>
      </cdr:spPr>
      <cdr:txBody>
        <a:bodyPr xmlns:a="http://schemas.openxmlformats.org/drawingml/2006/main"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latin typeface="Times New Roman" panose="02020603050405020304" pitchFamily="18" charset="0"/>
              <a:cs typeface="Times New Roman" panose="02020603050405020304" pitchFamily="18" charset="0"/>
            </a:rPr>
            <a:t>Динамика</a:t>
          </a:r>
          <a:r>
            <a:rPr lang="ru-RU" sz="1100" b="1" baseline="0">
              <a:latin typeface="Times New Roman" panose="02020603050405020304" pitchFamily="18" charset="0"/>
              <a:cs typeface="Times New Roman" panose="02020603050405020304" pitchFamily="18" charset="0"/>
            </a:rPr>
            <a:t> сбытовых надбавок по группе "сетевые организации" среди городов-миллионников за 2017 - 2025 гг. </a:t>
          </a:r>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0.06431</cdr:x>
      <cdr:y>0.89003</cdr:y>
    </cdr:from>
    <cdr:to>
      <cdr:x>0.87493</cdr:x>
      <cdr:y>0.9641</cdr:y>
    </cdr:to>
    <cdr:sp macro="" textlink="">
      <cdr:nvSpPr>
        <cdr:cNvPr id="5" name="TextBox 1"/>
        <cdr:cNvSpPr txBox="1"/>
      </cdr:nvSpPr>
      <cdr:spPr>
        <a:xfrm xmlns:a="http://schemas.openxmlformats.org/drawingml/2006/main">
          <a:off x="346075" y="3289300"/>
          <a:ext cx="4362449" cy="27374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(с 1 июля)</a:t>
          </a:r>
        </a:p>
      </cdr:txBody>
    </cdr:sp>
  </cdr:relSizeAnchor>
</c:userShapes>
</file>

<file path=word/drawings/drawing18.xml><?xml version="1.0" encoding="utf-8"?>
<c:userShapes xmlns:c="http://schemas.openxmlformats.org/drawingml/2006/chart">
  <cdr:relSizeAnchor xmlns:cdr="http://schemas.openxmlformats.org/drawingml/2006/chartDrawing">
    <cdr:from>
      <cdr:x>0.02646</cdr:x>
      <cdr:y>0.0093</cdr:y>
    </cdr:from>
    <cdr:to>
      <cdr:x>0.97542</cdr:x>
      <cdr:y>0.20948</cdr:y>
    </cdr:to>
    <cdr:sp macro="" textlink="">
      <cdr:nvSpPr>
        <cdr:cNvPr id="2" name="TextBox 1"/>
        <cdr:cNvSpPr txBox="1"/>
      </cdr:nvSpPr>
      <cdr:spPr>
        <a:xfrm xmlns:a="http://schemas.openxmlformats.org/drawingml/2006/main">
          <a:off x="127074" y="32829"/>
          <a:ext cx="4557385" cy="70664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a:latin typeface="Times New Roman" panose="02020603050405020304" pitchFamily="18" charset="0"/>
              <a:cs typeface="Times New Roman" panose="02020603050405020304" pitchFamily="18" charset="0"/>
            </a:rPr>
            <a:t>Сравнительная динамика сбытовых</a:t>
          </a:r>
          <a:r>
            <a:rPr lang="ru-RU" sz="1100" b="1" baseline="0">
              <a:latin typeface="Times New Roman" panose="02020603050405020304" pitchFamily="18" charset="0"/>
              <a:cs typeface="Times New Roman" panose="02020603050405020304" pitchFamily="18" charset="0"/>
            </a:rPr>
            <a:t> надбавок за 2018 - 2025 гг. по группе "прочие потребители  с мощностью энергопринимающих устройств менее 670" кВт среди городов-миллионников</a:t>
          </a:r>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0.01589</cdr:x>
      <cdr:y>0.23721</cdr:y>
    </cdr:from>
    <cdr:to>
      <cdr:x>0.09088</cdr:x>
      <cdr:y>0.79742</cdr:y>
    </cdr:to>
    <cdr:sp macro="" textlink="">
      <cdr:nvSpPr>
        <cdr:cNvPr id="4" name="TextBox 1"/>
        <cdr:cNvSpPr txBox="1"/>
      </cdr:nvSpPr>
      <cdr:spPr>
        <a:xfrm xmlns:a="http://schemas.openxmlformats.org/drawingml/2006/main">
          <a:off x="78117" y="971549"/>
          <a:ext cx="368569" cy="2294475"/>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0.03886</cdr:x>
      <cdr:y>0.90842</cdr:y>
    </cdr:from>
    <cdr:to>
      <cdr:x>0.8731</cdr:x>
      <cdr:y>0.97159</cdr:y>
    </cdr:to>
    <cdr:sp macro="" textlink="">
      <cdr:nvSpPr>
        <cdr:cNvPr id="5" name="TextBox 1"/>
        <cdr:cNvSpPr txBox="1"/>
      </cdr:nvSpPr>
      <cdr:spPr>
        <a:xfrm xmlns:a="http://schemas.openxmlformats.org/drawingml/2006/main">
          <a:off x="203200" y="3937000"/>
          <a:ext cx="4362449" cy="27374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(с 1 июля)</a:t>
          </a:r>
        </a:p>
      </cdr:txBody>
    </cdr:sp>
  </cdr:relSizeAnchor>
</c:userShapes>
</file>

<file path=word/drawings/drawing19.xml><?xml version="1.0" encoding="utf-8"?>
<c:userShapes xmlns:c="http://schemas.openxmlformats.org/drawingml/2006/chart">
  <cdr:relSizeAnchor xmlns:cdr="http://schemas.openxmlformats.org/drawingml/2006/chartDrawing">
    <cdr:from>
      <cdr:x>0</cdr:x>
      <cdr:y>0.01792</cdr:y>
    </cdr:from>
    <cdr:to>
      <cdr:x>1</cdr:x>
      <cdr:y>0.17854</cdr:y>
    </cdr:to>
    <cdr:sp macro="" textlink="">
      <cdr:nvSpPr>
        <cdr:cNvPr id="2" name="TextBox 1"/>
        <cdr:cNvSpPr txBox="1"/>
      </cdr:nvSpPr>
      <cdr:spPr>
        <a:xfrm xmlns:a="http://schemas.openxmlformats.org/drawingml/2006/main">
          <a:off x="0" y="80203"/>
          <a:ext cx="4781550" cy="71905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Ср</a:t>
          </a:r>
          <a:r>
            <a:rPr lang="ru-RU" sz="1100" b="1">
              <a:latin typeface="Times New Roman" panose="02020603050405020304" pitchFamily="18" charset="0"/>
              <a:cs typeface="Times New Roman" panose="02020603050405020304" pitchFamily="18" charset="0"/>
            </a:rPr>
            <a:t>авнительная динамика сбытовых</a:t>
          </a:r>
          <a:r>
            <a:rPr lang="ru-RU" sz="1100" b="1" baseline="0">
              <a:latin typeface="Times New Roman" panose="02020603050405020304" pitchFamily="18" charset="0"/>
              <a:cs typeface="Times New Roman" panose="02020603050405020304" pitchFamily="18" charset="0"/>
            </a:rPr>
            <a:t> надбавок за 2018 - 2025 гг. по группе "прочие потребители  с мощностью энергопринимающих устройств от 670 кВт до 10 МВт"  среди городов-миллионников</a:t>
          </a:r>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0.02098</cdr:x>
      <cdr:y>0.26856</cdr:y>
    </cdr:from>
    <cdr:to>
      <cdr:x>0.10294</cdr:x>
      <cdr:y>0.88763</cdr:y>
    </cdr:to>
    <cdr:sp macro="" textlink="">
      <cdr:nvSpPr>
        <cdr:cNvPr id="3" name="TextBox 1"/>
        <cdr:cNvSpPr txBox="1"/>
      </cdr:nvSpPr>
      <cdr:spPr>
        <a:xfrm xmlns:a="http://schemas.openxmlformats.org/drawingml/2006/main">
          <a:off x="100318" y="1171576"/>
          <a:ext cx="391896" cy="2700651"/>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0.04847</cdr:x>
      <cdr:y>0.92431</cdr:y>
    </cdr:from>
    <cdr:to>
      <cdr:x>0.96082</cdr:x>
      <cdr:y>0.98706</cdr:y>
    </cdr:to>
    <cdr:sp macro="" textlink="">
      <cdr:nvSpPr>
        <cdr:cNvPr id="5" name="TextBox 1"/>
        <cdr:cNvSpPr txBox="1"/>
      </cdr:nvSpPr>
      <cdr:spPr>
        <a:xfrm xmlns:a="http://schemas.openxmlformats.org/drawingml/2006/main">
          <a:off x="231775" y="4032250"/>
          <a:ext cx="4362449" cy="27374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(с 1 июля)</a:t>
          </a:r>
        </a:p>
      </cdr:txBody>
    </cdr:sp>
  </cdr:relSizeAnchor>
</c:userShapes>
</file>

<file path=word/drawings/drawing20.xml><?xml version="1.0" encoding="utf-8"?>
<c:userShapes xmlns:c="http://schemas.openxmlformats.org/drawingml/2006/chart">
  <cdr:relSizeAnchor xmlns:cdr="http://schemas.openxmlformats.org/drawingml/2006/chartDrawing">
    <cdr:from>
      <cdr:x>0</cdr:x>
      <cdr:y>0.0133</cdr:y>
    </cdr:from>
    <cdr:to>
      <cdr:x>1</cdr:x>
      <cdr:y>0.13464</cdr:y>
    </cdr:to>
    <cdr:sp macro="" textlink="">
      <cdr:nvSpPr>
        <cdr:cNvPr id="2" name="TextBox 1"/>
        <cdr:cNvSpPr txBox="1"/>
      </cdr:nvSpPr>
      <cdr:spPr>
        <a:xfrm xmlns:a="http://schemas.openxmlformats.org/drawingml/2006/main">
          <a:off x="0" y="48396"/>
          <a:ext cx="5467351" cy="44150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000" b="1">
              <a:latin typeface="Times New Roman" panose="02020603050405020304" pitchFamily="18" charset="0"/>
              <a:cs typeface="Times New Roman" panose="02020603050405020304" pitchFamily="18" charset="0"/>
            </a:rPr>
            <a:t>Сравнительная</a:t>
          </a:r>
          <a:r>
            <a:rPr lang="ru-RU" sz="1000" b="1" baseline="0">
              <a:latin typeface="Times New Roman" panose="02020603050405020304" pitchFamily="18" charset="0"/>
              <a:cs typeface="Times New Roman" panose="02020603050405020304" pitchFamily="18" charset="0"/>
            </a:rPr>
            <a:t> д</a:t>
          </a:r>
          <a:r>
            <a:rPr lang="ru-RU" sz="1000" b="1">
              <a:latin typeface="Times New Roman" panose="02020603050405020304" pitchFamily="18" charset="0"/>
              <a:cs typeface="Times New Roman" panose="02020603050405020304" pitchFamily="18" charset="0"/>
            </a:rPr>
            <a:t>инамика сбытовых</a:t>
          </a:r>
          <a:r>
            <a:rPr lang="ru-RU" sz="1000" b="1" baseline="0">
              <a:latin typeface="Times New Roman" panose="02020603050405020304" pitchFamily="18" charset="0"/>
              <a:cs typeface="Times New Roman" panose="02020603050405020304" pitchFamily="18" charset="0"/>
            </a:rPr>
            <a:t> надбавок за 2018 - 2025 гг. по группе </a:t>
          </a:r>
          <a:r>
            <a:rPr lang="ru-RU" sz="1000" b="0" baseline="0">
              <a:latin typeface="Times New Roman" panose="02020603050405020304" pitchFamily="18" charset="0"/>
              <a:cs typeface="Times New Roman" panose="02020603050405020304" pitchFamily="18" charset="0"/>
            </a:rPr>
            <a:t>"</a:t>
          </a:r>
          <a:r>
            <a:rPr lang="ru-RU" sz="1000" b="1" baseline="0">
              <a:latin typeface="Times New Roman" panose="02020603050405020304" pitchFamily="18" charset="0"/>
              <a:cs typeface="Times New Roman" panose="02020603050405020304" pitchFamily="18" charset="0"/>
            </a:rPr>
            <a:t>прочие потребители  с мощностью энергопринимающих устройств не менее 10 МВт" среди городов-миллионников</a:t>
          </a:r>
          <a:endParaRPr lang="ru-RU" sz="10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0.01855</cdr:x>
      <cdr:y>0.21402</cdr:y>
    </cdr:from>
    <cdr:to>
      <cdr:x>0.09241</cdr:x>
      <cdr:y>0.88448</cdr:y>
    </cdr:to>
    <cdr:sp macro="" textlink="">
      <cdr:nvSpPr>
        <cdr:cNvPr id="4" name="TextBox 1"/>
        <cdr:cNvSpPr txBox="1"/>
      </cdr:nvSpPr>
      <cdr:spPr>
        <a:xfrm xmlns:a="http://schemas.openxmlformats.org/drawingml/2006/main">
          <a:off x="98440" y="717551"/>
          <a:ext cx="391859" cy="2247918"/>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0.11589</cdr:x>
      <cdr:y>0.92904</cdr:y>
    </cdr:from>
    <cdr:to>
      <cdr:x>0.90419</cdr:x>
      <cdr:y>1</cdr:y>
    </cdr:to>
    <cdr:sp macro="" textlink="">
      <cdr:nvSpPr>
        <cdr:cNvPr id="5" name="TextBox 1"/>
        <cdr:cNvSpPr txBox="1"/>
      </cdr:nvSpPr>
      <cdr:spPr>
        <a:xfrm xmlns:a="http://schemas.openxmlformats.org/drawingml/2006/main">
          <a:off x="641350" y="3583881"/>
          <a:ext cx="4362449" cy="27374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(с 1 июля)</a:t>
          </a:r>
        </a:p>
      </cdr:txBody>
    </cdr:sp>
  </cdr:relSizeAnchor>
</c:userShapes>
</file>

<file path=word/drawings/drawing21.xml><?xml version="1.0" encoding="utf-8"?>
<c:userShapes xmlns:c="http://schemas.openxmlformats.org/drawingml/2006/chart">
  <cdr:relSizeAnchor xmlns:cdr="http://schemas.openxmlformats.org/drawingml/2006/chartDrawing">
    <cdr:from>
      <cdr:x>0.03318</cdr:x>
      <cdr:y>0.02874</cdr:y>
    </cdr:from>
    <cdr:to>
      <cdr:x>1</cdr:x>
      <cdr:y>0.20198</cdr:y>
    </cdr:to>
    <cdr:sp macro="" textlink="">
      <cdr:nvSpPr>
        <cdr:cNvPr id="2" name="TextBox 1"/>
        <cdr:cNvSpPr txBox="1"/>
      </cdr:nvSpPr>
      <cdr:spPr>
        <a:xfrm xmlns:a="http://schemas.openxmlformats.org/drawingml/2006/main">
          <a:off x="159916" y="82676"/>
          <a:ext cx="4659734" cy="49833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200" b="1">
              <a:latin typeface="Times New Roman" panose="02020603050405020304" pitchFamily="18" charset="0"/>
              <a:cs typeface="Times New Roman" panose="02020603050405020304" pitchFamily="18" charset="0"/>
            </a:rPr>
            <a:t>Структура конечной цены для категории "прочие потребители,</a:t>
          </a:r>
          <a:r>
            <a:rPr lang="ru-RU" sz="1200" b="1" baseline="0">
              <a:latin typeface="Times New Roman" panose="02020603050405020304" pitchFamily="18" charset="0"/>
              <a:cs typeface="Times New Roman" panose="02020603050405020304" pitchFamily="18" charset="0"/>
            </a:rPr>
            <a:t> рассчитывающиеся по</a:t>
          </a:r>
          <a:r>
            <a:rPr lang="ru-RU" sz="1200" b="1">
              <a:latin typeface="Times New Roman" panose="02020603050405020304" pitchFamily="18" charset="0"/>
              <a:cs typeface="Times New Roman" panose="02020603050405020304" pitchFamily="18" charset="0"/>
            </a:rPr>
            <a:t> </a:t>
          </a:r>
          <a:r>
            <a:rPr lang="en-US" sz="1200" b="1">
              <a:latin typeface="Times New Roman" panose="02020603050405020304" pitchFamily="18" charset="0"/>
              <a:cs typeface="Times New Roman" panose="02020603050405020304" pitchFamily="18" charset="0"/>
            </a:rPr>
            <a:t>I </a:t>
          </a:r>
          <a:r>
            <a:rPr lang="ru-RU" sz="1200" b="1">
              <a:latin typeface="Times New Roman" panose="02020603050405020304" pitchFamily="18" charset="0"/>
              <a:cs typeface="Times New Roman" panose="02020603050405020304" pitchFamily="18" charset="0"/>
            </a:rPr>
            <a:t>ценовой категории"</a:t>
          </a:r>
        </a:p>
      </cdr:txBody>
    </cdr:sp>
  </cdr:relSizeAnchor>
</c:userShapes>
</file>

<file path=word/drawings/drawing22.xml><?xml version="1.0" encoding="utf-8"?>
<c:userShapes xmlns:c="http://schemas.openxmlformats.org/drawingml/2006/chart">
  <cdr:relSizeAnchor xmlns:cdr="http://schemas.openxmlformats.org/drawingml/2006/chartDrawing">
    <cdr:from>
      <cdr:x>0.1656</cdr:x>
      <cdr:y>0.02369</cdr:y>
    </cdr:from>
    <cdr:to>
      <cdr:x>0.8934</cdr:x>
      <cdr:y>0.16843</cdr:y>
    </cdr:to>
    <cdr:sp macro="" textlink="">
      <cdr:nvSpPr>
        <cdr:cNvPr id="2" name="TextBox 1"/>
        <cdr:cNvSpPr txBox="1"/>
      </cdr:nvSpPr>
      <cdr:spPr>
        <a:xfrm xmlns:a="http://schemas.openxmlformats.org/drawingml/2006/main">
          <a:off x="990176" y="71562"/>
          <a:ext cx="4351606" cy="43732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200" b="1">
              <a:latin typeface="Times New Roman" panose="02020603050405020304" pitchFamily="18" charset="0"/>
              <a:cs typeface="Times New Roman" panose="02020603050405020304" pitchFamily="18" charset="0"/>
            </a:rPr>
            <a:t>График изменения стандартизированной ставки С1</a:t>
          </a:r>
        </a:p>
      </cdr:txBody>
    </cdr:sp>
  </cdr:relSizeAnchor>
  <cdr:relSizeAnchor xmlns:cdr="http://schemas.openxmlformats.org/drawingml/2006/chartDrawing">
    <cdr:from>
      <cdr:x>0.43981</cdr:x>
      <cdr:y>0.88931</cdr:y>
    </cdr:from>
    <cdr:to>
      <cdr:x>0.52722</cdr:x>
      <cdr:y>0.97357</cdr:y>
    </cdr:to>
    <cdr:sp macro="" textlink="">
      <cdr:nvSpPr>
        <cdr:cNvPr id="3" name="TextBox 1"/>
        <cdr:cNvSpPr txBox="1"/>
      </cdr:nvSpPr>
      <cdr:spPr>
        <a:xfrm xmlns:a="http://schemas.openxmlformats.org/drawingml/2006/main">
          <a:off x="2629679" y="2686910"/>
          <a:ext cx="522649" cy="25457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pPr algn="ctr"/>
          <a:r>
            <a:rPr lang="ru-RU" b="1">
              <a:latin typeface="Times New Roman" panose="02020603050405020304" pitchFamily="18" charset="0"/>
              <a:cs typeface="Times New Roman" panose="02020603050405020304" pitchFamily="18" charset="0"/>
            </a:rPr>
            <a:t>год</a:t>
          </a:r>
        </a:p>
      </cdr:txBody>
    </cdr:sp>
  </cdr:relSizeAnchor>
  <cdr:relSizeAnchor xmlns:cdr="http://schemas.openxmlformats.org/drawingml/2006/chartDrawing">
    <cdr:from>
      <cdr:x>0.05396</cdr:x>
      <cdr:y>0.35297</cdr:y>
    </cdr:from>
    <cdr:to>
      <cdr:x>0.10714</cdr:x>
      <cdr:y>0.60756</cdr:y>
    </cdr:to>
    <cdr:sp macro="" textlink="">
      <cdr:nvSpPr>
        <cdr:cNvPr id="4" name="TextBox 1"/>
        <cdr:cNvSpPr txBox="1"/>
      </cdr:nvSpPr>
      <cdr:spPr>
        <a:xfrm xmlns:a="http://schemas.openxmlformats.org/drawingml/2006/main" rot="16200000">
          <a:off x="97048" y="1292056"/>
          <a:ext cx="769200" cy="31796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pPr algn="ctr"/>
          <a:r>
            <a:rPr lang="ru-RU" b="1">
              <a:latin typeface="Times New Roman" panose="02020603050405020304" pitchFamily="18" charset="0"/>
              <a:cs typeface="Times New Roman" panose="02020603050405020304" pitchFamily="18" charset="0"/>
            </a:rPr>
            <a:t>рублей/ТП</a:t>
          </a:r>
        </a:p>
      </cdr:txBody>
    </cdr:sp>
  </cdr:relSizeAnchor>
</c:userShapes>
</file>

<file path=word/drawings/drawing23.xml><?xml version="1.0" encoding="utf-8"?>
<c:userShapes xmlns:c="http://schemas.openxmlformats.org/drawingml/2006/chart">
  <cdr:relSizeAnchor xmlns:cdr="http://schemas.openxmlformats.org/drawingml/2006/chartDrawing">
    <cdr:from>
      <cdr:x>0.01498</cdr:x>
      <cdr:y>0.04682</cdr:y>
    </cdr:from>
    <cdr:to>
      <cdr:x>0.94742</cdr:x>
      <cdr:y>0.19895</cdr:y>
    </cdr:to>
    <cdr:sp macro="" textlink="">
      <cdr:nvSpPr>
        <cdr:cNvPr id="2" name="TextBox 1"/>
        <cdr:cNvSpPr txBox="1"/>
      </cdr:nvSpPr>
      <cdr:spPr>
        <a:xfrm xmlns:a="http://schemas.openxmlformats.org/drawingml/2006/main">
          <a:off x="87722" y="178918"/>
          <a:ext cx="5460322" cy="58136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200" b="1">
              <a:latin typeface="Times New Roman" panose="02020603050405020304" pitchFamily="18" charset="0"/>
              <a:cs typeface="Times New Roman" panose="02020603050405020304" pitchFamily="18" charset="0"/>
            </a:rPr>
            <a:t>Структура  НВВ</a:t>
          </a:r>
          <a:r>
            <a:rPr lang="ru-RU" sz="1200" b="1" baseline="0">
              <a:latin typeface="Times New Roman" panose="02020603050405020304" pitchFamily="18" charset="0"/>
              <a:cs typeface="Times New Roman" panose="02020603050405020304" pitchFamily="18" charset="0"/>
            </a:rPr>
            <a:t> </a:t>
          </a:r>
        </a:p>
        <a:p xmlns:a="http://schemas.openxmlformats.org/drawingml/2006/main">
          <a:pPr algn="ctr"/>
          <a:r>
            <a:rPr lang="ru-RU" sz="1200" b="1" baseline="0">
              <a:latin typeface="Times New Roman" panose="02020603050405020304" pitchFamily="18" charset="0"/>
              <a:cs typeface="Times New Roman" panose="02020603050405020304" pitchFamily="18" charset="0"/>
            </a:rPr>
            <a:t>акционерного  общества "Экспресс-пригород" на 2025 год</a:t>
          </a:r>
          <a:endParaRPr lang="ru-RU" sz="12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0.17965</cdr:x>
      <cdr:y>0.04373</cdr:y>
    </cdr:from>
    <cdr:to>
      <cdr:x>0.9397</cdr:x>
      <cdr:y>0.1673</cdr:y>
    </cdr:to>
    <cdr:sp macro="" textlink="">
      <cdr:nvSpPr>
        <cdr:cNvPr id="3" name="TextBox 2"/>
        <cdr:cNvSpPr txBox="1"/>
      </cdr:nvSpPr>
      <cdr:spPr>
        <a:xfrm xmlns:a="http://schemas.openxmlformats.org/drawingml/2006/main">
          <a:off x="1816100" y="292100"/>
          <a:ext cx="7683500" cy="8255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4FAB8-3118-4071-9BAD-5828CD4B0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1166</TotalTime>
  <Pages>177</Pages>
  <Words>50394</Words>
  <Characters>287249</Characters>
  <Application>Microsoft Office Word</Application>
  <DocSecurity>0</DocSecurity>
  <Lines>2393</Lines>
  <Paragraphs>673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Марунченко</dc:creator>
  <cp:keywords/>
  <dc:description/>
  <cp:lastModifiedBy>Сухорукова</cp:lastModifiedBy>
  <cp:revision>29</cp:revision>
  <dcterms:created xsi:type="dcterms:W3CDTF">2025-03-18T02:48:00Z</dcterms:created>
  <dcterms:modified xsi:type="dcterms:W3CDTF">2025-03-28T02:27:00Z</dcterms:modified>
</cp:coreProperties>
</file>