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49" w:rsidRDefault="000A062A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62A">
        <w:rPr>
          <w:rFonts w:ascii="Times New Roman" w:hAnsi="Times New Roman" w:cs="Times New Roman"/>
          <w:sz w:val="28"/>
          <w:szCs w:val="28"/>
        </w:rPr>
        <w:t>УТВЕРЖДАЮ</w:t>
      </w:r>
    </w:p>
    <w:p w:rsidR="00FA58F0" w:rsidRDefault="00FA58F0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0A062A" w:rsidRDefault="00FA58F0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тарифам </w:t>
      </w:r>
      <w:r w:rsidR="000A06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A062A" w:rsidRDefault="000A062A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62A" w:rsidRDefault="00D05A78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FA58F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58F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58F0">
        <w:rPr>
          <w:rFonts w:ascii="Times New Roman" w:hAnsi="Times New Roman" w:cs="Times New Roman"/>
          <w:sz w:val="28"/>
          <w:szCs w:val="28"/>
        </w:rPr>
        <w:t>Асмодьяро</w:t>
      </w:r>
      <w:r w:rsidR="000A062A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0A062A" w:rsidRDefault="000A062A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_____________2020 г.</w:t>
      </w:r>
    </w:p>
    <w:p w:rsidR="000A062A" w:rsidRPr="000A062A" w:rsidRDefault="000A062A" w:rsidP="000A06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62A" w:rsidRDefault="000A062A" w:rsidP="000A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A062A" w:rsidRPr="000A062A" w:rsidRDefault="000A062A" w:rsidP="000A06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062A">
        <w:rPr>
          <w:rFonts w:ascii="Times New Roman" w:hAnsi="Times New Roman" w:cs="Times New Roman"/>
          <w:sz w:val="28"/>
          <w:szCs w:val="28"/>
        </w:rPr>
        <w:t xml:space="preserve">Карта коррупционных рисков, возникающих при осуществлении закупок </w:t>
      </w:r>
    </w:p>
    <w:p w:rsidR="000A062A" w:rsidRPr="000A062A" w:rsidRDefault="00326424" w:rsidP="00FA58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="00FA58F0" w:rsidRPr="00FA58F0">
        <w:rPr>
          <w:rFonts w:ascii="Times New Roman" w:hAnsi="Times New Roman" w:cs="Times New Roman"/>
          <w:sz w:val="28"/>
          <w:szCs w:val="28"/>
        </w:rPr>
        <w:t xml:space="preserve"> </w:t>
      </w:r>
      <w:r w:rsidR="00FA58F0">
        <w:rPr>
          <w:rFonts w:ascii="Times New Roman" w:hAnsi="Times New Roman" w:cs="Times New Roman"/>
          <w:sz w:val="28"/>
          <w:szCs w:val="28"/>
        </w:rPr>
        <w:t xml:space="preserve">по тарифам </w:t>
      </w:r>
      <w:r w:rsidR="000A062A" w:rsidRPr="000A06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05A78">
        <w:rPr>
          <w:rStyle w:val="aa"/>
          <w:rFonts w:ascii="Times New Roman" w:hAnsi="Times New Roman" w:cs="Times New Roman"/>
          <w:sz w:val="28"/>
          <w:szCs w:val="28"/>
        </w:rPr>
        <w:endnoteReference w:id="1"/>
      </w:r>
    </w:p>
    <w:p w:rsidR="000A062A" w:rsidRPr="000A062A" w:rsidRDefault="000A062A" w:rsidP="000A0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984"/>
        <w:gridCol w:w="1843"/>
        <w:gridCol w:w="2551"/>
        <w:gridCol w:w="5103"/>
        <w:gridCol w:w="3119"/>
      </w:tblGrid>
      <w:tr w:rsidR="000A062A" w:rsidRPr="000A062A" w:rsidTr="00852FFC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№  </w:t>
            </w:r>
            <w:proofErr w:type="gramStart"/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0A062A" w:rsidRPr="000A062A" w:rsidTr="00852FFC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2A" w:rsidRPr="00BE3EBC" w:rsidRDefault="000A062A" w:rsidP="000A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2A" w:rsidRPr="00BE3EBC" w:rsidRDefault="000A062A" w:rsidP="000A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2A" w:rsidRPr="00BE3EBC" w:rsidRDefault="000A062A" w:rsidP="000A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62A" w:rsidRPr="00BE3EBC" w:rsidRDefault="000A062A" w:rsidP="000A06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0A062A" w:rsidRDefault="000A062A" w:rsidP="000A06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2A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0A062A" w:rsidRPr="000A062A" w:rsidTr="00852FF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62A" w:rsidRPr="00BE3EBC" w:rsidRDefault="000A062A" w:rsidP="000A06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56" w:rsidRDefault="00312856" w:rsidP="003128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Неправомерные</w:t>
            </w:r>
          </w:p>
          <w:p w:rsidR="000A062A" w:rsidRPr="00BE3EBC" w:rsidRDefault="00312856" w:rsidP="00FA5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</w:t>
            </w:r>
            <w:r w:rsidR="00FA5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52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>сопряжены с о</w:t>
            </w:r>
            <w:r w:rsidR="00055475"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55475"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товаров, работ, услуг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, вопреки интересам </w:t>
            </w:r>
            <w:r w:rsidR="00FA58F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и государственной службы, в </w:t>
            </w:r>
            <w:r w:rsidR="00C02D3F" w:rsidRPr="00BE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интересах поставщиков (подрядчиков, исполнителей).</w:t>
            </w:r>
            <w:r w:rsidR="00055475"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2A" w:rsidRPr="00BE3EBC" w:rsidRDefault="00C02D3F" w:rsidP="00FA5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поставщика (подрядчика, исполнителя) поступает противоправное предложение должностному лицу </w:t>
            </w:r>
            <w:r w:rsidR="00FA58F0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, чьи обязанности связаны с осуществлением закупок, за вознаграждение принять ненадлежащее исполнение</w:t>
            </w:r>
            <w:r w:rsidR="00A255D9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255D9" w:rsidRPr="00BE3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контракту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, составив недостоверный акт приемки</w:t>
            </w:r>
            <w:r w:rsidR="00A255D9"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(как о надлежащем исполнении).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3F" w:rsidRPr="00BE3EBC" w:rsidRDefault="00FA58F0" w:rsidP="00FA5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</w:t>
            </w:r>
            <w:r w:rsidR="00D05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ачальник отдела </w:t>
            </w:r>
            <w:r w:rsidR="00C02D3F"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финансового и </w:t>
            </w:r>
            <w:r w:rsidRPr="00FA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кадрового </w:t>
            </w:r>
            <w:r w:rsidR="00C02D3F"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>обесп</w:t>
            </w:r>
            <w:r w:rsidR="00D05A78">
              <w:rPr>
                <w:rFonts w:ascii="Times New Roman" w:eastAsia="Calibri" w:hAnsi="Times New Roman" w:cs="Times New Roman"/>
                <w:sz w:val="24"/>
                <w:szCs w:val="24"/>
              </w:rPr>
              <w:t>ечения </w:t>
            </w:r>
            <w:r w:rsidR="00D05A78"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C02D3F"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главный бухгалтер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</w:t>
            </w:r>
            <w:r w:rsidR="00C02D3F"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62A" w:rsidRPr="00BE3EBC" w:rsidRDefault="00A255D9" w:rsidP="00852F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1) В соответствии с частью 6 статьи 94 Федерального закона от 05.04.2013 № 44-ФЗ </w:t>
            </w:r>
            <w:r w:rsidR="00852F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52FFC" w:rsidRPr="0085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контрактной системе в сфере закупок товаров, работ, услуг для обеспечения государственных и муниципальных нужд» </w:t>
            </w:r>
            <w:r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приемку товаров, работ и услуг </w:t>
            </w:r>
            <w:r w:rsidR="00FA58F0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</w:t>
            </w:r>
            <w:r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производит </w:t>
            </w:r>
            <w:proofErr w:type="spellStart"/>
            <w:r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>комиссионно</w:t>
            </w:r>
            <w:proofErr w:type="spellEnd"/>
            <w:r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состав приемочной комиссии включается 5 членов комиссии. В состав комиссии всегда входят помимо сотрудников отдела финансового и </w:t>
            </w:r>
            <w:r w:rsidR="00FA58F0" w:rsidRPr="00FA58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кадрового </w:t>
            </w:r>
            <w:r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</w:t>
            </w:r>
            <w:r w:rsidR="00FA58F0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департамента и сотрудники других отделов</w:t>
            </w:r>
            <w:r w:rsidRPr="00BE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Данная мера снижает коррупционный риск неправомерных действий должностн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интересах поставщиков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(подрядчиков, исполнителей).</w:t>
            </w:r>
          </w:p>
          <w:p w:rsidR="00A255D9" w:rsidRPr="00BE3EBC" w:rsidRDefault="00D05A78" w:rsidP="00852FFC">
            <w:pPr>
              <w:pStyle w:val="a3"/>
              <w:spacing w:before="0" w:after="0"/>
              <w:rPr>
                <w:bCs/>
                <w:iCs/>
              </w:rPr>
            </w:pPr>
            <w:proofErr w:type="gramStart"/>
            <w:r>
              <w:t>2</w:t>
            </w:r>
            <w:r w:rsidR="00A255D9" w:rsidRPr="00BE3EBC">
              <w:t>) </w:t>
            </w:r>
            <w:r w:rsidR="005609A3">
              <w:rPr>
                <w:bCs/>
                <w:iCs/>
              </w:rPr>
              <w:t>Осуществление закупок с учетом В</w:t>
            </w:r>
            <w:r w:rsidR="00A255D9" w:rsidRPr="00BE3EBC">
              <w:rPr>
                <w:bCs/>
                <w:iCs/>
              </w:rPr>
              <w:t>едомственн</w:t>
            </w:r>
            <w:r w:rsidR="005609A3">
              <w:rPr>
                <w:bCs/>
                <w:iCs/>
              </w:rPr>
              <w:t>ого</w:t>
            </w:r>
            <w:r w:rsidR="00A255D9" w:rsidRPr="00BE3EBC">
              <w:rPr>
                <w:bCs/>
                <w:iCs/>
              </w:rPr>
              <w:t xml:space="preserve"> переч</w:t>
            </w:r>
            <w:r w:rsidR="005609A3">
              <w:rPr>
                <w:bCs/>
                <w:iCs/>
              </w:rPr>
              <w:t>ня</w:t>
            </w:r>
            <w:r w:rsidR="00A255D9" w:rsidRPr="00BE3EBC">
              <w:rPr>
                <w:bCs/>
                <w:iCs/>
              </w:rPr>
              <w:t xml:space="preserve"> отдельных видов </w:t>
            </w:r>
            <w:r w:rsidR="00A255D9" w:rsidRPr="00BE3EBC">
              <w:rPr>
                <w:bCs/>
                <w:iCs/>
              </w:rPr>
              <w:lastRenderedPageBreak/>
              <w:t xml:space="preserve">товаров, работ, услуг, закупаемых </w:t>
            </w:r>
            <w:r w:rsidR="00FA58F0">
              <w:rPr>
                <w:bCs/>
                <w:iCs/>
              </w:rPr>
              <w:t xml:space="preserve">департаментом по тарифам </w:t>
            </w:r>
            <w:r w:rsidR="00A255D9" w:rsidRPr="00BE3EBC">
              <w:rPr>
                <w:bCs/>
                <w:iCs/>
              </w:rPr>
              <w:t>Новосибирской области,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</w:t>
            </w:r>
            <w:r w:rsidR="005609A3">
              <w:rPr>
                <w:bCs/>
                <w:iCs/>
              </w:rPr>
              <w:t>нь), утвержденного</w:t>
            </w:r>
            <w:r>
              <w:rPr>
                <w:bCs/>
                <w:iCs/>
              </w:rPr>
              <w:t xml:space="preserve"> в соответствии </w:t>
            </w:r>
            <w:r w:rsidR="005609A3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с </w:t>
            </w:r>
            <w:r w:rsidR="00A255D9" w:rsidRPr="00BE3EBC">
              <w:rPr>
                <w:lang w:eastAsia="ru-RU"/>
              </w:rPr>
              <w:t xml:space="preserve">Правилами определения требований </w:t>
            </w:r>
            <w:r w:rsidR="005609A3">
              <w:rPr>
                <w:lang w:eastAsia="ru-RU"/>
              </w:rPr>
              <w:br/>
            </w:r>
            <w:r w:rsidR="00A255D9" w:rsidRPr="00BE3EBC">
              <w:rPr>
                <w:lang w:eastAsia="ru-RU"/>
              </w:rPr>
              <w:t>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</w:t>
            </w:r>
            <w:proofErr w:type="gramEnd"/>
            <w:r w:rsidR="00A255D9" w:rsidRPr="00BE3EBC">
              <w:rPr>
                <w:lang w:eastAsia="ru-RU"/>
              </w:rPr>
              <w:t xml:space="preserve"> </w:t>
            </w:r>
            <w:proofErr w:type="gramStart"/>
            <w:r w:rsidR="00A255D9" w:rsidRPr="00BE3EBC">
              <w:rPr>
                <w:lang w:eastAsia="ru-RU"/>
              </w:rPr>
              <w:t>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услуг), утвержденными</w:t>
            </w:r>
            <w:r w:rsidR="00A255D9" w:rsidRPr="00BE3EBC">
              <w:rPr>
                <w:bCs/>
                <w:iCs/>
              </w:rPr>
              <w:t xml:space="preserve"> постановлением Правительства Новосибирской области от 30.12.2015 №488-п.</w:t>
            </w:r>
            <w:proofErr w:type="gramEnd"/>
          </w:p>
          <w:p w:rsidR="00FA58F0" w:rsidRDefault="00D82DF6" w:rsidP="00852FFC">
            <w:pPr>
              <w:pStyle w:val="a3"/>
              <w:spacing w:before="0" w:after="120"/>
              <w:rPr>
                <w:bCs/>
                <w:iCs/>
              </w:rPr>
            </w:pPr>
            <w:r>
              <w:rPr>
                <w:bCs/>
                <w:iCs/>
              </w:rPr>
              <w:t>В</w:t>
            </w:r>
            <w:r w:rsidR="00A255D9" w:rsidRPr="00BE3EBC">
              <w:rPr>
                <w:bCs/>
                <w:iCs/>
              </w:rPr>
              <w:t xml:space="preserve"> соответствии с пунктами 12 – 14 Требований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выполнения, утвержденных Постановлением Правительства Новосибирской области от 30.12.2015 </w:t>
            </w:r>
            <w:r>
              <w:rPr>
                <w:bCs/>
                <w:iCs/>
              </w:rPr>
              <w:t>№ 487-п</w:t>
            </w:r>
            <w:r w:rsidR="00FA58F0">
              <w:rPr>
                <w:bCs/>
                <w:iCs/>
              </w:rPr>
              <w:t xml:space="preserve">. </w:t>
            </w:r>
          </w:p>
          <w:p w:rsidR="00BE3EBC" w:rsidRPr="00BE3EBC" w:rsidRDefault="00D05A78" w:rsidP="0085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BE3EBC" w:rsidRPr="00BE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 </w:t>
            </w:r>
            <w:r w:rsidR="00BE3EBC"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FF25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должностному</w:t>
            </w:r>
            <w:r w:rsidR="00FF252E" w:rsidRPr="00FF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</w:t>
            </w:r>
            <w:r w:rsidR="00FF252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F252E" w:rsidRPr="00FF2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департамента, должностные обязанности </w:t>
            </w:r>
            <w:r w:rsidR="00FF252E" w:rsidRPr="00FF25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которого сопряжены с осуществление</w:t>
            </w:r>
            <w:r w:rsidR="00FF252E">
              <w:rPr>
                <w:rFonts w:ascii="Times New Roman" w:eastAsia="Times New Roman" w:hAnsi="Times New Roman" w:cs="Times New Roman"/>
                <w:sz w:val="24"/>
                <w:szCs w:val="24"/>
              </w:rPr>
              <w:t>м закупок товаров, работ, услуг</w:t>
            </w:r>
            <w:r w:rsidR="00BE3EBC"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E3EBC" w:rsidRPr="00BE3EBC" w:rsidRDefault="00BE3EBC" w:rsidP="00852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55295" w:rsidRPr="00BE3EBC" w:rsidRDefault="00BE3EBC" w:rsidP="00955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3EBC">
              <w:rPr>
                <w:rFonts w:ascii="Times New Roman" w:eastAsia="Times New Roman" w:hAnsi="Times New Roman" w:cs="Times New Roman"/>
                <w:sz w:val="24"/>
                <w:szCs w:val="24"/>
              </w:rPr>
              <w:t>- мер ответственности за совершение коррупционных правонарушений</w:t>
            </w:r>
            <w:r w:rsidRPr="00BE3EBC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доведение до них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разработанных Министерством труда и социального развития Российской Федерации).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52E" w:rsidRPr="00FF252E" w:rsidRDefault="00D05A78" w:rsidP="00FF2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повышения квалификации </w:t>
            </w:r>
            <w:r w:rsidR="00FF252E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 департамента, на которого возложена обязанность</w:t>
            </w:r>
            <w:r w:rsidR="00FF252E" w:rsidRPr="00FF2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FFC" w:rsidRDefault="00FF252E" w:rsidP="00FF25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F252E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пционных и иных правонарушений, </w:t>
            </w:r>
            <w:proofErr w:type="gramStart"/>
            <w:r w:rsidR="00D05A7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05A7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</w:t>
            </w:r>
            <w:r w:rsidR="00BE3EBC" w:rsidRPr="00BE3EBC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0A062A" w:rsidRPr="000A062A" w:rsidRDefault="00D05A78" w:rsidP="00D05A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по вопросам, связанным с осуществлением </w:t>
            </w:r>
            <w:r w:rsidR="00BE3EBC" w:rsidRPr="00BE3EBC">
              <w:rPr>
                <w:rFonts w:ascii="Times New Roman" w:hAnsi="Times New Roman" w:cs="Times New Roman"/>
                <w:sz w:val="24"/>
                <w:szCs w:val="24"/>
              </w:rPr>
              <w:t>закупок.</w:t>
            </w:r>
            <w:bookmarkEnd w:id="0"/>
          </w:p>
        </w:tc>
      </w:tr>
    </w:tbl>
    <w:p w:rsidR="000A062A" w:rsidRPr="000A062A" w:rsidRDefault="000A062A" w:rsidP="00D05A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A062A" w:rsidRPr="000A062A" w:rsidSect="000A062A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4C0" w:rsidRDefault="00B304C0" w:rsidP="00D05A78">
      <w:pPr>
        <w:spacing w:after="0" w:line="240" w:lineRule="auto"/>
      </w:pPr>
      <w:r>
        <w:separator/>
      </w:r>
    </w:p>
  </w:endnote>
  <w:endnote w:type="continuationSeparator" w:id="0">
    <w:p w:rsidR="00B304C0" w:rsidRDefault="00B304C0" w:rsidP="00D05A78">
      <w:pPr>
        <w:spacing w:after="0" w:line="240" w:lineRule="auto"/>
      </w:pPr>
      <w:r>
        <w:continuationSeparator/>
      </w:r>
    </w:p>
  </w:endnote>
  <w:endnote w:id="1">
    <w:p w:rsidR="00D05A78" w:rsidRPr="00D05A78" w:rsidRDefault="00D05A78" w:rsidP="009552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a"/>
        </w:rPr>
        <w:endnoteRef/>
      </w:r>
      <w:r>
        <w:t> 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Новоси</w:t>
      </w:r>
      <w:r>
        <w:rPr>
          <w:rFonts w:ascii="Times New Roman" w:eastAsia="Times New Roman" w:hAnsi="Times New Roman" w:cs="Times New Roman"/>
          <w:sz w:val="24"/>
          <w:szCs w:val="24"/>
        </w:rPr>
        <w:t>бирской области от 30.12.2013 № 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>598-п «О возложении полномочий на государственное казенное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реждение Новосибирской области 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>«Управление контрактной системы»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большая часть полномочий </w:t>
      </w:r>
      <w:r w:rsidR="00FF252E">
        <w:rPr>
          <w:rFonts w:ascii="Times New Roman" w:eastAsia="Times New Roman" w:hAnsi="Times New Roman" w:cs="Times New Roman"/>
          <w:sz w:val="24"/>
          <w:szCs w:val="24"/>
        </w:rPr>
        <w:t>департамента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 как государственного заказчика возложена на 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>указанное уч</w:t>
      </w:r>
      <w:r w:rsidR="00FF252E">
        <w:rPr>
          <w:rFonts w:ascii="Times New Roman" w:eastAsia="Times New Roman" w:hAnsi="Times New Roman" w:cs="Times New Roman"/>
          <w:sz w:val="24"/>
          <w:szCs w:val="24"/>
        </w:rPr>
        <w:t>реждение (далее – ГКУ НСО «УКС»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. На </w:t>
      </w:r>
      <w:r w:rsidR="00FF252E" w:rsidRPr="00FF252E">
        <w:rPr>
          <w:rFonts w:ascii="Times New Roman" w:eastAsia="Times New Roman" w:hAnsi="Times New Roman" w:cs="Times New Roman"/>
          <w:sz w:val="24"/>
          <w:szCs w:val="24"/>
        </w:rPr>
        <w:t>ГКУ НСО «УКС»</w:t>
      </w:r>
      <w:r w:rsidR="00FF2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возложены полномочия на планирование закупок, определение поставщиков (подрядчиков, исполнителей), заключение государственных контрактов, их исполнение, обеспечение их оплаты, для ряда областных исполнительных органов государственной власти Новосибирской области, включая </w:t>
      </w:r>
      <w:r w:rsidR="008E0549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>. Таким</w:t>
      </w:r>
      <w:r w:rsidR="00FF252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бразом, за </w:t>
      </w:r>
      <w:r w:rsidR="008E0549"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 оставлены только отдельные полномочия и (или) обязанности заказчика, в том числе: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в 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 xml:space="preserve">ГКУ НСО «УКС» потребностей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товарах, работах, услугах, приемка товаров, работ и услуг, 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>оплата</w:t>
      </w:r>
      <w:r w:rsidR="008E05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54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 xml:space="preserve">з указанных полномочий только приемка </w:t>
      </w:r>
      <w:r w:rsidR="00955295">
        <w:rPr>
          <w:rFonts w:ascii="Times New Roman" w:eastAsia="Times New Roman" w:hAnsi="Times New Roman" w:cs="Times New Roman"/>
          <w:sz w:val="24"/>
          <w:szCs w:val="24"/>
        </w:rPr>
        <w:t xml:space="preserve">создает коррупционный риск, так как 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</w:t>
      </w:r>
      <w:r w:rsidR="008E0549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</w:t>
      </w:r>
      <w:r w:rsidR="00955295">
        <w:rPr>
          <w:rFonts w:ascii="Times New Roman" w:eastAsia="Times New Roman" w:hAnsi="Times New Roman" w:cs="Times New Roman"/>
          <w:sz w:val="24"/>
          <w:szCs w:val="24"/>
        </w:rPr>
        <w:t xml:space="preserve">полностью самостоятельно, </w:t>
      </w:r>
      <w:r w:rsidR="0021745B">
        <w:rPr>
          <w:rFonts w:ascii="Times New Roman" w:eastAsia="Times New Roman" w:hAnsi="Times New Roman" w:cs="Times New Roman"/>
          <w:sz w:val="24"/>
          <w:szCs w:val="24"/>
        </w:rPr>
        <w:t>без взаимодействия с</w:t>
      </w:r>
      <w:r w:rsidR="0021745B" w:rsidRPr="0021745B">
        <w:t xml:space="preserve"> </w:t>
      </w:r>
      <w:r w:rsidR="008E0549">
        <w:rPr>
          <w:rFonts w:ascii="Times New Roman" w:eastAsia="Times New Roman" w:hAnsi="Times New Roman" w:cs="Times New Roman"/>
          <w:sz w:val="24"/>
          <w:szCs w:val="24"/>
        </w:rPr>
        <w:t>ГКУ НСО «УКС</w:t>
      </w:r>
      <w:r w:rsidR="00955295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955295">
        <w:rPr>
          <w:rFonts w:ascii="Times New Roman" w:eastAsia="Times New Roman" w:hAnsi="Times New Roman" w:cs="Times New Roman"/>
          <w:sz w:val="24"/>
          <w:szCs w:val="24"/>
        </w:rPr>
        <w:br/>
        <w:t xml:space="preserve">а предварительная проверка актов приемки </w:t>
      </w:r>
      <w:r w:rsidR="008E0549" w:rsidRPr="008E0549">
        <w:rPr>
          <w:rFonts w:ascii="Times New Roman" w:eastAsia="Times New Roman" w:hAnsi="Times New Roman" w:cs="Times New Roman"/>
          <w:sz w:val="24"/>
          <w:szCs w:val="24"/>
        </w:rPr>
        <w:t xml:space="preserve">ГКУ НСО «УКС» </w:t>
      </w:r>
      <w:r w:rsidR="00955295">
        <w:rPr>
          <w:rFonts w:ascii="Times New Roman" w:eastAsia="Times New Roman" w:hAnsi="Times New Roman" w:cs="Times New Roman"/>
          <w:sz w:val="24"/>
          <w:szCs w:val="24"/>
        </w:rPr>
        <w:t>невозможна</w:t>
      </w:r>
      <w:r w:rsidRPr="00D05A7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05A78" w:rsidRDefault="00D05A78" w:rsidP="00955295">
      <w:pPr>
        <w:pStyle w:val="a8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4C0" w:rsidRDefault="00B304C0" w:rsidP="00D05A78">
      <w:pPr>
        <w:spacing w:after="0" w:line="240" w:lineRule="auto"/>
      </w:pPr>
      <w:r>
        <w:separator/>
      </w:r>
    </w:p>
  </w:footnote>
  <w:footnote w:type="continuationSeparator" w:id="0">
    <w:p w:rsidR="00B304C0" w:rsidRDefault="00B304C0" w:rsidP="00D05A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2A"/>
    <w:rsid w:val="00055475"/>
    <w:rsid w:val="000A062A"/>
    <w:rsid w:val="001E53F6"/>
    <w:rsid w:val="0021745B"/>
    <w:rsid w:val="00243C69"/>
    <w:rsid w:val="00312856"/>
    <w:rsid w:val="00326424"/>
    <w:rsid w:val="003342B5"/>
    <w:rsid w:val="003C0579"/>
    <w:rsid w:val="00475F9F"/>
    <w:rsid w:val="005609A3"/>
    <w:rsid w:val="008235BE"/>
    <w:rsid w:val="00852FFC"/>
    <w:rsid w:val="008D3D5A"/>
    <w:rsid w:val="008E0549"/>
    <w:rsid w:val="00955295"/>
    <w:rsid w:val="00A255D9"/>
    <w:rsid w:val="00A54949"/>
    <w:rsid w:val="00B304C0"/>
    <w:rsid w:val="00BE3EBC"/>
    <w:rsid w:val="00C02D3F"/>
    <w:rsid w:val="00C44D6A"/>
    <w:rsid w:val="00D05A78"/>
    <w:rsid w:val="00D82DF6"/>
    <w:rsid w:val="00DC42F5"/>
    <w:rsid w:val="00E403A6"/>
    <w:rsid w:val="00E744CB"/>
    <w:rsid w:val="00EA3B2F"/>
    <w:rsid w:val="00F73D7C"/>
    <w:rsid w:val="00FA58F0"/>
    <w:rsid w:val="00FB5949"/>
    <w:rsid w:val="00FC7974"/>
    <w:rsid w:val="00FF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255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E3EB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0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5A7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5A7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D05A7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05A7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05A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6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255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BE3EB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D0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5A7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05A7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D05A7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05A7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05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D82A35-DCE4-4596-AEF3-81483775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Котарская С.А.</cp:lastModifiedBy>
  <cp:revision>8</cp:revision>
  <dcterms:created xsi:type="dcterms:W3CDTF">2021-01-22T03:06:00Z</dcterms:created>
  <dcterms:modified xsi:type="dcterms:W3CDTF">2021-01-22T09:10:00Z</dcterms:modified>
</cp:coreProperties>
</file>