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29" w:rsidRPr="001A42F4" w:rsidRDefault="006E2531" w:rsidP="006E253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1429" w:rsidRPr="001A4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3D1429" w:rsidRDefault="003D1429" w:rsidP="006E253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531" w:rsidRDefault="00F22BFB" w:rsidP="003D142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0800F7" w:rsidRDefault="009E753F" w:rsidP="006E2531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8681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</w:p>
    <w:p w:rsidR="009E753F" w:rsidRPr="00B645A1" w:rsidRDefault="003D1429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A69C2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00F7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19B6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2B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628C1" w:rsidRDefault="00D628C1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E753F" w:rsidRPr="0098681A" w:rsidRDefault="00705799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8681A">
        <w:rPr>
          <w:rFonts w:ascii="Times New Roman" w:hAnsi="Times New Roman" w:cs="Times New Roman"/>
          <w:color w:val="auto"/>
        </w:rPr>
        <w:t>П</w:t>
      </w:r>
      <w:r w:rsidR="006A1F60" w:rsidRPr="0098681A">
        <w:rPr>
          <w:rFonts w:ascii="Times New Roman" w:hAnsi="Times New Roman" w:cs="Times New Roman"/>
          <w:color w:val="auto"/>
        </w:rPr>
        <w:t>рограмма профилактики</w:t>
      </w:r>
    </w:p>
    <w:p w:rsidR="006A1F60" w:rsidRPr="0098681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1A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  <w:r w:rsidR="00705799" w:rsidRPr="0098681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  <w:r w:rsidRPr="0098681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CC246D" w:rsidRPr="00B51E78" w:rsidRDefault="00900FD6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D6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контролю (надзору) в области регулирования цен (тарифов),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1E78">
        <w:rPr>
          <w:rFonts w:ascii="Times New Roman" w:hAnsi="Times New Roman" w:cs="Times New Roman"/>
          <w:b/>
          <w:sz w:val="28"/>
          <w:szCs w:val="28"/>
        </w:rPr>
        <w:t>осуществляем</w:t>
      </w:r>
      <w:r w:rsidR="00CC246D" w:rsidRPr="00B51E78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B51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60" w:rsidRPr="00CC246D" w:rsidRDefault="00CC246D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78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0800F7" w:rsidRPr="00B51E78">
        <w:rPr>
          <w:rFonts w:ascii="Times New Roman" w:hAnsi="Times New Roman" w:cs="Times New Roman"/>
          <w:b/>
          <w:sz w:val="28"/>
          <w:szCs w:val="28"/>
        </w:rPr>
        <w:t xml:space="preserve"> по тарифам Новосибирской области</w:t>
      </w:r>
      <w:r w:rsidRPr="00B51E7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60" w:rsidRPr="00CC246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0303" w:rsidRPr="00CC246D">
        <w:rPr>
          <w:rFonts w:ascii="Times New Roman" w:hAnsi="Times New Roman" w:cs="Times New Roman"/>
          <w:b/>
          <w:sz w:val="28"/>
          <w:szCs w:val="28"/>
        </w:rPr>
        <w:t>20</w:t>
      </w:r>
      <w:r w:rsidR="000800F7" w:rsidRPr="00CC246D">
        <w:rPr>
          <w:rFonts w:ascii="Times New Roman" w:hAnsi="Times New Roman" w:cs="Times New Roman"/>
          <w:b/>
          <w:sz w:val="28"/>
          <w:szCs w:val="28"/>
        </w:rPr>
        <w:t>2</w:t>
      </w:r>
      <w:r w:rsidR="00F02BFA">
        <w:rPr>
          <w:rFonts w:ascii="Times New Roman" w:hAnsi="Times New Roman" w:cs="Times New Roman"/>
          <w:b/>
          <w:sz w:val="28"/>
          <w:szCs w:val="28"/>
        </w:rPr>
        <w:t>3</w:t>
      </w:r>
      <w:r w:rsidR="00650303" w:rsidRPr="00CC24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0303" w:rsidRPr="00CC246D" w:rsidRDefault="00650303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9A" w:rsidRDefault="00CC246D" w:rsidP="00CC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46D">
        <w:rPr>
          <w:rFonts w:ascii="Times New Roman" w:hAnsi="Times New Roman" w:cs="Times New Roman"/>
          <w:sz w:val="28"/>
          <w:szCs w:val="28"/>
        </w:rPr>
        <w:t>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по региональному государственному контролю (надзору) в области регулирования цен (тарифов), осуществляемая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департаментом по тарифам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24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2BFA">
        <w:rPr>
          <w:rFonts w:ascii="Times New Roman" w:hAnsi="Times New Roman" w:cs="Times New Roman"/>
          <w:sz w:val="28"/>
          <w:szCs w:val="28"/>
        </w:rPr>
        <w:t>3</w:t>
      </w:r>
      <w:r w:rsidRPr="00CC24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9A" w:rsidRPr="000B5D9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AC20CE" w:rsidRPr="007A2B09">
        <w:rPr>
          <w:rFonts w:ascii="Times New Roman" w:hAnsi="Times New Roman" w:cs="Times New Roman"/>
          <w:sz w:val="28"/>
          <w:szCs w:val="28"/>
        </w:rPr>
        <w:t xml:space="preserve">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</w:t>
      </w:r>
      <w:r w:rsidR="00455337" w:rsidRPr="007A2B09">
        <w:t xml:space="preserve"> </w:t>
      </w:r>
      <w:r w:rsidR="00455337" w:rsidRPr="007A2B09">
        <w:rPr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(ущерба) охраняемым законом</w:t>
      </w:r>
      <w:proofErr w:type="gramEnd"/>
      <w:r w:rsidR="00455337" w:rsidRPr="007A2B09">
        <w:rPr>
          <w:rFonts w:ascii="Times New Roman" w:hAnsi="Times New Roman" w:cs="Times New Roman"/>
          <w:sz w:val="28"/>
          <w:szCs w:val="28"/>
        </w:rPr>
        <w:t xml:space="preserve"> ценностям, </w:t>
      </w:r>
      <w:r w:rsidR="006855E3" w:rsidRPr="007A2B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="00AC20CE" w:rsidRPr="007A2B09">
        <w:rPr>
          <w:rFonts w:ascii="Times New Roman" w:hAnsi="Times New Roman" w:cs="Times New Roman"/>
          <w:sz w:val="28"/>
          <w:szCs w:val="28"/>
        </w:rPr>
        <w:t>а также на создание и развитие системы профилактики.</w:t>
      </w:r>
    </w:p>
    <w:p w:rsidR="00535DF7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9A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B5D9A">
        <w:rPr>
          <w:rFonts w:ascii="Times New Roman" w:hAnsi="Times New Roman" w:cs="Times New Roman"/>
          <w:sz w:val="28"/>
          <w:szCs w:val="28"/>
        </w:rPr>
        <w:t>Федеральный закон от 31.07.2020№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D9A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5CC">
        <w:rPr>
          <w:rFonts w:ascii="Times New Roman" w:hAnsi="Times New Roman" w:cs="Times New Roman"/>
          <w:sz w:val="28"/>
          <w:szCs w:val="28"/>
        </w:rPr>
        <w:t>Основные понятия, используемые для целей настоящей Программы:</w:t>
      </w:r>
    </w:p>
    <w:p w:rsidR="000B5D9A" w:rsidRP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 xml:space="preserve">«обязательные требования»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B869AE" w:rsidRPr="00B869AE">
        <w:rPr>
          <w:rFonts w:ascii="Times New Roman" w:hAnsi="Times New Roman" w:cs="Times New Roman"/>
          <w:sz w:val="28"/>
          <w:szCs w:val="28"/>
        </w:rPr>
        <w:t>регионально</w:t>
      </w:r>
      <w:r w:rsidR="00B869AE">
        <w:rPr>
          <w:rFonts w:ascii="Times New Roman" w:hAnsi="Times New Roman" w:cs="Times New Roman"/>
          <w:sz w:val="28"/>
          <w:szCs w:val="28"/>
        </w:rPr>
        <w:t>го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869AE">
        <w:rPr>
          <w:rFonts w:ascii="Times New Roman" w:hAnsi="Times New Roman" w:cs="Times New Roman"/>
          <w:sz w:val="28"/>
          <w:szCs w:val="28"/>
        </w:rPr>
        <w:t>го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869AE">
        <w:rPr>
          <w:rFonts w:ascii="Times New Roman" w:hAnsi="Times New Roman" w:cs="Times New Roman"/>
          <w:sz w:val="28"/>
          <w:szCs w:val="28"/>
        </w:rPr>
        <w:t>я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869AE">
        <w:rPr>
          <w:rFonts w:ascii="Times New Roman" w:hAnsi="Times New Roman" w:cs="Times New Roman"/>
          <w:sz w:val="28"/>
          <w:szCs w:val="28"/>
        </w:rPr>
        <w:t>а</w:t>
      </w:r>
      <w:r w:rsidR="00B869AE" w:rsidRPr="00B869AE">
        <w:rPr>
          <w:rFonts w:ascii="Times New Roman" w:hAnsi="Times New Roman" w:cs="Times New Roman"/>
          <w:sz w:val="28"/>
          <w:szCs w:val="28"/>
        </w:rPr>
        <w:t>) в области регулирования цен (тарифов)</w:t>
      </w:r>
      <w:r w:rsidRPr="000B5D9A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</w:t>
      </w:r>
      <w:r w:rsidR="00B51E78">
        <w:rPr>
          <w:rFonts w:ascii="Times New Roman" w:hAnsi="Times New Roman" w:cs="Times New Roman"/>
          <w:sz w:val="28"/>
          <w:szCs w:val="28"/>
        </w:rPr>
        <w:t>;</w:t>
      </w:r>
    </w:p>
    <w:p w:rsidR="000B5D9A" w:rsidRP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 xml:space="preserve">«контролируемые лица» - юридические лица и индивидуальные предприниматели, деятельность которых подлежит </w:t>
      </w:r>
      <w:r w:rsidR="004D2F75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Pr="000B5D9A">
        <w:rPr>
          <w:rFonts w:ascii="Times New Roman" w:hAnsi="Times New Roman" w:cs="Times New Roman"/>
          <w:sz w:val="28"/>
          <w:szCs w:val="28"/>
        </w:rPr>
        <w:t>государственному контролю (надзору)</w:t>
      </w:r>
      <w:r w:rsidR="00B51E78" w:rsidRPr="00B51E78">
        <w:t xml:space="preserve"> </w:t>
      </w:r>
      <w:r w:rsidR="00B51E78" w:rsidRPr="00B51E78">
        <w:rPr>
          <w:rFonts w:ascii="Times New Roman" w:hAnsi="Times New Roman" w:cs="Times New Roman"/>
          <w:sz w:val="28"/>
          <w:szCs w:val="28"/>
        </w:rPr>
        <w:t>в области регулирования цен (тарифов)</w:t>
      </w:r>
      <w:r w:rsidR="00B51E78">
        <w:rPr>
          <w:rFonts w:ascii="Times New Roman" w:hAnsi="Times New Roman" w:cs="Times New Roman"/>
          <w:sz w:val="28"/>
          <w:szCs w:val="28"/>
        </w:rPr>
        <w:t>;</w:t>
      </w:r>
    </w:p>
    <w:p w:rsid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>«профилактическое мероприятие» - мероприятие, проводимое департаментом в целях предупреждения возможного нарушения контролируемыми лицами обязательных требований</w:t>
      </w:r>
      <w:r w:rsidR="00B51E78">
        <w:rPr>
          <w:rFonts w:ascii="Times New Roman" w:hAnsi="Times New Roman" w:cs="Times New Roman"/>
          <w:sz w:val="28"/>
          <w:szCs w:val="28"/>
        </w:rPr>
        <w:t>.</w:t>
      </w:r>
    </w:p>
    <w:p w:rsidR="00D628C1" w:rsidRPr="000B5D9A" w:rsidRDefault="00D628C1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10F" w:rsidRPr="001A210F" w:rsidRDefault="001A210F" w:rsidP="001A210F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0F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контроля</w:t>
      </w:r>
      <w:r w:rsidR="0098681A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Pr="001A2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210F">
        <w:rPr>
          <w:rFonts w:ascii="Times New Roman" w:hAnsi="Times New Roman" w:cs="Times New Roman"/>
          <w:b/>
          <w:sz w:val="28"/>
          <w:szCs w:val="28"/>
        </w:rPr>
        <w:lastRenderedPageBreak/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A3284E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1341D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Pr="00E1341D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552F70" w:rsidRPr="00E1341D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</w:t>
      </w:r>
      <w:r w:rsidRPr="00E13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регионального государственного контроля (надзора) в области регулирования цен (тарифов) </w:t>
      </w:r>
      <w:r w:rsidR="0066442C">
        <w:rPr>
          <w:rFonts w:ascii="Times New Roman" w:hAnsi="Times New Roman" w:cs="Times New Roman"/>
          <w:sz w:val="28"/>
          <w:szCs w:val="28"/>
        </w:rPr>
        <w:t xml:space="preserve">(далее - государственный контроль (надзор)) </w:t>
      </w:r>
      <w:r w:rsidR="00552F70" w:rsidRPr="00E1341D">
        <w:rPr>
          <w:rFonts w:ascii="Times New Roman" w:hAnsi="Times New Roman" w:cs="Times New Roman"/>
          <w:sz w:val="28"/>
          <w:szCs w:val="28"/>
        </w:rPr>
        <w:t>на территории Новосибирской области.</w:t>
      </w:r>
    </w:p>
    <w:p w:rsidR="006855E3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42C">
        <w:rPr>
          <w:rFonts w:ascii="Times New Roman" w:hAnsi="Times New Roman" w:cs="Times New Roman"/>
          <w:sz w:val="28"/>
          <w:szCs w:val="28"/>
        </w:rPr>
        <w:t>Государственный к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онтроль (надзор) </w:t>
      </w:r>
      <w:r w:rsidR="00B42B16" w:rsidRPr="00E134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департаментом посредством </w:t>
      </w:r>
      <w:r w:rsidRPr="00E1341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01D2" w:rsidRPr="00A701D2" w:rsidRDefault="00E1341D" w:rsidP="00A2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35F4" w:rsidRPr="0066442C"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 w:rsidR="0066442C">
        <w:rPr>
          <w:rFonts w:ascii="Times New Roman" w:hAnsi="Times New Roman" w:cs="Times New Roman"/>
          <w:sz w:val="28"/>
          <w:szCs w:val="28"/>
        </w:rPr>
        <w:t>м</w:t>
      </w:r>
      <w:r w:rsidR="00A235F4" w:rsidRPr="0066442C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(тарифов), утвержденным постановлением Правительства Новосибирской области от 28.09.2021 № 384-п</w:t>
      </w:r>
      <w:r w:rsidR="00C4625E">
        <w:rPr>
          <w:rFonts w:ascii="Times New Roman" w:hAnsi="Times New Roman" w:cs="Times New Roman"/>
          <w:sz w:val="28"/>
          <w:szCs w:val="28"/>
        </w:rPr>
        <w:t xml:space="preserve"> (далее – Положение о контроле (надзоре))</w:t>
      </w:r>
      <w:r w:rsidR="0066442C">
        <w:rPr>
          <w:rFonts w:ascii="Times New Roman" w:hAnsi="Times New Roman" w:cs="Times New Roman"/>
          <w:sz w:val="28"/>
          <w:szCs w:val="28"/>
        </w:rPr>
        <w:t>,</w:t>
      </w:r>
      <w:r w:rsidR="00A235F4" w:rsidRPr="0066442C">
        <w:rPr>
          <w:rFonts w:ascii="Times New Roman" w:hAnsi="Times New Roman" w:cs="Times New Roman"/>
          <w:sz w:val="28"/>
          <w:szCs w:val="28"/>
        </w:rPr>
        <w:t xml:space="preserve"> </w:t>
      </w:r>
      <w:r w:rsidR="00A701D2" w:rsidRPr="0066442C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осуществляется без проведения плановых контрольных (надзорных) мероприятий, </w:t>
      </w:r>
      <w:r w:rsidR="0066442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6442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6442C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701D2" w:rsidRPr="0066442C">
        <w:rPr>
          <w:rFonts w:ascii="Times New Roman" w:hAnsi="Times New Roman" w:cs="Times New Roman"/>
          <w:sz w:val="28"/>
          <w:szCs w:val="28"/>
        </w:rPr>
        <w:t>распределение объектов контроля (надзора) по категориям риска не осуществля</w:t>
      </w:r>
      <w:r w:rsidR="0066442C">
        <w:rPr>
          <w:rFonts w:ascii="Times New Roman" w:hAnsi="Times New Roman" w:cs="Times New Roman"/>
          <w:sz w:val="28"/>
          <w:szCs w:val="28"/>
        </w:rPr>
        <w:t>ется</w:t>
      </w:r>
      <w:r w:rsidR="00A701D2" w:rsidRPr="0066442C">
        <w:rPr>
          <w:rFonts w:ascii="Times New Roman" w:hAnsi="Times New Roman" w:cs="Times New Roman"/>
          <w:sz w:val="28"/>
          <w:szCs w:val="28"/>
        </w:rPr>
        <w:t>.</w:t>
      </w:r>
    </w:p>
    <w:p w:rsidR="00A701D2" w:rsidRDefault="00A701D2" w:rsidP="00A701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1D2">
        <w:rPr>
          <w:rFonts w:ascii="Times New Roman" w:hAnsi="Times New Roman" w:cs="Times New Roman"/>
          <w:sz w:val="28"/>
          <w:szCs w:val="28"/>
        </w:rPr>
        <w:t>Оценка риска причинения вреда (ущерба) охраняемых законом ценностям при принятии решения о проведении и выборе вида внепланового контрольного (надзорного) мероприятия при осуществлении государственного контроля (надзора) осуществляется на основании индикаторов риска нарушения обязательных требований, перечень которых утвержден постановлением Правительства Новосибирской области от 28.09.2021 № 384-п «О региональном государственном контроле (надзоре) в области государственного регулирования цен (тарифов)».</w:t>
      </w:r>
      <w:proofErr w:type="gramEnd"/>
    </w:p>
    <w:p w:rsidR="00E1341D" w:rsidRPr="0066442C" w:rsidRDefault="00B87A3C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41D" w:rsidRPr="0066442C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C418CC" w:rsidRPr="0066442C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="00E1341D" w:rsidRPr="0066442C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регионального контроля (надзора) размещен на официальном сайте департамента </w:t>
      </w:r>
      <w:hyperlink r:id="rId9" w:history="1">
        <w:r w:rsidR="00470A57" w:rsidRPr="0066442C">
          <w:rPr>
            <w:rStyle w:val="aa"/>
            <w:rFonts w:ascii="Times New Roman" w:hAnsi="Times New Roman" w:cs="Times New Roman"/>
            <w:sz w:val="28"/>
            <w:szCs w:val="28"/>
          </w:rPr>
          <w:t>www.tarif.nso.ru</w:t>
        </w:r>
      </w:hyperlink>
      <w:r w:rsidR="00470A57" w:rsidRPr="0066442C">
        <w:rPr>
          <w:rFonts w:ascii="Times New Roman" w:hAnsi="Times New Roman" w:cs="Times New Roman"/>
          <w:sz w:val="28"/>
          <w:szCs w:val="28"/>
        </w:rPr>
        <w:t xml:space="preserve"> </w:t>
      </w:r>
      <w:r w:rsidR="00E1341D" w:rsidRPr="0066442C">
        <w:rPr>
          <w:rFonts w:ascii="Times New Roman" w:hAnsi="Times New Roman" w:cs="Times New Roman"/>
          <w:sz w:val="28"/>
          <w:szCs w:val="28"/>
        </w:rPr>
        <w:t>на странице https://tarif.nso.ru/page/434.</w:t>
      </w:r>
    </w:p>
    <w:p w:rsidR="000A5D5F" w:rsidRPr="001A210F" w:rsidRDefault="000A5D5F" w:rsidP="0015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1A210F" w:rsidTr="00F70D58">
        <w:tc>
          <w:tcPr>
            <w:tcW w:w="3464" w:type="dxa"/>
          </w:tcPr>
          <w:p w:rsidR="0047641F" w:rsidRPr="001A210F" w:rsidRDefault="00024335" w:rsidP="0002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24335">
              <w:rPr>
                <w:rFonts w:ascii="Times New Roman" w:hAnsi="Times New Roman" w:cs="Times New Roman"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подлежащая </w:t>
            </w:r>
            <w:r w:rsidRPr="0002433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государственному регулированию в области цен (тарифов)</w:t>
            </w:r>
          </w:p>
        </w:tc>
        <w:tc>
          <w:tcPr>
            <w:tcW w:w="1985" w:type="dxa"/>
          </w:tcPr>
          <w:p w:rsidR="0047641F" w:rsidRPr="001A210F" w:rsidRDefault="0047641F" w:rsidP="00B87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0563C">
              <w:rPr>
                <w:rFonts w:ascii="Times New Roman" w:hAnsi="Times New Roman" w:cs="Times New Roman"/>
                <w:szCs w:val="22"/>
              </w:rPr>
              <w:t>установлением и</w:t>
            </w:r>
            <w:r w:rsidR="00B87A3C">
              <w:rPr>
                <w:rFonts w:ascii="Times New Roman" w:hAnsi="Times New Roman" w:cs="Times New Roman"/>
                <w:szCs w:val="22"/>
              </w:rPr>
              <w:t xml:space="preserve"> (или)</w:t>
            </w:r>
            <w:r w:rsidR="0000563C">
              <w:rPr>
                <w:rFonts w:ascii="Times New Roman" w:hAnsi="Times New Roman" w:cs="Times New Roman"/>
                <w:szCs w:val="22"/>
              </w:rPr>
              <w:t xml:space="preserve"> применением </w:t>
            </w:r>
            <w:r w:rsidRPr="001A210F">
              <w:rPr>
                <w:rFonts w:ascii="Times New Roman" w:hAnsi="Times New Roman" w:cs="Times New Roman"/>
                <w:szCs w:val="22"/>
              </w:rPr>
              <w:t>цен (тарифов)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lastRenderedPageBreak/>
              <w:t xml:space="preserve">соблюдением </w:t>
            </w:r>
            <w:r w:rsidR="003928E6" w:rsidRPr="001A210F">
              <w:rPr>
                <w:rFonts w:ascii="Times New Roman" w:hAnsi="Times New Roman" w:cs="Times New Roman"/>
                <w:szCs w:val="22"/>
              </w:rPr>
              <w:t xml:space="preserve">положений 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lastRenderedPageBreak/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стандартов раскрытия информации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электроэнергетика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rPr>
          <w:trHeight w:val="130"/>
        </w:trPr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1A210F" w:rsidTr="0047641F">
        <w:tc>
          <w:tcPr>
            <w:tcW w:w="3464" w:type="dxa"/>
            <w:vAlign w:val="center"/>
          </w:tcPr>
          <w:p w:rsidR="004D322F" w:rsidRPr="001A210F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1820E1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3928E6">
        <w:trPr>
          <w:trHeight w:val="699"/>
        </w:trPr>
        <w:tc>
          <w:tcPr>
            <w:tcW w:w="3464" w:type="dxa"/>
            <w:vAlign w:val="center"/>
          </w:tcPr>
          <w:p w:rsidR="0047641F" w:rsidRPr="001A210F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0B558A" w:rsidRPr="003D5143" w:rsidTr="003928E6">
        <w:trPr>
          <w:trHeight w:val="699"/>
        </w:trPr>
        <w:tc>
          <w:tcPr>
            <w:tcW w:w="3464" w:type="dxa"/>
            <w:vAlign w:val="center"/>
          </w:tcPr>
          <w:p w:rsidR="000B558A" w:rsidRPr="001A210F" w:rsidRDefault="000B558A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sz w:val="24"/>
                <w:szCs w:val="24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0B558A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0B558A" w:rsidRPr="001A210F" w:rsidRDefault="00644AC6" w:rsidP="00644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0B558A" w:rsidRPr="00644AC6" w:rsidRDefault="00644AC6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F70D58" w:rsidRDefault="00F70D58" w:rsidP="00E1341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Статистические показатели </w:t>
      </w:r>
      <w:r w:rsidR="006855E3" w:rsidRPr="001A210F">
        <w:rPr>
          <w:rFonts w:ascii="Times New Roman" w:hAnsi="Times New Roman" w:cs="Times New Roman"/>
          <w:sz w:val="28"/>
          <w:szCs w:val="28"/>
        </w:rPr>
        <w:t>осуществления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560"/>
        <w:gridCol w:w="1382"/>
        <w:gridCol w:w="35"/>
      </w:tblGrid>
      <w:tr w:rsidR="00A701D2" w:rsidRPr="007A2B09" w:rsidTr="00A701D2">
        <w:trPr>
          <w:gridAfter w:val="1"/>
          <w:wAfter w:w="35" w:type="dxa"/>
          <w:trHeight w:val="52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D2" w:rsidRPr="0098681A" w:rsidRDefault="00A701D2" w:rsidP="00986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01D2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98681A" w:rsidRDefault="00A701D2" w:rsidP="00F67C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01D2" w:rsidRPr="007A2B09" w:rsidRDefault="00A701D2" w:rsidP="00A70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color w:val="000000"/>
              </w:rPr>
              <w:t>3 квартала 2022 года</w:t>
            </w:r>
          </w:p>
        </w:tc>
      </w:tr>
      <w:tr w:rsidR="00A701D2" w:rsidRPr="007A2B09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6855E3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контролируемых лиц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B64367" w:rsidRDefault="00A701D2" w:rsidP="00B708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D2" w:rsidRPr="00B708AB" w:rsidRDefault="00A701D2" w:rsidP="00B7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проведенных проверок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, из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внеплановые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154B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98681A" w:rsidRDefault="00A701D2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D2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D2" w:rsidRPr="00D628C1" w:rsidRDefault="00A701D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D2" w:rsidRPr="00A701D2" w:rsidRDefault="00A701D2" w:rsidP="00A701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1D2" w:rsidRPr="00B64367" w:rsidRDefault="00A701D2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01D2" w:rsidRPr="006743DB" w:rsidRDefault="00A701D2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3DB" w:rsidRPr="007A2B09" w:rsidTr="00A1321D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из них </w:t>
            </w:r>
            <w:r w:rsidRPr="0098681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4367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2" w:rsidRPr="007A2B09" w:rsidTr="00C418CC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02" w:rsidRPr="00D628C1" w:rsidRDefault="00F67C02" w:rsidP="00D628C1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7C02" w:rsidRPr="00C418CC" w:rsidRDefault="00F67C02" w:rsidP="00F6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67C02" w:rsidRPr="00B64367" w:rsidRDefault="00F67C02" w:rsidP="00C418CC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7C02" w:rsidRPr="00C418CC" w:rsidRDefault="00F67C02" w:rsidP="00C41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EEF" w:rsidRPr="007A2B09" w:rsidTr="00600FBC">
        <w:trPr>
          <w:gridAfter w:val="1"/>
          <w:wAfter w:w="35" w:type="dxa"/>
          <w:trHeight w:val="37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EEF" w:rsidRPr="0098681A" w:rsidRDefault="00D35EEF" w:rsidP="00830258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="006215C3"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М</w:t>
            </w:r>
            <w:r w:rsidR="006215C3" w:rsidRPr="0098681A">
              <w:rPr>
                <w:rFonts w:ascii="Times New Roman" w:hAnsi="Times New Roman" w:cs="Times New Roman"/>
                <w:i/>
                <w:color w:val="000000"/>
              </w:rPr>
              <w:t xml:space="preserve">ероприятия без взаимодействия </w:t>
            </w:r>
            <w:r w:rsidR="006855E3" w:rsidRPr="0098681A">
              <w:rPr>
                <w:rFonts w:ascii="Times New Roman" w:hAnsi="Times New Roman" w:cs="Times New Roman"/>
                <w:i/>
                <w:color w:val="000000"/>
              </w:rPr>
              <w:t>с контролируемыми лицами</w:t>
            </w:r>
            <w:r w:rsidR="005C3912">
              <w:rPr>
                <w:rFonts w:ascii="Times New Roman" w:hAnsi="Times New Roman" w:cs="Times New Roman"/>
                <w:i/>
                <w:color w:val="000000"/>
              </w:rPr>
              <w:t xml:space="preserve"> (</w:t>
            </w:r>
            <w:r w:rsidR="005C3912" w:rsidRPr="005C3912">
              <w:rPr>
                <w:rFonts w:ascii="Times New Roman" w:hAnsi="Times New Roman" w:cs="Times New Roman"/>
                <w:i/>
                <w:color w:val="000000"/>
              </w:rPr>
              <w:t>наблюдени</w:t>
            </w:r>
            <w:r w:rsidR="00830258">
              <w:rPr>
                <w:rFonts w:ascii="Times New Roman" w:hAnsi="Times New Roman" w:cs="Times New Roman"/>
                <w:i/>
                <w:color w:val="000000"/>
              </w:rPr>
              <w:t>е</w:t>
            </w:r>
            <w:r w:rsidR="005C3912" w:rsidRPr="005C3912">
              <w:rPr>
                <w:rFonts w:ascii="Times New Roman" w:hAnsi="Times New Roman" w:cs="Times New Roman"/>
                <w:i/>
                <w:color w:val="000000"/>
              </w:rPr>
              <w:t xml:space="preserve"> за соблюдением обязательных требований</w:t>
            </w:r>
            <w:r w:rsidR="005C3912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9868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7A2B09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5C3912" w:rsidRPr="006E0411" w:rsidTr="005C3912">
        <w:trPr>
          <w:gridAfter w:val="1"/>
          <w:wAfter w:w="35" w:type="dxa"/>
          <w:trHeight w:val="69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12" w:rsidRDefault="007E44BD" w:rsidP="007E44BD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5.1. </w:t>
            </w:r>
            <w:r w:rsidR="005C3912" w:rsidRPr="0098681A">
              <w:rPr>
                <w:rFonts w:ascii="Times New Roman" w:hAnsi="Times New Roman" w:cs="Times New Roman"/>
                <w:color w:val="000000"/>
              </w:rPr>
              <w:t>Количество мероприяти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="005C3912" w:rsidRPr="0098681A">
              <w:rPr>
                <w:rFonts w:ascii="Times New Roman" w:hAnsi="Times New Roman" w:cs="Times New Roman"/>
                <w:color w:val="000000"/>
              </w:rPr>
              <w:t xml:space="preserve"> без взаимодействия с контролируемыми лицами </w:t>
            </w:r>
          </w:p>
          <w:p w:rsidR="005C3912" w:rsidRPr="0098681A" w:rsidRDefault="005C3912" w:rsidP="005C3912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912" w:rsidRPr="004E1E44" w:rsidRDefault="005C3912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912" w:rsidRPr="006E0411" w:rsidRDefault="005C3912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12" w:rsidRPr="006E0411" w:rsidRDefault="005C3912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912" w:rsidRPr="006E0411" w:rsidTr="00D628C1">
        <w:trPr>
          <w:gridAfter w:val="1"/>
          <w:wAfter w:w="35" w:type="dxa"/>
          <w:trHeight w:val="11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12" w:rsidRPr="0098681A" w:rsidRDefault="005C3912" w:rsidP="00830258">
            <w:pPr>
              <w:pStyle w:val="a6"/>
              <w:ind w:left="4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Количество постановлений о назначении административных наказаний </w:t>
            </w:r>
            <w:r w:rsidR="00830258">
              <w:rPr>
                <w:rFonts w:ascii="Times New Roman" w:hAnsi="Times New Roman" w:cs="Times New Roman"/>
                <w:color w:val="000000"/>
              </w:rPr>
              <w:t xml:space="preserve">по результатам </w:t>
            </w:r>
            <w:r w:rsidRPr="005C3912">
              <w:rPr>
                <w:rFonts w:ascii="Times New Roman" w:hAnsi="Times New Roman" w:cs="Times New Roman"/>
                <w:color w:val="000000"/>
              </w:rPr>
              <w:t>мероприяти</w:t>
            </w:r>
            <w:r w:rsidR="00830258">
              <w:rPr>
                <w:rFonts w:ascii="Times New Roman" w:hAnsi="Times New Roman" w:cs="Times New Roman"/>
                <w:color w:val="000000"/>
              </w:rPr>
              <w:t>й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 без взаимоде</w:t>
            </w:r>
            <w:r>
              <w:rPr>
                <w:rFonts w:ascii="Times New Roman" w:hAnsi="Times New Roman" w:cs="Times New Roman"/>
                <w:color w:val="000000"/>
              </w:rPr>
              <w:t>йствия с контролируемыми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912" w:rsidRPr="004E1E44" w:rsidRDefault="005C3912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912" w:rsidRPr="006E0411" w:rsidRDefault="005C3912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12" w:rsidRPr="006E0411" w:rsidRDefault="005C3912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E44" w:rsidRPr="00D628C1" w:rsidRDefault="00D628C1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6. </w:t>
            </w:r>
            <w:r w:rsidR="004E1E44"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Постановления по делам об административных </w:t>
            </w:r>
            <w:proofErr w:type="gramStart"/>
            <w:r w:rsidR="004E1E44"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правонарушениях</w:t>
            </w:r>
            <w:proofErr w:type="gramEnd"/>
            <w:r w:rsidR="004E1E44"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 привлечении к административной ответственности</w:t>
            </w:r>
            <w:r w:rsidR="004E1E44" w:rsidRPr="00D628C1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5017BA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E44" w:rsidRPr="00D628C1" w:rsidRDefault="00D628C1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6.2. </w:t>
            </w:r>
            <w:r w:rsidR="004E1E44" w:rsidRPr="00D628C1">
              <w:rPr>
                <w:rFonts w:ascii="Times New Roman" w:hAnsi="Times New Roman" w:cs="Times New Roman"/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5017BA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7. </w:t>
            </w:r>
            <w:r w:rsidR="004E1E44" w:rsidRPr="0098681A">
              <w:rPr>
                <w:rFonts w:ascii="Times New Roman" w:hAnsi="Times New Roman" w:cs="Times New Roman"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EEF" w:rsidRPr="006E0411" w:rsidTr="00600FBC">
        <w:trPr>
          <w:gridAfter w:val="1"/>
          <w:wAfter w:w="35" w:type="dxa"/>
          <w:trHeight w:val="465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3F140A" w:rsidP="00A64D6E">
            <w:pPr>
              <w:pStyle w:val="a6"/>
              <w:spacing w:after="0" w:line="240" w:lineRule="auto"/>
              <w:ind w:left="49"/>
              <w:rPr>
                <w:rFonts w:ascii="Times New Roman" w:hAnsi="Times New Roman" w:cs="Times New Roman"/>
                <w:i/>
                <w:color w:val="000000"/>
              </w:rPr>
            </w:pPr>
            <w:r w:rsidRPr="006E0411">
              <w:rPr>
                <w:rFonts w:ascii="Times New Roman" w:hAnsi="Times New Roman" w:cs="Times New Roman"/>
                <w:i/>
                <w:color w:val="000000"/>
              </w:rPr>
              <w:t>8.</w:t>
            </w:r>
            <w:r w:rsidR="001A42F4">
              <w:t xml:space="preserve"> </w:t>
            </w:r>
            <w:r w:rsidR="001A42F4" w:rsidRPr="001A42F4">
              <w:rPr>
                <w:rFonts w:ascii="Times New Roman" w:hAnsi="Times New Roman" w:cs="Times New Roman"/>
                <w:i/>
                <w:color w:val="000000"/>
              </w:rPr>
              <w:t>Структура нарушений по отраслям</w:t>
            </w:r>
            <w:r w:rsidR="00D35EEF" w:rsidRPr="006E0411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D628C1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tabs>
                <w:tab w:val="left" w:pos="0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8.5. </w:t>
            </w:r>
            <w:r w:rsidR="004E1E44" w:rsidRPr="0098681A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D628C1" w:rsidRDefault="00D628C1" w:rsidP="00D628C1">
            <w:pPr>
              <w:pStyle w:val="a6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8.6. </w:t>
            </w:r>
            <w:r w:rsidR="004E1E44" w:rsidRPr="00D628C1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E44" w:rsidRPr="006E0411" w:rsidTr="004E1E44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44" w:rsidRPr="0098681A" w:rsidRDefault="00D628C1" w:rsidP="00D628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9</w:t>
            </w:r>
            <w:r w:rsidR="004E1E44" w:rsidRPr="0098681A">
              <w:rPr>
                <w:rFonts w:ascii="Times New Roman" w:hAnsi="Times New Roman" w:cs="Times New Roman"/>
                <w:i/>
                <w:color w:val="000000"/>
              </w:rPr>
              <w:t xml:space="preserve">. Количество выданных </w:t>
            </w:r>
            <w:r w:rsidR="004E1E44"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представлений</w:t>
            </w:r>
            <w:r w:rsidR="004E1E44" w:rsidRPr="0098681A">
              <w:rPr>
                <w:rFonts w:ascii="Times New Roman" w:hAnsi="Times New Roman" w:cs="Times New Roman"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E44" w:rsidRPr="004E1E44" w:rsidRDefault="004E1E44" w:rsidP="004E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1E44" w:rsidRPr="006E0411" w:rsidRDefault="004E1E44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FB" w:rsidRPr="009934F8" w:rsidTr="00D628C1">
        <w:trPr>
          <w:gridBefore w:val="1"/>
          <w:wBefore w:w="15" w:type="dxa"/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FB" w:rsidRPr="0098681A" w:rsidRDefault="00F22BFB" w:rsidP="00D628C1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="00D628C1">
              <w:rPr>
                <w:rFonts w:ascii="Times New Roman" w:hAnsi="Times New Roman" w:cs="Times New Roman"/>
                <w:i/>
                <w:color w:val="000000"/>
              </w:rPr>
              <w:t>0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. Количество постановлений, по </w:t>
            </w:r>
            <w:proofErr w:type="gramStart"/>
            <w:r w:rsidRPr="0098681A">
              <w:rPr>
                <w:rFonts w:ascii="Times New Roman" w:hAnsi="Times New Roman" w:cs="Times New Roman"/>
                <w:i/>
                <w:color w:val="000000"/>
              </w:rPr>
              <w:t>результатам</w:t>
            </w:r>
            <w:proofErr w:type="gramEnd"/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рассмотрения которых назначено наказание в виде 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предупреждения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8C1" w:rsidRDefault="00D628C1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5E" w:rsidRDefault="00C4625E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35, 36 Положения о контроле (надзоре) государственный контроль (надзор) осуществляется </w:t>
      </w:r>
      <w:r w:rsidR="00B1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</w:t>
      </w:r>
      <w:r w:rsidRPr="00C46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плановых контрольных (надзорных) мероприятий, исключительно посредством проведения внеплановых контрольных (надзорных) мероприятий.</w:t>
      </w:r>
    </w:p>
    <w:p w:rsidR="005C3912" w:rsidRDefault="007E5BA5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</w:t>
      </w:r>
      <w:r w:rsidR="003C6668"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посредством анализа информации, содержащейся в </w:t>
      </w:r>
      <w:r w:rsidRPr="001A210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</w:t>
      </w:r>
      <w:r w:rsid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стандартов раскрытия информации</w:t>
      </w:r>
      <w:r w:rsidR="005C3912" w:rsidRPr="005C3912">
        <w:t xml:space="preserve"> 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анализа </w:t>
      </w:r>
      <w:r w:rsidR="005C3912" w:rsidRP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в области энергосбережения и повышения энергетической эффективности</w:t>
      </w:r>
      <w:r w:rsidR="005C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1A210F">
        <w:rPr>
          <w:rFonts w:ascii="Times New Roman" w:hAnsi="Times New Roman" w:cs="Times New Roman"/>
          <w:color w:val="000000"/>
          <w:sz w:val="28"/>
          <w:szCs w:val="28"/>
        </w:rPr>
        <w:t>онтроль за соблюдением организациями, осуществляющими регулируемые виды деятельности, в случае если</w:t>
      </w:r>
      <w:proofErr w:type="gramEnd"/>
      <w:r w:rsidRPr="001A210F">
        <w:rPr>
          <w:rFonts w:ascii="Times New Roman" w:hAnsi="Times New Roman" w:cs="Times New Roman"/>
          <w:color w:val="000000"/>
          <w:sz w:val="28"/>
          <w:szCs w:val="28"/>
        </w:rPr>
        <w:t xml:space="preserve"> цены (тарифы) на товары и услуги таких организаций подлежат установлению департаментом, </w:t>
      </w:r>
      <w:r w:rsidR="004D43F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</w:t>
      </w:r>
      <w:r w:rsidRPr="001A210F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4D43F8" w:rsidRPr="004D43F8">
        <w:rPr>
          <w:rFonts w:ascii="Times New Roman" w:hAnsi="Times New Roman" w:cs="Times New Roman"/>
          <w:color w:val="000000"/>
          <w:sz w:val="28"/>
          <w:szCs w:val="28"/>
        </w:rPr>
        <w:t>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</w:t>
      </w:r>
      <w:r w:rsidR="005C3912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D43F8" w:rsidRPr="004D43F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устанавливаемых департаментом требований к содержанию этих программ применительно к регулируемым видам деятельности</w:t>
      </w:r>
      <w:r w:rsidR="005C39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3F8" w:rsidRDefault="004D43F8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6178A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="0038679C" w:rsidRPr="0038679C">
        <w:rPr>
          <w:rFonts w:ascii="Times New Roman" w:hAnsi="Times New Roman" w:cs="Times New Roman"/>
          <w:sz w:val="28"/>
          <w:szCs w:val="28"/>
        </w:rPr>
        <w:t>постановление</w:t>
      </w:r>
      <w:r w:rsidR="0038679C">
        <w:rPr>
          <w:rFonts w:ascii="Times New Roman" w:hAnsi="Times New Roman" w:cs="Times New Roman"/>
          <w:sz w:val="28"/>
          <w:szCs w:val="28"/>
        </w:rPr>
        <w:t>м</w:t>
      </w:r>
      <w:r w:rsidR="0038679C" w:rsidRPr="0038679C">
        <w:rPr>
          <w:rFonts w:ascii="Times New Roman" w:hAnsi="Times New Roman" w:cs="Times New Roman"/>
          <w:sz w:val="28"/>
          <w:szCs w:val="28"/>
        </w:rPr>
        <w:t xml:space="preserve"> Правительства РФ от 10 марта 2022 г. № 336</w:t>
      </w:r>
      <w:r w:rsidR="0038679C">
        <w:rPr>
          <w:rFonts w:ascii="Times New Roman" w:hAnsi="Times New Roman" w:cs="Times New Roman"/>
          <w:sz w:val="28"/>
          <w:szCs w:val="28"/>
        </w:rPr>
        <w:t xml:space="preserve"> </w:t>
      </w:r>
      <w:r w:rsidR="0038679C" w:rsidRPr="0038679C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="0038679C">
        <w:rPr>
          <w:rFonts w:ascii="Times New Roman" w:hAnsi="Times New Roman" w:cs="Times New Roman"/>
          <w:sz w:val="28"/>
          <w:szCs w:val="28"/>
        </w:rPr>
        <w:t xml:space="preserve"> (далее – Постановление № 336) </w:t>
      </w:r>
      <w:r w:rsidR="0086178A">
        <w:rPr>
          <w:rFonts w:ascii="Times New Roman" w:hAnsi="Times New Roman" w:cs="Times New Roman"/>
          <w:sz w:val="28"/>
          <w:szCs w:val="28"/>
        </w:rPr>
        <w:t xml:space="preserve">ряда особенностей и ограничений на проведение </w:t>
      </w:r>
      <w:r w:rsidR="0038679C">
        <w:rPr>
          <w:rFonts w:ascii="Times New Roman" w:hAnsi="Times New Roman" w:cs="Times New Roman"/>
          <w:sz w:val="28"/>
          <w:szCs w:val="28"/>
        </w:rPr>
        <w:t xml:space="preserve">контрольно-надзорными органами в 2022 году </w:t>
      </w:r>
      <w:r w:rsidR="0086178A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38679C">
        <w:rPr>
          <w:rFonts w:ascii="Times New Roman" w:hAnsi="Times New Roman" w:cs="Times New Roman"/>
          <w:sz w:val="28"/>
          <w:szCs w:val="28"/>
        </w:rPr>
        <w:t xml:space="preserve">, </w:t>
      </w:r>
      <w:r w:rsidR="000F3507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38679C">
        <w:rPr>
          <w:rFonts w:ascii="Times New Roman" w:hAnsi="Times New Roman" w:cs="Times New Roman"/>
          <w:sz w:val="28"/>
          <w:szCs w:val="28"/>
        </w:rPr>
        <w:t xml:space="preserve">в 2022 году проводились </w:t>
      </w:r>
      <w:r w:rsidR="000F3507" w:rsidRPr="000F3507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8679C">
        <w:rPr>
          <w:rFonts w:ascii="Times New Roman" w:hAnsi="Times New Roman" w:cs="Times New Roman"/>
          <w:sz w:val="28"/>
          <w:szCs w:val="28"/>
        </w:rPr>
        <w:t>только по требованию органов прокуратуры.</w:t>
      </w:r>
      <w:proofErr w:type="gramEnd"/>
    </w:p>
    <w:p w:rsidR="0038679C" w:rsidRPr="0038679C" w:rsidRDefault="0038679C" w:rsidP="003867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 w:rsidRPr="0038679C">
        <w:rPr>
          <w:rFonts w:ascii="Times New Roman" w:hAnsi="Times New Roman" w:cs="Times New Roman"/>
          <w:sz w:val="28"/>
          <w:szCs w:val="28"/>
        </w:rPr>
        <w:t xml:space="preserve">Постановления № 336 у департамента, </w:t>
      </w:r>
      <w:r w:rsidR="000F3507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ED29CC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679C">
        <w:rPr>
          <w:rFonts w:ascii="Times New Roman" w:hAnsi="Times New Roman" w:cs="Times New Roman"/>
          <w:sz w:val="28"/>
          <w:szCs w:val="28"/>
        </w:rPr>
        <w:t>компетенции и особенност</w:t>
      </w:r>
      <w:r w:rsidR="000F3507">
        <w:rPr>
          <w:rFonts w:ascii="Times New Roman" w:hAnsi="Times New Roman" w:cs="Times New Roman"/>
          <w:sz w:val="28"/>
          <w:szCs w:val="28"/>
        </w:rPr>
        <w:t>и</w:t>
      </w:r>
      <w:r w:rsidRPr="0038679C">
        <w:rPr>
          <w:rFonts w:ascii="Times New Roman" w:hAnsi="Times New Roman" w:cs="Times New Roman"/>
          <w:sz w:val="28"/>
          <w:szCs w:val="28"/>
        </w:rPr>
        <w:t xml:space="preserve"> осуществления контрольно-надзорной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38679C">
        <w:rPr>
          <w:rFonts w:ascii="Times New Roman" w:hAnsi="Times New Roman" w:cs="Times New Roman"/>
          <w:sz w:val="28"/>
          <w:szCs w:val="28"/>
        </w:rPr>
        <w:t>фактически отсутств</w:t>
      </w:r>
      <w:r>
        <w:rPr>
          <w:rFonts w:ascii="Times New Roman" w:hAnsi="Times New Roman" w:cs="Times New Roman"/>
          <w:sz w:val="28"/>
          <w:szCs w:val="28"/>
        </w:rPr>
        <w:t xml:space="preserve">овала </w:t>
      </w:r>
      <w:r w:rsidRPr="0038679C">
        <w:rPr>
          <w:rFonts w:ascii="Times New Roman" w:hAnsi="Times New Roman" w:cs="Times New Roman"/>
          <w:sz w:val="28"/>
          <w:szCs w:val="28"/>
        </w:rPr>
        <w:t>возможность проведения контрольных надзорных мероприятий (кроме мероприятий без взаимодействия  с контролируемым лицом в форме наблюдения за соблюдением обязательных требований</w:t>
      </w:r>
      <w:r w:rsidR="00C4625E">
        <w:rPr>
          <w:rFonts w:ascii="Times New Roman" w:hAnsi="Times New Roman" w:cs="Times New Roman"/>
          <w:sz w:val="28"/>
          <w:szCs w:val="28"/>
        </w:rPr>
        <w:t xml:space="preserve"> и внеплановых проверок по требованию органов прокуратуры</w:t>
      </w:r>
      <w:r w:rsidRPr="0038679C">
        <w:rPr>
          <w:rFonts w:ascii="Times New Roman" w:hAnsi="Times New Roman" w:cs="Times New Roman"/>
          <w:sz w:val="28"/>
          <w:szCs w:val="28"/>
        </w:rPr>
        <w:t>) и, как следствие, при обнаружении нарушений обязательных требований, оценка соблюдения которых является</w:t>
      </w:r>
      <w:proofErr w:type="gramEnd"/>
      <w:r w:rsidRPr="0038679C">
        <w:rPr>
          <w:rFonts w:ascii="Times New Roman" w:hAnsi="Times New Roman" w:cs="Times New Roman"/>
          <w:sz w:val="28"/>
          <w:szCs w:val="28"/>
        </w:rPr>
        <w:t xml:space="preserve"> предметом государственного контроля (надзора), </w:t>
      </w:r>
      <w:r w:rsidR="00C4625E">
        <w:rPr>
          <w:rFonts w:ascii="Times New Roman" w:hAnsi="Times New Roman" w:cs="Times New Roman"/>
          <w:sz w:val="28"/>
          <w:szCs w:val="28"/>
        </w:rPr>
        <w:t xml:space="preserve">практически отсутствовала </w:t>
      </w:r>
      <w:r w:rsidRPr="0038679C">
        <w:rPr>
          <w:rFonts w:ascii="Times New Roman" w:hAnsi="Times New Roman" w:cs="Times New Roman"/>
          <w:sz w:val="28"/>
          <w:szCs w:val="28"/>
        </w:rPr>
        <w:t>возможность выдачи предписания об устранении таких нарушений и возбуждения по выявленным фактам производства по делу об административном правонарушении</w:t>
      </w:r>
      <w:r w:rsidR="00C4625E">
        <w:rPr>
          <w:rFonts w:ascii="Times New Roman" w:hAnsi="Times New Roman" w:cs="Times New Roman"/>
          <w:sz w:val="28"/>
          <w:szCs w:val="28"/>
        </w:rPr>
        <w:t xml:space="preserve"> (выдано только 1 предписание по результатам внеплановой проверки по требованию прокуратуры)</w:t>
      </w:r>
      <w:r w:rsidRPr="0038679C">
        <w:rPr>
          <w:rFonts w:ascii="Times New Roman" w:hAnsi="Times New Roman" w:cs="Times New Roman"/>
          <w:sz w:val="28"/>
          <w:szCs w:val="28"/>
        </w:rPr>
        <w:t>.</w:t>
      </w:r>
    </w:p>
    <w:p w:rsidR="0038679C" w:rsidRDefault="0038679C" w:rsidP="003867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38679C">
        <w:rPr>
          <w:rFonts w:ascii="Times New Roman" w:hAnsi="Times New Roman" w:cs="Times New Roman"/>
          <w:sz w:val="28"/>
          <w:szCs w:val="28"/>
        </w:rPr>
        <w:t>ограничения, установленные Постановлением № 336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79C">
        <w:rPr>
          <w:rFonts w:ascii="Times New Roman" w:hAnsi="Times New Roman" w:cs="Times New Roman"/>
          <w:sz w:val="28"/>
          <w:szCs w:val="28"/>
        </w:rPr>
        <w:t xml:space="preserve"> не распространя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38679C">
        <w:rPr>
          <w:rFonts w:ascii="Times New Roman" w:hAnsi="Times New Roman" w:cs="Times New Roman"/>
          <w:sz w:val="28"/>
          <w:szCs w:val="28"/>
        </w:rPr>
        <w:t>на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79C">
        <w:rPr>
          <w:rFonts w:ascii="Times New Roman" w:hAnsi="Times New Roman" w:cs="Times New Roman"/>
          <w:sz w:val="28"/>
          <w:szCs w:val="28"/>
        </w:rPr>
        <w:t xml:space="preserve">в целях поддержания правопорядка в подконтрольных департаменту сферах, пресечения выявленных нарушений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679C">
        <w:rPr>
          <w:rFonts w:ascii="Times New Roman" w:hAnsi="Times New Roman" w:cs="Times New Roman"/>
          <w:sz w:val="28"/>
          <w:szCs w:val="28"/>
        </w:rPr>
        <w:t xml:space="preserve">осле получения департаментом в ходе установления, изменения, введения или отмены регулируемых государством цен (тарифов), </w:t>
      </w:r>
      <w:r w:rsidRPr="0038679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мероприятий без взаимодействия с контролируемыми лицами, рассмотрения обращений граждан и организаций информации о нарушении обязательных требований и подтверждения ее достоверности, департамент </w:t>
      </w:r>
      <w:r>
        <w:rPr>
          <w:rFonts w:ascii="Times New Roman" w:hAnsi="Times New Roman" w:cs="Times New Roman"/>
          <w:sz w:val="28"/>
          <w:szCs w:val="28"/>
        </w:rPr>
        <w:t>направлял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9C">
        <w:rPr>
          <w:rFonts w:ascii="Times New Roman" w:hAnsi="Times New Roman" w:cs="Times New Roman"/>
          <w:sz w:val="28"/>
          <w:szCs w:val="28"/>
        </w:rPr>
        <w:t>такую информацию для принятия мер в органы прокуратуры с описанием выявленных нарушений обязательных требований и приложением подтверждающих документов.</w:t>
      </w:r>
    </w:p>
    <w:p w:rsidR="0037748D" w:rsidRPr="001A210F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1A210F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 w:rsidRPr="001A210F"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1A210F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="0037748D" w:rsidRPr="001A210F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37748D" w:rsidRPr="001A210F">
        <w:rPr>
          <w:rFonts w:ascii="Times New Roman" w:hAnsi="Times New Roman"/>
          <w:sz w:val="28"/>
          <w:szCs w:val="28"/>
        </w:rPr>
        <w:t>: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 xml:space="preserve">нарушение </w:t>
      </w:r>
      <w:r w:rsidR="003C6668" w:rsidRPr="001A210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>отсутствие утвержденных программ в области энергосбережения и повышения энергетической эффективности, соответствующих утвержденным 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повышения энергетической эффективности;</w:t>
      </w:r>
    </w:p>
    <w:p w:rsidR="0037748D" w:rsidRPr="00C4625E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625E">
        <w:rPr>
          <w:rFonts w:ascii="Times New Roman" w:hAnsi="Times New Roman"/>
          <w:sz w:val="28"/>
          <w:szCs w:val="28"/>
        </w:rPr>
        <w:t>-</w:t>
      </w:r>
      <w:r w:rsidR="00433B2D" w:rsidRPr="00C4625E">
        <w:rPr>
          <w:rFonts w:ascii="Times New Roman" w:hAnsi="Times New Roman"/>
          <w:sz w:val="28"/>
          <w:szCs w:val="28"/>
        </w:rPr>
        <w:t> </w:t>
      </w:r>
      <w:r w:rsidRPr="00C4625E">
        <w:rPr>
          <w:rFonts w:ascii="Times New Roman" w:hAnsi="Times New Roman"/>
          <w:sz w:val="28"/>
          <w:szCs w:val="28"/>
        </w:rPr>
        <w:t xml:space="preserve">отсутствие ведения </w:t>
      </w:r>
      <w:r w:rsidR="003C6668" w:rsidRPr="00C4625E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C4625E">
        <w:rPr>
          <w:rFonts w:ascii="Times New Roman" w:hAnsi="Times New Roman"/>
          <w:sz w:val="28"/>
          <w:szCs w:val="28"/>
        </w:rPr>
        <w:t>раздельного учета доходов и расходов, показателей по осуществляемым ими регулируемым (и нерегулируемым) видам деятельности;</w:t>
      </w:r>
    </w:p>
    <w:p w:rsidR="0037748D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25E">
        <w:rPr>
          <w:rFonts w:ascii="Times New Roman" w:hAnsi="Times New Roman"/>
          <w:sz w:val="28"/>
          <w:szCs w:val="28"/>
        </w:rPr>
        <w:t>- нарушение порядка ценообразования, выражающееся 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</w:t>
      </w:r>
      <w:proofErr w:type="gramEnd"/>
      <w:r w:rsidRPr="00C4625E">
        <w:rPr>
          <w:rFonts w:ascii="Times New Roman" w:hAnsi="Times New Roman"/>
          <w:sz w:val="28"/>
          <w:szCs w:val="28"/>
        </w:rPr>
        <w:t xml:space="preserve">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F70D58" w:rsidRPr="001A210F" w:rsidRDefault="00F70D58" w:rsidP="00C9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0F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</w:t>
      </w:r>
      <w:r w:rsidR="003C6668" w:rsidRPr="001A210F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Pr="001A210F">
        <w:rPr>
          <w:rFonts w:ascii="Times New Roman" w:hAnsi="Times New Roman" w:cs="Times New Roman"/>
          <w:sz w:val="28"/>
          <w:szCs w:val="28"/>
        </w:rPr>
        <w:t xml:space="preserve">лицами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1A210F">
        <w:rPr>
          <w:rFonts w:ascii="Times New Roman" w:hAnsi="Times New Roman" w:cs="Times New Roman"/>
          <w:sz w:val="28"/>
          <w:szCs w:val="28"/>
        </w:rPr>
        <w:t>в 20</w:t>
      </w:r>
      <w:r w:rsidR="003D2639" w:rsidRPr="001A210F">
        <w:rPr>
          <w:rFonts w:ascii="Times New Roman" w:hAnsi="Times New Roman" w:cs="Times New Roman"/>
          <w:sz w:val="28"/>
          <w:szCs w:val="28"/>
        </w:rPr>
        <w:t>2</w:t>
      </w:r>
      <w:r w:rsidR="00C95D47">
        <w:rPr>
          <w:rFonts w:ascii="Times New Roman" w:hAnsi="Times New Roman" w:cs="Times New Roman"/>
          <w:sz w:val="28"/>
          <w:szCs w:val="28"/>
        </w:rPr>
        <w:t>2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1A210F">
        <w:rPr>
          <w:rFonts w:ascii="Times New Roman" w:hAnsi="Times New Roman" w:cs="Times New Roman"/>
          <w:sz w:val="28"/>
          <w:szCs w:val="28"/>
        </w:rPr>
        <w:t>в рамках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="00C95D47" w:rsidRPr="00C95D47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C95D47">
        <w:rPr>
          <w:rFonts w:ascii="Times New Roman" w:hAnsi="Times New Roman" w:cs="Times New Roman"/>
          <w:sz w:val="28"/>
          <w:szCs w:val="28"/>
        </w:rPr>
        <w:t xml:space="preserve"> </w:t>
      </w:r>
      <w:r w:rsidR="00C95D47" w:rsidRPr="00C95D47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C95D47">
        <w:rPr>
          <w:rFonts w:ascii="Times New Roman" w:hAnsi="Times New Roman" w:cs="Times New Roman"/>
          <w:sz w:val="28"/>
          <w:szCs w:val="28"/>
        </w:rPr>
        <w:t xml:space="preserve"> </w:t>
      </w:r>
      <w:r w:rsidR="00C95D47" w:rsidRPr="00C95D47">
        <w:rPr>
          <w:rFonts w:ascii="Times New Roman" w:hAnsi="Times New Roman" w:cs="Times New Roman"/>
          <w:sz w:val="28"/>
          <w:szCs w:val="28"/>
        </w:rPr>
        <w:t>по региональному государственному контролю (надзору) в области регулирования цен (тарифов), осуществляемая департаментом по тарифам Новосибирской области, на 2023 год</w:t>
      </w:r>
      <w:r w:rsidR="00D7096A" w:rsidRPr="001A210F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E90CB8" w:rsidRPr="001A210F">
        <w:rPr>
          <w:rFonts w:ascii="Times New Roman" w:hAnsi="Times New Roman" w:cs="Times New Roman"/>
          <w:sz w:val="28"/>
          <w:szCs w:val="28"/>
        </w:rPr>
        <w:t xml:space="preserve">от </w:t>
      </w:r>
      <w:r w:rsidR="00C95D47">
        <w:rPr>
          <w:rFonts w:ascii="Times New Roman" w:hAnsi="Times New Roman" w:cs="Times New Roman"/>
          <w:sz w:val="28"/>
          <w:szCs w:val="28"/>
        </w:rPr>
        <w:t>17</w:t>
      </w:r>
      <w:r w:rsidR="00E90CB8" w:rsidRPr="001A210F">
        <w:rPr>
          <w:rFonts w:ascii="Times New Roman" w:hAnsi="Times New Roman" w:cs="Times New Roman"/>
          <w:sz w:val="28"/>
          <w:szCs w:val="28"/>
        </w:rPr>
        <w:t>.12.202</w:t>
      </w:r>
      <w:r w:rsidR="00C95D47">
        <w:rPr>
          <w:rFonts w:ascii="Times New Roman" w:hAnsi="Times New Roman" w:cs="Times New Roman"/>
          <w:sz w:val="28"/>
          <w:szCs w:val="28"/>
        </w:rPr>
        <w:t>1</w:t>
      </w:r>
      <w:r w:rsidR="00E90CB8" w:rsidRPr="001A210F">
        <w:rPr>
          <w:rFonts w:ascii="Times New Roman" w:hAnsi="Times New Roman" w:cs="Times New Roman"/>
          <w:sz w:val="28"/>
          <w:szCs w:val="28"/>
        </w:rPr>
        <w:t xml:space="preserve"> № </w:t>
      </w:r>
      <w:r w:rsidR="00C95D47">
        <w:rPr>
          <w:rFonts w:ascii="Times New Roman" w:hAnsi="Times New Roman" w:cs="Times New Roman"/>
          <w:sz w:val="28"/>
          <w:szCs w:val="28"/>
        </w:rPr>
        <w:t>7</w:t>
      </w:r>
      <w:r w:rsidR="007A2B09">
        <w:rPr>
          <w:rFonts w:ascii="Times New Roman" w:hAnsi="Times New Roman" w:cs="Times New Roman"/>
          <w:sz w:val="28"/>
          <w:szCs w:val="28"/>
        </w:rPr>
        <w:t>,</w:t>
      </w:r>
      <w:r w:rsidR="00E90CB8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1A210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1A210F">
        <w:rPr>
          <w:rFonts w:ascii="Times New Roman" w:hAnsi="Times New Roman" w:cs="Times New Roman"/>
          <w:sz w:val="28"/>
          <w:szCs w:val="28"/>
        </w:rPr>
        <w:t xml:space="preserve"> по профилактике на</w:t>
      </w:r>
      <w:r w:rsidR="001D54DF" w:rsidRPr="001A210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p w:rsidR="00C95D47" w:rsidRP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95D47" w:rsidRP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C95D47" w:rsidRP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 xml:space="preserve">3) объявление предостережения о недопустимости нарушения обязательных </w:t>
      </w:r>
      <w:r w:rsidRPr="003D1CB8">
        <w:rPr>
          <w:rFonts w:ascii="Times New Roman" w:hAnsi="Times New Roman" w:cs="Times New Roman"/>
          <w:sz w:val="28"/>
          <w:szCs w:val="28"/>
        </w:rPr>
        <w:t>требований (далее – предостережение);</w:t>
      </w:r>
    </w:p>
    <w:p w:rsidR="00C95D47" w:rsidRP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B31DC4" w:rsidRPr="001A210F" w:rsidRDefault="00B31DC4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Охват профилактическими мероприятиями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1A210F">
        <w:rPr>
          <w:rFonts w:ascii="Times New Roman" w:hAnsi="Times New Roman" w:cs="Times New Roman"/>
          <w:sz w:val="28"/>
          <w:szCs w:val="28"/>
        </w:rPr>
        <w:t>составил 100%.</w:t>
      </w:r>
    </w:p>
    <w:p w:rsidR="002B7347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47">
        <w:rPr>
          <w:rFonts w:ascii="Times New Roman" w:hAnsi="Times New Roman" w:cs="Times New Roman"/>
          <w:sz w:val="28"/>
          <w:szCs w:val="28"/>
        </w:rPr>
        <w:t>Информирование</w:t>
      </w:r>
      <w:r w:rsidR="002B7347" w:rsidRPr="002B7347">
        <w:t xml:space="preserve"> </w:t>
      </w:r>
      <w:r w:rsidR="002B7347" w:rsidRPr="002B7347">
        <w:rPr>
          <w:rFonts w:ascii="Times New Roman" w:hAnsi="Times New Roman" w:cs="Times New Roman"/>
          <w:sz w:val="28"/>
          <w:szCs w:val="28"/>
        </w:rPr>
        <w:t xml:space="preserve">осуществлялось департаментом в соответствии с </w:t>
      </w:r>
      <w:r w:rsidR="002B7347" w:rsidRPr="002B7347">
        <w:rPr>
          <w:rFonts w:ascii="Times New Roman" w:hAnsi="Times New Roman" w:cs="Times New Roman"/>
          <w:sz w:val="28"/>
          <w:szCs w:val="28"/>
        </w:rPr>
        <w:lastRenderedPageBreak/>
        <w:t>требованиями, предусмотренными статьей 46 Федерального закона № 248-ФЗ, в  том числе путем размещения и поддержания в актуальном состоянии на официальном сайте департамента</w:t>
      </w:r>
      <w:r w:rsidR="002B7347">
        <w:rPr>
          <w:rFonts w:ascii="Times New Roman" w:hAnsi="Times New Roman" w:cs="Times New Roman"/>
          <w:sz w:val="28"/>
          <w:szCs w:val="28"/>
        </w:rPr>
        <w:t xml:space="preserve"> </w:t>
      </w:r>
      <w:r w:rsidR="002B7347" w:rsidRPr="002B734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2B7347">
        <w:rPr>
          <w:rFonts w:ascii="Times New Roman" w:hAnsi="Times New Roman" w:cs="Times New Roman"/>
          <w:sz w:val="28"/>
          <w:szCs w:val="28"/>
        </w:rPr>
        <w:t>«</w:t>
      </w:r>
      <w:r w:rsidR="002B7347" w:rsidRPr="002B7347">
        <w:rPr>
          <w:rFonts w:ascii="Times New Roman" w:hAnsi="Times New Roman" w:cs="Times New Roman"/>
          <w:sz w:val="28"/>
          <w:szCs w:val="28"/>
        </w:rPr>
        <w:t>Интернет</w:t>
      </w:r>
      <w:r w:rsidR="002B7347">
        <w:rPr>
          <w:rFonts w:ascii="Times New Roman" w:hAnsi="Times New Roman" w:cs="Times New Roman"/>
          <w:sz w:val="28"/>
          <w:szCs w:val="28"/>
        </w:rPr>
        <w:t>» сведений, предусмотренных указанной правовой нормой.</w:t>
      </w:r>
    </w:p>
    <w:p w:rsidR="002B7347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47">
        <w:rPr>
          <w:rFonts w:ascii="Times New Roman" w:hAnsi="Times New Roman" w:cs="Times New Roman"/>
          <w:sz w:val="28"/>
          <w:szCs w:val="28"/>
        </w:rPr>
        <w:t>Доклад, содержащий результаты обобщени</w:t>
      </w:r>
      <w:r w:rsidR="002B7347" w:rsidRPr="002B7347">
        <w:rPr>
          <w:rFonts w:ascii="Times New Roman" w:hAnsi="Times New Roman" w:cs="Times New Roman"/>
          <w:sz w:val="28"/>
          <w:szCs w:val="28"/>
        </w:rPr>
        <w:t>я правоприменительной практики</w:t>
      </w:r>
      <w:r w:rsidR="002B7347">
        <w:rPr>
          <w:rFonts w:ascii="Times New Roman" w:hAnsi="Times New Roman" w:cs="Times New Roman"/>
          <w:sz w:val="28"/>
          <w:szCs w:val="28"/>
        </w:rPr>
        <w:t>,</w:t>
      </w:r>
      <w:r w:rsidR="002B7347" w:rsidRPr="002B7347">
        <w:rPr>
          <w:rFonts w:ascii="Times New Roman" w:hAnsi="Times New Roman" w:cs="Times New Roman"/>
          <w:sz w:val="28"/>
          <w:szCs w:val="28"/>
        </w:rPr>
        <w:t xml:space="preserve"> </w:t>
      </w:r>
      <w:r w:rsidR="002B7347">
        <w:rPr>
          <w:rFonts w:ascii="Times New Roman" w:hAnsi="Times New Roman" w:cs="Times New Roman"/>
          <w:sz w:val="28"/>
          <w:szCs w:val="28"/>
        </w:rPr>
        <w:t xml:space="preserve">был </w:t>
      </w:r>
      <w:r w:rsidR="002B7347" w:rsidRPr="002B7347">
        <w:rPr>
          <w:rFonts w:ascii="Times New Roman" w:hAnsi="Times New Roman" w:cs="Times New Roman"/>
          <w:sz w:val="28"/>
          <w:szCs w:val="28"/>
        </w:rPr>
        <w:t xml:space="preserve">утвержден и размещен </w:t>
      </w:r>
      <w:r w:rsidRPr="002B7347">
        <w:rPr>
          <w:rFonts w:ascii="Times New Roman" w:hAnsi="Times New Roman" w:cs="Times New Roman"/>
          <w:sz w:val="28"/>
          <w:szCs w:val="28"/>
        </w:rPr>
        <w:t>на официальном сайте департамента</w:t>
      </w:r>
      <w:r w:rsidR="002B7347" w:rsidRPr="002B734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852326">
        <w:rPr>
          <w:rFonts w:ascii="Times New Roman" w:hAnsi="Times New Roman" w:cs="Times New Roman"/>
          <w:sz w:val="28"/>
          <w:szCs w:val="28"/>
        </w:rPr>
        <w:t xml:space="preserve"> </w:t>
      </w:r>
      <w:r w:rsidR="002B7347">
        <w:rPr>
          <w:rFonts w:ascii="Times New Roman" w:hAnsi="Times New Roman" w:cs="Times New Roman"/>
          <w:sz w:val="28"/>
          <w:szCs w:val="28"/>
        </w:rPr>
        <w:t>в марте 2022 года.</w:t>
      </w:r>
    </w:p>
    <w:p w:rsidR="00C95D47" w:rsidRP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47">
        <w:rPr>
          <w:rFonts w:ascii="Times New Roman" w:hAnsi="Times New Roman" w:cs="Times New Roman"/>
          <w:sz w:val="28"/>
          <w:szCs w:val="28"/>
        </w:rPr>
        <w:t>Выдача предостережений осуществлялась уполномоченными должностными лицами департамента в соответствии с</w:t>
      </w:r>
      <w:r w:rsidR="002B7347">
        <w:rPr>
          <w:rFonts w:ascii="Times New Roman" w:hAnsi="Times New Roman" w:cs="Times New Roman"/>
          <w:sz w:val="28"/>
          <w:szCs w:val="28"/>
        </w:rPr>
        <w:t>о статьей 49 Федерального закона № 248-ФЗ</w:t>
      </w:r>
      <w:r w:rsidRPr="00C95D47">
        <w:rPr>
          <w:rFonts w:ascii="Times New Roman" w:hAnsi="Times New Roman" w:cs="Times New Roman"/>
          <w:sz w:val="28"/>
          <w:szCs w:val="28"/>
        </w:rPr>
        <w:t xml:space="preserve"> в целях минимизация возможных рисков нарушения контролируемыми лицами обязательных требований. </w:t>
      </w:r>
    </w:p>
    <w:p w:rsidR="00C95D47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5D47">
        <w:rPr>
          <w:rFonts w:ascii="Times New Roman" w:hAnsi="Times New Roman" w:cs="Times New Roman"/>
          <w:sz w:val="28"/>
          <w:szCs w:val="28"/>
        </w:rPr>
        <w:t xml:space="preserve"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</w:t>
      </w:r>
      <w:r w:rsidR="003D1CB8" w:rsidRPr="003D1CB8">
        <w:rPr>
          <w:rFonts w:ascii="Times New Roman" w:hAnsi="Times New Roman" w:cs="Times New Roman"/>
          <w:sz w:val="28"/>
          <w:szCs w:val="28"/>
        </w:rPr>
        <w:t>статьей 49 Федерального закона № 248-ФЗ</w:t>
      </w:r>
      <w:r w:rsidRPr="00C95D47">
        <w:rPr>
          <w:rFonts w:ascii="Times New Roman" w:hAnsi="Times New Roman" w:cs="Times New Roman"/>
          <w:sz w:val="28"/>
          <w:szCs w:val="28"/>
        </w:rPr>
        <w:t>.</w:t>
      </w:r>
    </w:p>
    <w:p w:rsidR="003D1CB8" w:rsidRDefault="003D1CB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B8">
        <w:rPr>
          <w:rFonts w:ascii="Times New Roman" w:hAnsi="Times New Roman" w:cs="Times New Roman"/>
          <w:sz w:val="28"/>
          <w:szCs w:val="28"/>
        </w:rPr>
        <w:t>В 2022 году департаменто</w:t>
      </w:r>
      <w:r w:rsidR="006B587E">
        <w:rPr>
          <w:rFonts w:ascii="Times New Roman" w:hAnsi="Times New Roman" w:cs="Times New Roman"/>
          <w:sz w:val="28"/>
          <w:szCs w:val="28"/>
        </w:rPr>
        <w:t>м</w:t>
      </w:r>
      <w:r w:rsidRPr="003D1CB8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851267">
        <w:rPr>
          <w:rFonts w:ascii="Times New Roman" w:hAnsi="Times New Roman" w:cs="Times New Roman"/>
          <w:sz w:val="28"/>
          <w:szCs w:val="28"/>
        </w:rPr>
        <w:t>6</w:t>
      </w:r>
      <w:r w:rsidRPr="003D1CB8">
        <w:rPr>
          <w:rFonts w:ascii="Times New Roman" w:hAnsi="Times New Roman" w:cs="Times New Roman"/>
          <w:sz w:val="28"/>
          <w:szCs w:val="28"/>
        </w:rPr>
        <w:t xml:space="preserve"> предостережений. </w:t>
      </w:r>
    </w:p>
    <w:p w:rsidR="006B587E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B587E">
        <w:rPr>
          <w:rFonts w:ascii="Times New Roman" w:hAnsi="Times New Roman" w:cs="Times New Roman"/>
          <w:sz w:val="28"/>
          <w:szCs w:val="28"/>
        </w:rPr>
        <w:t>(</w:t>
      </w:r>
      <w:r w:rsidR="006B587E" w:rsidRPr="006B587E">
        <w:rPr>
          <w:rFonts w:ascii="Times New Roman" w:hAnsi="Times New Roman" w:cs="Times New Roman"/>
          <w:sz w:val="28"/>
          <w:szCs w:val="28"/>
        </w:rPr>
        <w:t>разъяснения по вопросам, связанным с организацией и осуществлением государственного контроля (надзора)</w:t>
      </w:r>
      <w:r w:rsidR="006B587E">
        <w:rPr>
          <w:rFonts w:ascii="Times New Roman" w:hAnsi="Times New Roman" w:cs="Times New Roman"/>
          <w:sz w:val="28"/>
          <w:szCs w:val="28"/>
        </w:rPr>
        <w:t xml:space="preserve">) </w:t>
      </w:r>
      <w:r w:rsidR="006B587E" w:rsidRPr="006B587E">
        <w:rPr>
          <w:rFonts w:ascii="Times New Roman" w:hAnsi="Times New Roman" w:cs="Times New Roman"/>
          <w:sz w:val="28"/>
          <w:szCs w:val="28"/>
        </w:rPr>
        <w:t>по обращениям контролируемых лиц</w:t>
      </w:r>
      <w:r w:rsidR="006B587E">
        <w:rPr>
          <w:rFonts w:ascii="Times New Roman" w:hAnsi="Times New Roman" w:cs="Times New Roman"/>
          <w:sz w:val="28"/>
          <w:szCs w:val="28"/>
        </w:rPr>
        <w:t xml:space="preserve"> </w:t>
      </w:r>
      <w:r w:rsidR="006B587E" w:rsidRPr="006B587E">
        <w:rPr>
          <w:rFonts w:ascii="Times New Roman" w:hAnsi="Times New Roman" w:cs="Times New Roman"/>
          <w:sz w:val="28"/>
          <w:szCs w:val="28"/>
        </w:rPr>
        <w:t>осуществля</w:t>
      </w:r>
      <w:r w:rsidR="006B587E">
        <w:rPr>
          <w:rFonts w:ascii="Times New Roman" w:hAnsi="Times New Roman" w:cs="Times New Roman"/>
          <w:sz w:val="28"/>
          <w:szCs w:val="28"/>
        </w:rPr>
        <w:t xml:space="preserve">лось </w:t>
      </w:r>
      <w:r w:rsidR="006B587E" w:rsidRPr="006B587E">
        <w:rPr>
          <w:rFonts w:ascii="Times New Roman" w:hAnsi="Times New Roman" w:cs="Times New Roman"/>
          <w:sz w:val="28"/>
          <w:szCs w:val="28"/>
        </w:rPr>
        <w:t xml:space="preserve">сотрудниками департамента ежедневно на постоянной основе </w:t>
      </w:r>
      <w:r w:rsidRPr="00C830C7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851267">
        <w:rPr>
          <w:rFonts w:ascii="Times New Roman" w:hAnsi="Times New Roman" w:cs="Times New Roman"/>
          <w:sz w:val="28"/>
          <w:szCs w:val="28"/>
        </w:rPr>
        <w:t xml:space="preserve">и устной (на личном приеме, по телефону и т.д.) </w:t>
      </w:r>
      <w:r w:rsidRPr="00C830C7">
        <w:rPr>
          <w:rFonts w:ascii="Times New Roman" w:hAnsi="Times New Roman" w:cs="Times New Roman"/>
          <w:sz w:val="28"/>
          <w:szCs w:val="28"/>
        </w:rPr>
        <w:t>формах</w:t>
      </w:r>
      <w:r w:rsidR="006B58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326" w:rsidRPr="006B587E" w:rsidRDefault="006B587E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департаментом</w:t>
      </w:r>
      <w:r w:rsidRPr="006B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851267">
        <w:rPr>
          <w:rFonts w:ascii="Times New Roman" w:hAnsi="Times New Roman" w:cs="Times New Roman"/>
          <w:sz w:val="28"/>
          <w:szCs w:val="28"/>
        </w:rPr>
        <w:t xml:space="preserve">340 </w:t>
      </w:r>
      <w:r w:rsidR="00852326" w:rsidRPr="006B587E">
        <w:rPr>
          <w:rFonts w:ascii="Times New Roman" w:hAnsi="Times New Roman" w:cs="Times New Roman"/>
          <w:sz w:val="28"/>
          <w:szCs w:val="28"/>
        </w:rPr>
        <w:t>конс</w:t>
      </w:r>
      <w:r w:rsidRPr="006B587E">
        <w:rPr>
          <w:rFonts w:ascii="Times New Roman" w:hAnsi="Times New Roman" w:cs="Times New Roman"/>
          <w:sz w:val="28"/>
          <w:szCs w:val="28"/>
        </w:rPr>
        <w:t>у</w:t>
      </w:r>
      <w:r w:rsidR="00852326" w:rsidRPr="006B587E">
        <w:rPr>
          <w:rFonts w:ascii="Times New Roman" w:hAnsi="Times New Roman" w:cs="Times New Roman"/>
          <w:sz w:val="28"/>
          <w:szCs w:val="28"/>
        </w:rPr>
        <w:t>льтирований</w:t>
      </w:r>
      <w:r w:rsidRPr="006B587E">
        <w:rPr>
          <w:rFonts w:ascii="Times New Roman" w:hAnsi="Times New Roman" w:cs="Times New Roman"/>
          <w:sz w:val="28"/>
          <w:szCs w:val="28"/>
        </w:rPr>
        <w:t>.</w:t>
      </w:r>
    </w:p>
    <w:p w:rsidR="00852326" w:rsidRDefault="00852326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16">
        <w:rPr>
          <w:rFonts w:ascii="Times New Roman" w:hAnsi="Times New Roman" w:cs="Times New Roman"/>
          <w:sz w:val="28"/>
          <w:szCs w:val="28"/>
        </w:rPr>
        <w:t>Проф</w:t>
      </w:r>
      <w:r w:rsidR="00E02216" w:rsidRPr="00E02216">
        <w:rPr>
          <w:rFonts w:ascii="Times New Roman" w:hAnsi="Times New Roman" w:cs="Times New Roman"/>
          <w:sz w:val="28"/>
          <w:szCs w:val="28"/>
        </w:rPr>
        <w:t>илактические визы проводились в течение года при возникновении оснований</w:t>
      </w:r>
      <w:r w:rsidR="00E02216">
        <w:rPr>
          <w:rFonts w:ascii="Times New Roman" w:hAnsi="Times New Roman" w:cs="Times New Roman"/>
          <w:sz w:val="28"/>
          <w:szCs w:val="28"/>
        </w:rPr>
        <w:t>.</w:t>
      </w:r>
    </w:p>
    <w:p w:rsidR="007A2B09" w:rsidRDefault="007A2B09" w:rsidP="00C8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Проблемами, на решение которых направлена Программа, являются: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A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B09">
        <w:rPr>
          <w:rFonts w:ascii="Times New Roman" w:hAnsi="Times New Roman" w:cs="Times New Roman"/>
          <w:sz w:val="28"/>
          <w:szCs w:val="28"/>
        </w:rPr>
        <w:t xml:space="preserve">недостаточный уровень правовой грамотности контролируемых </w:t>
      </w:r>
      <w:r>
        <w:rPr>
          <w:rFonts w:ascii="Times New Roman" w:hAnsi="Times New Roman" w:cs="Times New Roman"/>
          <w:sz w:val="28"/>
          <w:szCs w:val="28"/>
        </w:rPr>
        <w:t>лиц;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A210F" w:rsidRPr="001A2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170A">
        <w:rPr>
          <w:rFonts w:ascii="Times New Roman" w:hAnsi="Times New Roman" w:cs="Times New Roman"/>
          <w:sz w:val="28"/>
          <w:szCs w:val="28"/>
        </w:rPr>
        <w:t>неправильное</w:t>
      </w:r>
      <w:r w:rsidR="001A210F" w:rsidRPr="001A210F">
        <w:rPr>
          <w:rFonts w:ascii="Times New Roman" w:hAnsi="Times New Roman" w:cs="Times New Roman"/>
          <w:sz w:val="28"/>
          <w:szCs w:val="28"/>
        </w:rPr>
        <w:t xml:space="preserve">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</w:t>
      </w:r>
      <w:r w:rsidR="00BB2283">
        <w:rPr>
          <w:rFonts w:ascii="Times New Roman" w:hAnsi="Times New Roman" w:cs="Times New Roman"/>
          <w:sz w:val="28"/>
          <w:szCs w:val="28"/>
        </w:rPr>
        <w:t>.</w:t>
      </w:r>
    </w:p>
    <w:p w:rsidR="00051046" w:rsidRPr="001A210F" w:rsidRDefault="00C830C7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BB0" w:rsidRPr="00D72AAA" w:rsidRDefault="00D72AAA" w:rsidP="00D72AAA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A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AF7BB0" w:rsidRPr="00D72AAA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>Цел</w:t>
      </w:r>
      <w:r w:rsidR="00AF7BB0" w:rsidRPr="00D72AAA">
        <w:rPr>
          <w:rFonts w:ascii="Times New Roman" w:hAnsi="Times New Roman" w:cs="Times New Roman"/>
          <w:sz w:val="28"/>
          <w:szCs w:val="28"/>
        </w:rPr>
        <w:t>и реализации программы профилактики: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 департамента</w:t>
      </w:r>
      <w:r w:rsidR="00DE3F8F" w:rsidRPr="00D72A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F90" w:rsidRPr="00D72AAA" w:rsidRDefault="00AF7BB0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r w:rsidR="00FB0C0B" w:rsidRPr="00D72AAA">
        <w:rPr>
          <w:rFonts w:ascii="Times New Roman" w:hAnsi="Times New Roman" w:cs="Times New Roman"/>
          <w:sz w:val="28"/>
          <w:szCs w:val="28"/>
        </w:rPr>
        <w:t>позволит решить следующие задачи: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lastRenderedPageBreak/>
        <w:t>- выявление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определение способов устранения или снижения рисков их возникновения;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сбор статистических данных, необходимых для организации профилактической работы;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создание системы консультирования, информирования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оценка состояния подконтрольной сферы;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формирование единого понимания обязательных требований у всех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мотивация контролируемых лиц к добросовестному поведению;</w:t>
      </w:r>
    </w:p>
    <w:p w:rsidR="00B64462" w:rsidRPr="00521C63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снижение административной нагрузки на контролируемых лиц.</w:t>
      </w:r>
    </w:p>
    <w:p w:rsidR="00EC2CDF" w:rsidRDefault="00EC2CDF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210F">
        <w:rPr>
          <w:rFonts w:ascii="Times New Roman" w:hAnsi="Times New Roman" w:cs="Times New Roman"/>
          <w:b/>
          <w:sz w:val="28"/>
          <w:szCs w:val="28"/>
        </w:rPr>
        <w:t>П</w:t>
      </w:r>
      <w:r w:rsidR="001A210F" w:rsidRPr="001A210F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D535AE" w:rsidRPr="002D4937" w:rsidRDefault="00236F5F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B226B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</w:t>
      </w:r>
      <w:r w:rsidR="00623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06E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-графику профилактических мероприятий, направленных на профилактику нарушений обязательных требований, изложенному в </w:t>
      </w:r>
      <w:r w:rsidR="00D535AE" w:rsidRPr="00EC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5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B6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План-график содержит описание формы, периодичность проведения, адресатов мероприятия</w:t>
      </w:r>
      <w:r w:rsidR="002D4937" w:rsidRPr="002D4937">
        <w:rPr>
          <w:rFonts w:ascii="Times New Roman" w:hAnsi="Times New Roman" w:cs="Times New Roman"/>
          <w:sz w:val="28"/>
          <w:szCs w:val="28"/>
        </w:rPr>
        <w:t>,</w:t>
      </w:r>
      <w:r w:rsidRPr="002D4937">
        <w:rPr>
          <w:rFonts w:ascii="Times New Roman" w:hAnsi="Times New Roman" w:cs="Times New Roman"/>
          <w:sz w:val="28"/>
          <w:szCs w:val="28"/>
        </w:rPr>
        <w:t xml:space="preserve"> </w:t>
      </w:r>
      <w:r w:rsidR="002D4937">
        <w:rPr>
          <w:rFonts w:ascii="Times New Roman" w:hAnsi="Times New Roman" w:cs="Times New Roman"/>
          <w:sz w:val="28"/>
          <w:szCs w:val="28"/>
        </w:rPr>
        <w:t>исполнителей, ответственных за проведение мероприятия.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852326">
        <w:rPr>
          <w:rFonts w:ascii="Times New Roman" w:hAnsi="Times New Roman" w:cs="Times New Roman"/>
          <w:sz w:val="28"/>
          <w:szCs w:val="28"/>
        </w:rPr>
        <w:t xml:space="preserve">в 2023 году будут проводиться </w:t>
      </w:r>
      <w:r w:rsidRPr="00236F5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, предусмотренные главой 10 Федерального закона № 248-ФЗ: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 недопустимости нарушения обязательных требований (далее – </w:t>
      </w:r>
      <w:r w:rsidR="00D06E34">
        <w:rPr>
          <w:rFonts w:ascii="Times New Roman" w:hAnsi="Times New Roman" w:cs="Times New Roman"/>
          <w:sz w:val="28"/>
          <w:szCs w:val="28"/>
        </w:rPr>
        <w:t>п</w:t>
      </w:r>
      <w:r w:rsidRPr="00236F5F">
        <w:rPr>
          <w:rFonts w:ascii="Times New Roman" w:hAnsi="Times New Roman" w:cs="Times New Roman"/>
          <w:sz w:val="28"/>
          <w:szCs w:val="28"/>
        </w:rPr>
        <w:t>редостережение);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Департамент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248-ФЗ.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</w:t>
      </w:r>
      <w:r w:rsidR="00B706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7065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до 12 марта и размещен на официальном сайте </w:t>
      </w:r>
      <w:r w:rsidR="00B7065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70659">
        <w:rPr>
          <w:rFonts w:ascii="Times New Roman" w:hAnsi="Times New Roman" w:cs="Times New Roman"/>
          <w:sz w:val="28"/>
          <w:szCs w:val="28"/>
        </w:rPr>
        <w:t>«</w:t>
      </w:r>
      <w:r w:rsidR="00B70659" w:rsidRPr="00B70659">
        <w:rPr>
          <w:rFonts w:ascii="Times New Roman" w:hAnsi="Times New Roman" w:cs="Times New Roman"/>
          <w:sz w:val="28"/>
          <w:szCs w:val="28"/>
        </w:rPr>
        <w:t>Интернет</w:t>
      </w:r>
      <w:r w:rsidR="00B70659">
        <w:rPr>
          <w:rFonts w:ascii="Times New Roman" w:hAnsi="Times New Roman" w:cs="Times New Roman"/>
          <w:sz w:val="28"/>
          <w:szCs w:val="28"/>
        </w:rPr>
        <w:t>»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 не позднее 3 дней со дня его </w:t>
      </w:r>
      <w:r w:rsidR="00B70659" w:rsidRPr="00B70659">
        <w:rPr>
          <w:rFonts w:ascii="Times New Roman" w:hAnsi="Times New Roman" w:cs="Times New Roman"/>
          <w:sz w:val="28"/>
          <w:szCs w:val="28"/>
        </w:rPr>
        <w:lastRenderedPageBreak/>
        <w:t>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C85671" w:rsidRPr="00C85671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EC2CDF">
        <w:rPr>
          <w:rFonts w:ascii="Times New Roman" w:hAnsi="Times New Roman" w:cs="Times New Roman"/>
          <w:sz w:val="28"/>
          <w:szCs w:val="28"/>
        </w:rPr>
        <w:t> </w:t>
      </w:r>
      <w:r w:rsidR="00C85671" w:rsidRPr="00C85671">
        <w:rPr>
          <w:rFonts w:ascii="Times New Roman" w:hAnsi="Times New Roman" w:cs="Times New Roman"/>
          <w:sz w:val="28"/>
          <w:szCs w:val="28"/>
        </w:rPr>
        <w:t xml:space="preserve">248-ФЗ и соответствующим положением о </w:t>
      </w:r>
      <w:r w:rsidR="002656BF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C85671" w:rsidRPr="00C85671">
        <w:rPr>
          <w:rFonts w:ascii="Times New Roman" w:hAnsi="Times New Roman" w:cs="Times New Roman"/>
          <w:sz w:val="28"/>
          <w:szCs w:val="28"/>
        </w:rPr>
        <w:t>государственном контроле (надзоре).</w:t>
      </w:r>
    </w:p>
    <w:p w:rsidR="00072736" w:rsidRPr="008C01C9" w:rsidRDefault="00236F5F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3.</w:t>
      </w:r>
      <w:r w:rsidR="00C830C7" w:rsidRPr="008C01C9">
        <w:rPr>
          <w:rFonts w:ascii="Times New Roman" w:hAnsi="Times New Roman" w:cs="Times New Roman"/>
          <w:sz w:val="28"/>
          <w:szCs w:val="28"/>
        </w:rPr>
        <w:t>6</w:t>
      </w:r>
      <w:r w:rsidRPr="008C01C9">
        <w:rPr>
          <w:rFonts w:ascii="Times New Roman" w:hAnsi="Times New Roman" w:cs="Times New Roman"/>
          <w:sz w:val="28"/>
          <w:szCs w:val="28"/>
        </w:rPr>
        <w:t>. </w:t>
      </w:r>
      <w:r w:rsidR="00072736" w:rsidRPr="008C01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8C01C9">
        <w:rPr>
          <w:rFonts w:ascii="Times New Roman" w:hAnsi="Times New Roman" w:cs="Times New Roman"/>
          <w:sz w:val="28"/>
          <w:szCs w:val="28"/>
        </w:rPr>
        <w:t xml:space="preserve">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8C01C9">
        <w:rPr>
          <w:rFonts w:ascii="Times New Roman" w:hAnsi="Times New Roman" w:cs="Times New Roman"/>
          <w:sz w:val="28"/>
          <w:szCs w:val="28"/>
        </w:rPr>
        <w:t>в ходе осуществления контрольного (надзорного) мероприятия или публичного мероприятия.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 xml:space="preserve">3.7. Должностные лица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C01C9">
        <w:rPr>
          <w:rFonts w:ascii="Times New Roman" w:hAnsi="Times New Roman" w:cs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В случае поступления в департамент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департамента письменного разъяснения, подписанного руководителем (заместителем руководителя) департамента.</w:t>
      </w:r>
    </w:p>
    <w:p w:rsidR="00D02CDE" w:rsidRPr="008C01C9" w:rsidRDefault="00236F5F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3.</w:t>
      </w:r>
      <w:r w:rsidR="00072736" w:rsidRPr="008C01C9">
        <w:rPr>
          <w:rFonts w:ascii="Times New Roman" w:hAnsi="Times New Roman" w:cs="Times New Roman"/>
          <w:sz w:val="28"/>
          <w:szCs w:val="28"/>
        </w:rPr>
        <w:t>8</w:t>
      </w:r>
      <w:r w:rsidRPr="008C01C9">
        <w:rPr>
          <w:rFonts w:ascii="Times New Roman" w:hAnsi="Times New Roman" w:cs="Times New Roman"/>
          <w:sz w:val="28"/>
          <w:szCs w:val="28"/>
        </w:rPr>
        <w:t>. </w:t>
      </w:r>
      <w:r w:rsidR="00D02CDE" w:rsidRPr="008C01C9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департаментом в отношении контролируемых лиц, приступающих к осуществлению регулируемых видов деятельности в </w:t>
      </w:r>
      <w:r w:rsidR="0039170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02CDE" w:rsidRPr="008C01C9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(тарифов).</w:t>
      </w:r>
    </w:p>
    <w:p w:rsidR="00D02CDE" w:rsidRPr="008C01C9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должностным лицом</w:t>
      </w:r>
      <w:r w:rsidR="00F0493C" w:rsidRPr="008C01C9">
        <w:t xml:space="preserve"> </w:t>
      </w:r>
      <w:r w:rsidR="00F0493C" w:rsidRPr="008C01C9">
        <w:rPr>
          <w:rFonts w:ascii="Times New Roman" w:hAnsi="Times New Roman" w:cs="Times New Roman"/>
          <w:sz w:val="28"/>
          <w:szCs w:val="28"/>
        </w:rPr>
        <w:t>департамента</w:t>
      </w:r>
      <w:r w:rsidRPr="008C01C9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в соответствии со статьей 52 Федерального закона № 248-ФЗ.</w:t>
      </w:r>
    </w:p>
    <w:p w:rsidR="00D02CDE" w:rsidRPr="008C01C9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C01C9">
        <w:rPr>
          <w:rFonts w:ascii="Times New Roman" w:hAnsi="Times New Roman" w:cs="Times New Roman"/>
          <w:sz w:val="28"/>
          <w:szCs w:val="28"/>
        </w:rPr>
        <w:t>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регионального государственного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D02CDE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9817CD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3.</w:t>
      </w:r>
      <w:r w:rsidR="00072736">
        <w:rPr>
          <w:rFonts w:ascii="Times New Roman" w:hAnsi="Times New Roman" w:cs="Times New Roman"/>
          <w:sz w:val="28"/>
          <w:szCs w:val="28"/>
        </w:rPr>
        <w:t>9</w:t>
      </w:r>
      <w:r w:rsidR="00FF6C8D" w:rsidRPr="002256F5">
        <w:rPr>
          <w:rFonts w:ascii="Times New Roman" w:hAnsi="Times New Roman" w:cs="Times New Roman"/>
          <w:sz w:val="28"/>
          <w:szCs w:val="28"/>
        </w:rPr>
        <w:t>.</w:t>
      </w:r>
      <w:r w:rsidR="00796E49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2256F5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2256F5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 w:rsidRPr="002256F5">
        <w:rPr>
          <w:rFonts w:ascii="Times New Roman" w:hAnsi="Times New Roman" w:cs="Times New Roman"/>
          <w:sz w:val="28"/>
          <w:szCs w:val="28"/>
        </w:rPr>
        <w:t>й</w:t>
      </w:r>
      <w:r w:rsidR="009817CD" w:rsidRPr="002256F5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072736">
        <w:rPr>
          <w:rFonts w:ascii="Times New Roman" w:hAnsi="Times New Roman" w:cs="Times New Roman"/>
          <w:sz w:val="28"/>
          <w:szCs w:val="28"/>
        </w:rPr>
        <w:t>10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C17917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="0039170A" w:rsidRPr="0039170A">
        <w:t xml:space="preserve"> </w:t>
      </w:r>
      <w:r w:rsidR="0039170A" w:rsidRPr="0039170A">
        <w:rPr>
          <w:rFonts w:ascii="Times New Roman" w:hAnsi="Times New Roman" w:cs="Times New Roman"/>
          <w:sz w:val="28"/>
          <w:szCs w:val="28"/>
        </w:rPr>
        <w:t xml:space="preserve">заместители руководителя </w:t>
      </w:r>
      <w:r w:rsidR="0039170A" w:rsidRPr="0039170A">
        <w:rPr>
          <w:rFonts w:ascii="Times New Roman" w:hAnsi="Times New Roman" w:cs="Times New Roman"/>
          <w:sz w:val="28"/>
          <w:szCs w:val="28"/>
        </w:rPr>
        <w:lastRenderedPageBreak/>
        <w:t>департамента</w:t>
      </w:r>
      <w:r w:rsidR="0039170A">
        <w:rPr>
          <w:rFonts w:ascii="Times New Roman" w:hAnsi="Times New Roman" w:cs="Times New Roman"/>
          <w:sz w:val="28"/>
          <w:szCs w:val="28"/>
        </w:rPr>
        <w:t xml:space="preserve"> и структурные подразделения </w:t>
      </w:r>
      <w:r w:rsidR="0039170A" w:rsidRPr="0039170A">
        <w:rPr>
          <w:rFonts w:ascii="Times New Roman" w:hAnsi="Times New Roman" w:cs="Times New Roman"/>
          <w:sz w:val="28"/>
          <w:szCs w:val="28"/>
        </w:rPr>
        <w:t>департамента</w:t>
      </w:r>
      <w:r w:rsidR="0039170A">
        <w:rPr>
          <w:rFonts w:ascii="Times New Roman" w:hAnsi="Times New Roman" w:cs="Times New Roman"/>
          <w:sz w:val="28"/>
          <w:szCs w:val="28"/>
        </w:rPr>
        <w:t>.</w:t>
      </w:r>
    </w:p>
    <w:p w:rsidR="006655CE" w:rsidRPr="002256F5" w:rsidRDefault="00C85671" w:rsidP="00D771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6655CE" w:rsidRPr="002256F5">
        <w:rPr>
          <w:rFonts w:ascii="Times New Roman" w:hAnsi="Times New Roman" w:cs="Times New Roman"/>
          <w:sz w:val="28"/>
          <w:szCs w:val="28"/>
        </w:rPr>
        <w:t>.</w:t>
      </w:r>
      <w:r w:rsidR="002256F5">
        <w:rPr>
          <w:rFonts w:ascii="Times New Roman" w:hAnsi="Times New Roman" w:cs="Times New Roman"/>
          <w:sz w:val="28"/>
          <w:szCs w:val="28"/>
        </w:rPr>
        <w:t>1</w:t>
      </w:r>
      <w:r w:rsidR="00072736">
        <w:rPr>
          <w:rFonts w:ascii="Times New Roman" w:hAnsi="Times New Roman" w:cs="Times New Roman"/>
          <w:sz w:val="28"/>
          <w:szCs w:val="28"/>
        </w:rPr>
        <w:t>1</w:t>
      </w:r>
      <w:r w:rsidR="006655CE" w:rsidRPr="002256F5">
        <w:rPr>
          <w:rFonts w:ascii="Times New Roman" w:hAnsi="Times New Roman" w:cs="Times New Roman"/>
          <w:sz w:val="28"/>
          <w:szCs w:val="28"/>
        </w:rPr>
        <w:t>. </w:t>
      </w:r>
      <w:r w:rsidR="006425CF" w:rsidRPr="002256F5">
        <w:rPr>
          <w:rFonts w:ascii="Times New Roman" w:hAnsi="Times New Roman" w:cs="Times New Roman"/>
          <w:sz w:val="28"/>
          <w:szCs w:val="28"/>
        </w:rPr>
        <w:t>Ответственные исполнители мероприятий</w:t>
      </w:r>
      <w:r w:rsidR="00851267">
        <w:rPr>
          <w:rFonts w:ascii="Times New Roman" w:hAnsi="Times New Roman" w:cs="Times New Roman"/>
          <w:sz w:val="28"/>
          <w:szCs w:val="28"/>
        </w:rPr>
        <w:t xml:space="preserve"> (начальники структурных подразделений департамента)</w:t>
      </w:r>
      <w:r w:rsidR="006425CF" w:rsidRPr="002256F5">
        <w:rPr>
          <w:rFonts w:ascii="Times New Roman" w:hAnsi="Times New Roman" w:cs="Times New Roman"/>
          <w:sz w:val="28"/>
          <w:szCs w:val="28"/>
        </w:rPr>
        <w:t>, предусмотренных Программой: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</w:t>
      </w:r>
      <w:r w:rsidR="00D771AC" w:rsidRPr="002256F5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6425CF" w:rsidRPr="002256F5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подготавливают предложения по формированию (уточнению) перечня программных мероприятий на очередной </w:t>
      </w:r>
      <w:r w:rsidR="00B645A1" w:rsidRPr="002256F5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2256F5">
        <w:rPr>
          <w:rFonts w:ascii="Times New Roman" w:hAnsi="Times New Roman"/>
          <w:sz w:val="28"/>
          <w:szCs w:val="28"/>
        </w:rPr>
        <w:t>год</w:t>
      </w:r>
      <w:r w:rsidRPr="002256F5">
        <w:rPr>
          <w:rFonts w:ascii="Times New Roman" w:hAnsi="Times New Roman"/>
          <w:sz w:val="28"/>
          <w:szCs w:val="28"/>
        </w:rPr>
        <w:t>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ежеквартально в срок до 10 числа месяца, следующего за истекшим кварталом, представля</w:t>
      </w:r>
      <w:r w:rsidR="00B645A1" w:rsidRPr="002256F5">
        <w:rPr>
          <w:rFonts w:ascii="Times New Roman" w:hAnsi="Times New Roman"/>
          <w:sz w:val="28"/>
          <w:szCs w:val="28"/>
        </w:rPr>
        <w:t>ют</w:t>
      </w:r>
      <w:r w:rsidRPr="002256F5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6425CF" w:rsidRPr="002D4937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947482" w:rsidRDefault="00FF3227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1F60" w:rsidRPr="00947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482" w:rsidRPr="00947482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5950AE" w:rsidRPr="00947482">
        <w:rPr>
          <w:rFonts w:ascii="Times New Roman" w:hAnsi="Times New Roman" w:cs="Times New Roman"/>
          <w:b/>
          <w:sz w:val="28"/>
          <w:szCs w:val="28"/>
        </w:rPr>
        <w:t>П</w:t>
      </w:r>
      <w:r w:rsidR="006A1F60" w:rsidRPr="0094748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05E4C" w:rsidRPr="00947482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8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00306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Pr="00947482">
        <w:rPr>
          <w:rFonts w:ascii="Times New Roman" w:hAnsi="Times New Roman" w:cs="Times New Roman"/>
          <w:sz w:val="28"/>
          <w:szCs w:val="28"/>
        </w:rPr>
        <w:t>эффективности Программы осуществляется по итогам соответствующего года ее реализации.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45AB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программы: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снижение рисков причинения вреда охраняемым законом ценностям;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снижение количества зафиксированных нарушений обязательных требований;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уменьшение административной нагрузки на </w:t>
      </w:r>
      <w:r w:rsidR="00673FA2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F045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правовой грамотности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F045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доверия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контролируемых лиц </w:t>
      </w:r>
      <w:r w:rsidRPr="00F045AB">
        <w:rPr>
          <w:rFonts w:ascii="Times New Roman" w:hAnsi="Times New Roman" w:cs="Times New Roman"/>
          <w:bCs/>
          <w:sz w:val="28"/>
          <w:szCs w:val="28"/>
        </w:rPr>
        <w:t>к деятельности департамента;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соблюдения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>контролируемы</w:t>
      </w:r>
      <w:r w:rsidR="00673FA2">
        <w:rPr>
          <w:rFonts w:ascii="Times New Roman" w:hAnsi="Times New Roman" w:cs="Times New Roman"/>
          <w:bCs/>
          <w:sz w:val="28"/>
          <w:szCs w:val="28"/>
        </w:rPr>
        <w:t>ми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673FA2">
        <w:rPr>
          <w:rFonts w:ascii="Times New Roman" w:hAnsi="Times New Roman" w:cs="Times New Roman"/>
          <w:bCs/>
          <w:sz w:val="28"/>
          <w:szCs w:val="28"/>
        </w:rPr>
        <w:t>ами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5AB">
        <w:rPr>
          <w:rFonts w:ascii="Times New Roman" w:hAnsi="Times New Roman" w:cs="Times New Roman"/>
          <w:bCs/>
          <w:sz w:val="28"/>
          <w:szCs w:val="28"/>
        </w:rPr>
        <w:t>обязательных требований;</w:t>
      </w:r>
    </w:p>
    <w:p w:rsidR="00C60CE6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регионального государственного контроля (надзора) за счет </w:t>
      </w:r>
      <w:proofErr w:type="gramStart"/>
      <w:r w:rsidRPr="00F045AB">
        <w:rPr>
          <w:rFonts w:ascii="Times New Roman" w:hAnsi="Times New Roman" w:cs="Times New Roman"/>
          <w:bCs/>
          <w:sz w:val="28"/>
          <w:szCs w:val="28"/>
        </w:rPr>
        <w:t>развития системы профилактики нарушений обязательных требований</w:t>
      </w:r>
      <w:proofErr w:type="gramEnd"/>
      <w:r w:rsidR="00FF322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4BD" w:rsidRDefault="007E44BD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578"/>
        <w:gridCol w:w="1927"/>
      </w:tblGrid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78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 показатель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8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578" w:type="dxa"/>
          </w:tcPr>
          <w:p w:rsidR="00FF3227" w:rsidRPr="00FF3227" w:rsidRDefault="00FF3227" w:rsidP="00A2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выполнено 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78" w:type="dxa"/>
          </w:tcPr>
          <w:p w:rsidR="00FF3227" w:rsidRPr="00FF3227" w:rsidRDefault="00F775CB" w:rsidP="00F0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Март </w:t>
            </w:r>
            <w:r w:rsidR="00FF3227"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</w:t>
            </w:r>
            <w:r w:rsidR="00F02BF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FF3227"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предостережений</w:t>
            </w:r>
          </w:p>
        </w:tc>
        <w:tc>
          <w:tcPr>
            <w:tcW w:w="2578" w:type="dxa"/>
          </w:tcPr>
          <w:p w:rsidR="00FF3227" w:rsidRPr="00FF3227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2578" w:type="dxa"/>
          </w:tcPr>
          <w:p w:rsidR="00FF3227" w:rsidRPr="00A20B33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</w:t>
            </w:r>
            <w:r w:rsidR="00A20B33"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визиты</w:t>
            </w:r>
          </w:p>
        </w:tc>
        <w:tc>
          <w:tcPr>
            <w:tcW w:w="2578" w:type="dxa"/>
          </w:tcPr>
          <w:p w:rsidR="00FF3227" w:rsidRPr="00FF3227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03229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31BE" w:rsidRDefault="00EC2CDF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B31BE" w:rsidRPr="00367AED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367AED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2BFA">
        <w:rPr>
          <w:rFonts w:ascii="Times New Roman" w:hAnsi="Times New Roman" w:cs="Times New Roman"/>
          <w:b/>
          <w:sz w:val="28"/>
          <w:szCs w:val="28"/>
        </w:rPr>
        <w:t>3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947482" w:rsidTr="000D536F">
        <w:tc>
          <w:tcPr>
            <w:tcW w:w="630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694BB5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947482" w:rsidTr="00C72BF8">
        <w:trPr>
          <w:trHeight w:val="1169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694BB5" w:rsidRDefault="00164EAC" w:rsidP="00A2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F07B15">
        <w:trPr>
          <w:trHeight w:val="1902"/>
        </w:trPr>
        <w:tc>
          <w:tcPr>
            <w:tcW w:w="630" w:type="dxa"/>
          </w:tcPr>
          <w:p w:rsidR="00164EAC" w:rsidRPr="00694BB5" w:rsidRDefault="003D142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694BB5" w:rsidRDefault="00A20B33" w:rsidP="0026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 xml:space="preserve">отовится не реже одного раза в год в срок не позднее 1 марта года, следующего за отчетным годом, утверждается приказом руководителя департамента </w:t>
            </w:r>
            <w:r w:rsidR="002656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0D536F">
        <w:trPr>
          <w:trHeight w:val="71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69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947482" w:rsidTr="000D536F">
        <w:trPr>
          <w:trHeight w:val="67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A20B33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r w:rsidR="00A20B33" w:rsidRPr="00A20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947482" w:rsidTr="00D061C3">
        <w:trPr>
          <w:trHeight w:val="1597"/>
        </w:trPr>
        <w:tc>
          <w:tcPr>
            <w:tcW w:w="63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694BB5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83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694BB5" w:rsidRDefault="00A20B33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33">
              <w:rPr>
                <w:rFonts w:ascii="Times New Roman" w:hAnsi="Times New Roman" w:cs="Times New Roman"/>
                <w:sz w:val="24"/>
                <w:szCs w:val="24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576769" w:rsidRPr="00694BB5" w:rsidRDefault="00694BB5" w:rsidP="005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</w:t>
            </w:r>
            <w:r w:rsidR="000B140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5D6A28">
              <w:rPr>
                <w:rFonts w:ascii="Times New Roman" w:hAnsi="Times New Roman" w:cs="Times New Roman"/>
                <w:sz w:val="24"/>
                <w:szCs w:val="24"/>
              </w:rPr>
              <w:t>ого регулирования цен (тарифов)</w:t>
            </w:r>
          </w:p>
        </w:tc>
        <w:tc>
          <w:tcPr>
            <w:tcW w:w="241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3B31BE" w:rsidRDefault="003B31BE" w:rsidP="003D1429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45" w:rsidRDefault="00622D45" w:rsidP="00AA1825">
      <w:pPr>
        <w:spacing w:after="0" w:line="240" w:lineRule="auto"/>
      </w:pPr>
      <w:r>
        <w:separator/>
      </w:r>
    </w:p>
  </w:endnote>
  <w:endnote w:type="continuationSeparator" w:id="0">
    <w:p w:rsidR="00622D45" w:rsidRDefault="00622D45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45" w:rsidRDefault="00622D45" w:rsidP="00AA1825">
      <w:pPr>
        <w:spacing w:after="0" w:line="240" w:lineRule="auto"/>
      </w:pPr>
      <w:r>
        <w:separator/>
      </w:r>
    </w:p>
  </w:footnote>
  <w:footnote w:type="continuationSeparator" w:id="0">
    <w:p w:rsidR="00622D45" w:rsidRDefault="00622D45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09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563D9"/>
    <w:multiLevelType w:val="multilevel"/>
    <w:tmpl w:val="6DFA7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8A82513"/>
    <w:multiLevelType w:val="multilevel"/>
    <w:tmpl w:val="FB3834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1800"/>
      </w:pPr>
      <w:rPr>
        <w:rFonts w:hint="default"/>
      </w:rPr>
    </w:lvl>
  </w:abstractNum>
  <w:abstractNum w:abstractNumId="10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70AC"/>
    <w:rsid w:val="0003229A"/>
    <w:rsid w:val="00045D09"/>
    <w:rsid w:val="000472E1"/>
    <w:rsid w:val="00051046"/>
    <w:rsid w:val="00056280"/>
    <w:rsid w:val="00072736"/>
    <w:rsid w:val="00076ECC"/>
    <w:rsid w:val="000800F7"/>
    <w:rsid w:val="000824AB"/>
    <w:rsid w:val="00094032"/>
    <w:rsid w:val="000A4D1B"/>
    <w:rsid w:val="000A5D5F"/>
    <w:rsid w:val="000A6912"/>
    <w:rsid w:val="000B06AE"/>
    <w:rsid w:val="000B140E"/>
    <w:rsid w:val="000B226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E1C80"/>
    <w:rsid w:val="000F3507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4F11"/>
    <w:rsid w:val="00137D0F"/>
    <w:rsid w:val="001426C2"/>
    <w:rsid w:val="0014659A"/>
    <w:rsid w:val="00147289"/>
    <w:rsid w:val="001506A2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55E8"/>
    <w:rsid w:val="001A210F"/>
    <w:rsid w:val="001A388E"/>
    <w:rsid w:val="001A42F4"/>
    <w:rsid w:val="001A6EB7"/>
    <w:rsid w:val="001B2AB0"/>
    <w:rsid w:val="001B41B9"/>
    <w:rsid w:val="001C0CD4"/>
    <w:rsid w:val="001C24A2"/>
    <w:rsid w:val="001C353B"/>
    <w:rsid w:val="001C7553"/>
    <w:rsid w:val="001D03D3"/>
    <w:rsid w:val="001D5109"/>
    <w:rsid w:val="001D54DF"/>
    <w:rsid w:val="001E0E85"/>
    <w:rsid w:val="001E7501"/>
    <w:rsid w:val="00200F2A"/>
    <w:rsid w:val="0020565D"/>
    <w:rsid w:val="0021315D"/>
    <w:rsid w:val="0021558F"/>
    <w:rsid w:val="00221C41"/>
    <w:rsid w:val="00222DED"/>
    <w:rsid w:val="002256F5"/>
    <w:rsid w:val="00227898"/>
    <w:rsid w:val="00230367"/>
    <w:rsid w:val="00236F5F"/>
    <w:rsid w:val="00244A9C"/>
    <w:rsid w:val="00246504"/>
    <w:rsid w:val="00247655"/>
    <w:rsid w:val="002544B3"/>
    <w:rsid w:val="00261ECE"/>
    <w:rsid w:val="00264CD7"/>
    <w:rsid w:val="002656BF"/>
    <w:rsid w:val="00267499"/>
    <w:rsid w:val="0027048C"/>
    <w:rsid w:val="002776F6"/>
    <w:rsid w:val="00285684"/>
    <w:rsid w:val="002870B8"/>
    <w:rsid w:val="002B7347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215A"/>
    <w:rsid w:val="00313AD7"/>
    <w:rsid w:val="00313DA8"/>
    <w:rsid w:val="003202A0"/>
    <w:rsid w:val="00322305"/>
    <w:rsid w:val="00331DC4"/>
    <w:rsid w:val="003369C5"/>
    <w:rsid w:val="00353D79"/>
    <w:rsid w:val="00354271"/>
    <w:rsid w:val="00355918"/>
    <w:rsid w:val="003560CF"/>
    <w:rsid w:val="0036282F"/>
    <w:rsid w:val="00362E45"/>
    <w:rsid w:val="0037748D"/>
    <w:rsid w:val="0038679C"/>
    <w:rsid w:val="0039170A"/>
    <w:rsid w:val="003928E6"/>
    <w:rsid w:val="003A282A"/>
    <w:rsid w:val="003A3036"/>
    <w:rsid w:val="003A51C9"/>
    <w:rsid w:val="003A77DB"/>
    <w:rsid w:val="003B31BE"/>
    <w:rsid w:val="003B6FDD"/>
    <w:rsid w:val="003C2F11"/>
    <w:rsid w:val="003C4A0D"/>
    <w:rsid w:val="003C6668"/>
    <w:rsid w:val="003D1429"/>
    <w:rsid w:val="003D1CB8"/>
    <w:rsid w:val="003D2639"/>
    <w:rsid w:val="003D4770"/>
    <w:rsid w:val="003E036D"/>
    <w:rsid w:val="003E05F8"/>
    <w:rsid w:val="003E5CEC"/>
    <w:rsid w:val="003F00FF"/>
    <w:rsid w:val="003F140A"/>
    <w:rsid w:val="003F2FBD"/>
    <w:rsid w:val="003F4136"/>
    <w:rsid w:val="004052B8"/>
    <w:rsid w:val="00405DC2"/>
    <w:rsid w:val="00406359"/>
    <w:rsid w:val="004132ED"/>
    <w:rsid w:val="00415D6A"/>
    <w:rsid w:val="00426268"/>
    <w:rsid w:val="00433B2D"/>
    <w:rsid w:val="00435F9B"/>
    <w:rsid w:val="004411F4"/>
    <w:rsid w:val="00446DD1"/>
    <w:rsid w:val="004518CF"/>
    <w:rsid w:val="00451AB5"/>
    <w:rsid w:val="00455337"/>
    <w:rsid w:val="00470A57"/>
    <w:rsid w:val="0047641F"/>
    <w:rsid w:val="0047789A"/>
    <w:rsid w:val="00481056"/>
    <w:rsid w:val="004A4CEF"/>
    <w:rsid w:val="004B4802"/>
    <w:rsid w:val="004B6534"/>
    <w:rsid w:val="004C1CEA"/>
    <w:rsid w:val="004C56A8"/>
    <w:rsid w:val="004D2F75"/>
    <w:rsid w:val="004D322F"/>
    <w:rsid w:val="004D43F8"/>
    <w:rsid w:val="004E0CD3"/>
    <w:rsid w:val="004E1E44"/>
    <w:rsid w:val="004F144C"/>
    <w:rsid w:val="004F29DA"/>
    <w:rsid w:val="004F55CC"/>
    <w:rsid w:val="004F613E"/>
    <w:rsid w:val="005017BA"/>
    <w:rsid w:val="00505938"/>
    <w:rsid w:val="00505E4C"/>
    <w:rsid w:val="005135EA"/>
    <w:rsid w:val="0051418E"/>
    <w:rsid w:val="0051422A"/>
    <w:rsid w:val="00521C63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5D6"/>
    <w:rsid w:val="005950AE"/>
    <w:rsid w:val="005967F4"/>
    <w:rsid w:val="005A18F1"/>
    <w:rsid w:val="005A5FD0"/>
    <w:rsid w:val="005B737B"/>
    <w:rsid w:val="005C3912"/>
    <w:rsid w:val="005C6B1A"/>
    <w:rsid w:val="005D60CE"/>
    <w:rsid w:val="005D6A28"/>
    <w:rsid w:val="005D6C9F"/>
    <w:rsid w:val="005F0B5C"/>
    <w:rsid w:val="005F4B08"/>
    <w:rsid w:val="00600FBC"/>
    <w:rsid w:val="00603548"/>
    <w:rsid w:val="006044EA"/>
    <w:rsid w:val="006215C3"/>
    <w:rsid w:val="00621780"/>
    <w:rsid w:val="00622D45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4AC6"/>
    <w:rsid w:val="006465F5"/>
    <w:rsid w:val="00650303"/>
    <w:rsid w:val="0065126A"/>
    <w:rsid w:val="0065752F"/>
    <w:rsid w:val="00661D6D"/>
    <w:rsid w:val="00661EF7"/>
    <w:rsid w:val="0066442C"/>
    <w:rsid w:val="006655CE"/>
    <w:rsid w:val="00673FA2"/>
    <w:rsid w:val="006743DB"/>
    <w:rsid w:val="00676B58"/>
    <w:rsid w:val="006851F0"/>
    <w:rsid w:val="006855E3"/>
    <w:rsid w:val="006912ED"/>
    <w:rsid w:val="00694BB5"/>
    <w:rsid w:val="006A1F60"/>
    <w:rsid w:val="006A69C2"/>
    <w:rsid w:val="006B587E"/>
    <w:rsid w:val="006C4AFD"/>
    <w:rsid w:val="006D0250"/>
    <w:rsid w:val="006D1D31"/>
    <w:rsid w:val="006D2B3A"/>
    <w:rsid w:val="006D71E2"/>
    <w:rsid w:val="006D7447"/>
    <w:rsid w:val="006D7467"/>
    <w:rsid w:val="006E0411"/>
    <w:rsid w:val="006E2531"/>
    <w:rsid w:val="0070305E"/>
    <w:rsid w:val="00703FFF"/>
    <w:rsid w:val="00705799"/>
    <w:rsid w:val="00706611"/>
    <w:rsid w:val="007140BE"/>
    <w:rsid w:val="007234BB"/>
    <w:rsid w:val="00732C77"/>
    <w:rsid w:val="0074329F"/>
    <w:rsid w:val="0075043F"/>
    <w:rsid w:val="0076356D"/>
    <w:rsid w:val="00765007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A081A"/>
    <w:rsid w:val="007A13A9"/>
    <w:rsid w:val="007A2B09"/>
    <w:rsid w:val="007A5D2C"/>
    <w:rsid w:val="007A6774"/>
    <w:rsid w:val="007B00CE"/>
    <w:rsid w:val="007D246F"/>
    <w:rsid w:val="007D52DC"/>
    <w:rsid w:val="007E44BD"/>
    <w:rsid w:val="007E5BA5"/>
    <w:rsid w:val="007F1ECC"/>
    <w:rsid w:val="007F2565"/>
    <w:rsid w:val="007F25B3"/>
    <w:rsid w:val="007F3BEB"/>
    <w:rsid w:val="007F5F67"/>
    <w:rsid w:val="008017E5"/>
    <w:rsid w:val="0081459B"/>
    <w:rsid w:val="00826B49"/>
    <w:rsid w:val="00827179"/>
    <w:rsid w:val="00830258"/>
    <w:rsid w:val="00840026"/>
    <w:rsid w:val="00844996"/>
    <w:rsid w:val="00851267"/>
    <w:rsid w:val="00852326"/>
    <w:rsid w:val="0086178A"/>
    <w:rsid w:val="00872BB7"/>
    <w:rsid w:val="00872C8A"/>
    <w:rsid w:val="00890F02"/>
    <w:rsid w:val="0089470C"/>
    <w:rsid w:val="00895569"/>
    <w:rsid w:val="008C01C9"/>
    <w:rsid w:val="008C71C3"/>
    <w:rsid w:val="008D58B5"/>
    <w:rsid w:val="008D7DF2"/>
    <w:rsid w:val="008E40BD"/>
    <w:rsid w:val="008E7B27"/>
    <w:rsid w:val="008F7ED8"/>
    <w:rsid w:val="00900FD6"/>
    <w:rsid w:val="009039DE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73283"/>
    <w:rsid w:val="00980B34"/>
    <w:rsid w:val="009817CD"/>
    <w:rsid w:val="00981B13"/>
    <w:rsid w:val="0098681A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35F4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698C"/>
    <w:rsid w:val="00A46C48"/>
    <w:rsid w:val="00A51F5C"/>
    <w:rsid w:val="00A54A01"/>
    <w:rsid w:val="00A54C39"/>
    <w:rsid w:val="00A57953"/>
    <w:rsid w:val="00A619B6"/>
    <w:rsid w:val="00A639BE"/>
    <w:rsid w:val="00A64D6E"/>
    <w:rsid w:val="00A701D2"/>
    <w:rsid w:val="00A71A3D"/>
    <w:rsid w:val="00A749EA"/>
    <w:rsid w:val="00A76B40"/>
    <w:rsid w:val="00A90780"/>
    <w:rsid w:val="00A92F0E"/>
    <w:rsid w:val="00A970F4"/>
    <w:rsid w:val="00AA1825"/>
    <w:rsid w:val="00AA53CA"/>
    <w:rsid w:val="00AB1B8E"/>
    <w:rsid w:val="00AB76CD"/>
    <w:rsid w:val="00AC05C7"/>
    <w:rsid w:val="00AC20CE"/>
    <w:rsid w:val="00AE0FF0"/>
    <w:rsid w:val="00AF6CC3"/>
    <w:rsid w:val="00AF7BB0"/>
    <w:rsid w:val="00B047F2"/>
    <w:rsid w:val="00B1473F"/>
    <w:rsid w:val="00B15B75"/>
    <w:rsid w:val="00B1607D"/>
    <w:rsid w:val="00B173BB"/>
    <w:rsid w:val="00B27130"/>
    <w:rsid w:val="00B31DC4"/>
    <w:rsid w:val="00B32796"/>
    <w:rsid w:val="00B33F90"/>
    <w:rsid w:val="00B375B2"/>
    <w:rsid w:val="00B42B16"/>
    <w:rsid w:val="00B50C96"/>
    <w:rsid w:val="00B5126B"/>
    <w:rsid w:val="00B51E78"/>
    <w:rsid w:val="00B6357C"/>
    <w:rsid w:val="00B64367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6238"/>
    <w:rsid w:val="00B869AE"/>
    <w:rsid w:val="00B87A3C"/>
    <w:rsid w:val="00B901A6"/>
    <w:rsid w:val="00B923E9"/>
    <w:rsid w:val="00BA085C"/>
    <w:rsid w:val="00BA1C58"/>
    <w:rsid w:val="00BA62E4"/>
    <w:rsid w:val="00BB2283"/>
    <w:rsid w:val="00BB39E6"/>
    <w:rsid w:val="00BB6E1E"/>
    <w:rsid w:val="00BC0FD3"/>
    <w:rsid w:val="00BC512F"/>
    <w:rsid w:val="00BD4C55"/>
    <w:rsid w:val="00BE430C"/>
    <w:rsid w:val="00BE662C"/>
    <w:rsid w:val="00BF7903"/>
    <w:rsid w:val="00C00306"/>
    <w:rsid w:val="00C14895"/>
    <w:rsid w:val="00C14989"/>
    <w:rsid w:val="00C17917"/>
    <w:rsid w:val="00C36948"/>
    <w:rsid w:val="00C418CC"/>
    <w:rsid w:val="00C43F43"/>
    <w:rsid w:val="00C4625E"/>
    <w:rsid w:val="00C4777F"/>
    <w:rsid w:val="00C53569"/>
    <w:rsid w:val="00C5638D"/>
    <w:rsid w:val="00C57AB0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5D47"/>
    <w:rsid w:val="00C97C83"/>
    <w:rsid w:val="00CA29D6"/>
    <w:rsid w:val="00CA3943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12BFC"/>
    <w:rsid w:val="00D3100D"/>
    <w:rsid w:val="00D35EEF"/>
    <w:rsid w:val="00D42854"/>
    <w:rsid w:val="00D535AE"/>
    <w:rsid w:val="00D57592"/>
    <w:rsid w:val="00D60BCE"/>
    <w:rsid w:val="00D628C1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69BF"/>
    <w:rsid w:val="00DF738D"/>
    <w:rsid w:val="00E007C0"/>
    <w:rsid w:val="00E02216"/>
    <w:rsid w:val="00E0417C"/>
    <w:rsid w:val="00E1341D"/>
    <w:rsid w:val="00E15E80"/>
    <w:rsid w:val="00E44382"/>
    <w:rsid w:val="00E47A55"/>
    <w:rsid w:val="00E57289"/>
    <w:rsid w:val="00E90CB8"/>
    <w:rsid w:val="00E9202F"/>
    <w:rsid w:val="00E922D4"/>
    <w:rsid w:val="00E94BB5"/>
    <w:rsid w:val="00E96E17"/>
    <w:rsid w:val="00EA2E7B"/>
    <w:rsid w:val="00EA3382"/>
    <w:rsid w:val="00EC2834"/>
    <w:rsid w:val="00EC2CDF"/>
    <w:rsid w:val="00EC78B5"/>
    <w:rsid w:val="00ED29CC"/>
    <w:rsid w:val="00ED3332"/>
    <w:rsid w:val="00ED644E"/>
    <w:rsid w:val="00ED74B4"/>
    <w:rsid w:val="00EF5AE7"/>
    <w:rsid w:val="00EF7509"/>
    <w:rsid w:val="00F02BFA"/>
    <w:rsid w:val="00F045AB"/>
    <w:rsid w:val="00F0493C"/>
    <w:rsid w:val="00F07B15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40DCF"/>
    <w:rsid w:val="00F617DA"/>
    <w:rsid w:val="00F655F9"/>
    <w:rsid w:val="00F66CEC"/>
    <w:rsid w:val="00F67C02"/>
    <w:rsid w:val="00F70774"/>
    <w:rsid w:val="00F70D58"/>
    <w:rsid w:val="00F72C97"/>
    <w:rsid w:val="00F73415"/>
    <w:rsid w:val="00F7366C"/>
    <w:rsid w:val="00F76C20"/>
    <w:rsid w:val="00F7729E"/>
    <w:rsid w:val="00F775CB"/>
    <w:rsid w:val="00F905B4"/>
    <w:rsid w:val="00F95310"/>
    <w:rsid w:val="00FA2C19"/>
    <w:rsid w:val="00FA4B1F"/>
    <w:rsid w:val="00FA657D"/>
    <w:rsid w:val="00FA759C"/>
    <w:rsid w:val="00FB0C0B"/>
    <w:rsid w:val="00FB0DCB"/>
    <w:rsid w:val="00FB182E"/>
    <w:rsid w:val="00FB423B"/>
    <w:rsid w:val="00FB7869"/>
    <w:rsid w:val="00FC0274"/>
    <w:rsid w:val="00FC5DB5"/>
    <w:rsid w:val="00FD3E41"/>
    <w:rsid w:val="00FD6407"/>
    <w:rsid w:val="00FD7382"/>
    <w:rsid w:val="00FD7C77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rif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67A-F9C4-4551-98D6-EB4F0627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Кашуба</cp:lastModifiedBy>
  <cp:revision>3</cp:revision>
  <cp:lastPrinted>2022-09-30T05:16:00Z</cp:lastPrinted>
  <dcterms:created xsi:type="dcterms:W3CDTF">2022-09-30T09:47:00Z</dcterms:created>
  <dcterms:modified xsi:type="dcterms:W3CDTF">2022-09-30T10:00:00Z</dcterms:modified>
</cp:coreProperties>
</file>