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E4F" w:rsidRDefault="003303C3" w:rsidP="00183E4F">
      <w:pPr>
        <w:pStyle w:val="1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ФАС России </w:t>
      </w:r>
      <w:r w:rsidR="00183E4F">
        <w:rPr>
          <w:rFonts w:ascii="Arial" w:hAnsi="Arial" w:cs="Arial"/>
          <w:color w:val="333333"/>
          <w:sz w:val="20"/>
          <w:szCs w:val="20"/>
        </w:rPr>
        <w:t xml:space="preserve"> дала р</w:t>
      </w:r>
      <w:r>
        <w:rPr>
          <w:rFonts w:ascii="Arial" w:hAnsi="Arial" w:cs="Arial"/>
          <w:color w:val="333333"/>
          <w:sz w:val="20"/>
          <w:szCs w:val="20"/>
        </w:rPr>
        <w:t xml:space="preserve">азъяснение по вопросам, возникающим при трансформации </w:t>
      </w:r>
    </w:p>
    <w:p w:rsidR="00183E4F" w:rsidRDefault="003303C3" w:rsidP="00183E4F">
      <w:pPr>
        <w:pStyle w:val="1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договор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а(</w:t>
      </w:r>
      <w:proofErr w:type="gramEnd"/>
      <w:r>
        <w:rPr>
          <w:rFonts w:ascii="Arial" w:hAnsi="Arial" w:cs="Arial"/>
          <w:color w:val="333333"/>
          <w:sz w:val="20"/>
          <w:szCs w:val="20"/>
        </w:rPr>
        <w:t>-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ов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) аренды в концессионное соглашение в сфере </w:t>
      </w:r>
    </w:p>
    <w:p w:rsidR="003303C3" w:rsidRDefault="003303C3" w:rsidP="00183E4F">
      <w:pPr>
        <w:pStyle w:val="1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теплоснабжения, водоснабжения и водоотведения"</w:t>
      </w:r>
    </w:p>
    <w:p w:rsidR="003303C3" w:rsidRDefault="003303C3" w:rsidP="003303C3">
      <w:pPr>
        <w:shd w:val="clear" w:color="auto" w:fill="FFFFFF"/>
        <w:spacing w:after="0" w:line="240" w:lineRule="auto"/>
        <w:jc w:val="both"/>
        <w:rPr>
          <w:rStyle w:val="nobr"/>
          <w:rFonts w:ascii="Arial" w:hAnsi="Arial" w:cs="Arial"/>
          <w:color w:val="333333"/>
          <w:sz w:val="20"/>
          <w:szCs w:val="20"/>
        </w:rPr>
      </w:pPr>
      <w:r>
        <w:rPr>
          <w:rStyle w:val="nobr"/>
          <w:rFonts w:ascii="Arial" w:hAnsi="Arial" w:cs="Arial"/>
          <w:color w:val="333333"/>
          <w:sz w:val="20"/>
          <w:szCs w:val="20"/>
        </w:rPr>
        <w:t> </w:t>
      </w:r>
    </w:p>
    <w:p w:rsidR="00183E4F" w:rsidRDefault="00183E4F" w:rsidP="003303C3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sz w:val="20"/>
          <w:szCs w:val="20"/>
        </w:rPr>
      </w:pP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bookmarkStart w:id="0" w:name="dst100001"/>
      <w:bookmarkEnd w:id="0"/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ФЕДЕРАЛЬНАЯ АНТИМОНОПОЛЬНАЯ СЛУЖБА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nobr"/>
          <w:rFonts w:ascii="Arial" w:hAnsi="Arial" w:cs="Arial"/>
          <w:b/>
          <w:bCs/>
          <w:color w:val="333333"/>
          <w:sz w:val="20"/>
          <w:szCs w:val="20"/>
        </w:rPr>
        <w:t> 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bookmarkStart w:id="1" w:name="dst100002"/>
      <w:bookmarkEnd w:id="1"/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ПИСЬМО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от 27 сентября 2019 г. N ВК/84470/19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nobr"/>
          <w:rFonts w:ascii="Arial" w:hAnsi="Arial" w:cs="Arial"/>
          <w:b/>
          <w:bCs/>
          <w:color w:val="333333"/>
          <w:sz w:val="20"/>
          <w:szCs w:val="20"/>
        </w:rPr>
        <w:t> 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bookmarkStart w:id="2" w:name="dst100003"/>
      <w:bookmarkEnd w:id="2"/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РАЗЪЯСНЕНИЕ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ПО ВОПРОСАМ, ВОЗНИКАЮЩИМ ПРИ ТРАНСФОРМАЦИИ ДОГОВОР</w:t>
      </w:r>
      <w:proofErr w:type="gramStart"/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А(</w:t>
      </w:r>
      <w:proofErr w:type="gramEnd"/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-ОВ)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АРЕНДЫ В КОНЦЕССИОННОЕ СОГЛАШЕНИЕ В СФЕРЕ ТЕПЛОСНАБЖЕНИЯ,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ВОДОСНАБЖЕНИЯ И ВОДООТВЕДЕНИЯ</w:t>
      </w:r>
    </w:p>
    <w:p w:rsidR="003303C3" w:rsidRDefault="003303C3" w:rsidP="003303C3">
      <w:pPr>
        <w:shd w:val="clear" w:color="auto" w:fill="FFFFFF"/>
        <w:spacing w:after="0" w:line="240" w:lineRule="auto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Style w:val="nobr"/>
          <w:rFonts w:ascii="Arial" w:hAnsi="Arial" w:cs="Arial"/>
          <w:color w:val="333333"/>
          <w:sz w:val="20"/>
          <w:szCs w:val="20"/>
        </w:rPr>
        <w:t> 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dst100004"/>
      <w:bookmarkEnd w:id="3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Федеральная антимонопольная служба во исполнение пункта 48 Плана оказания методической помощи территориальным органам ФАС России в 2019 году, утвержденного приказом ФАС России от 18.04.2019 N 477/18, пункта 4 протокола регионального </w:t>
      </w:r>
      <w:proofErr w:type="spellStart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семинар-совещания</w:t>
      </w:r>
      <w:proofErr w:type="spellEnd"/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территориальных органов ФАС России в Дальневосточном федеральном округе от 25 - 26.06.2019, сообщает следующее.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dst100005"/>
      <w:bookmarkEnd w:id="4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В соответствии с </w:t>
      </w:r>
      <w:hyperlink r:id="rId5" w:anchor="dst435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частью 1 статьи 51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Федерального закона от 21.07.2005 N 115-ФЗ "О концессионных соглашениях" (далее - Закон о концессионных соглашениях) помимо оснований, указанных в </w:t>
      </w:r>
      <w:hyperlink r:id="rId6" w:anchor="dst27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1 статьи 37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данного федерального закона, концессионное соглашение, объектом которого являются объекты теплоснабжения, централизованные системы горячего водоснабжения, холодного водоснабжения и (или) водоотведения, отдельные объекты таких систем, также может быть заключено без проведения конкурса с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лицом, у которого права владения и пользования имуществом, которое в соответствии с данным федеральным </w:t>
      </w:r>
      <w:hyperlink r:id="rId7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может использоваться в качестве объекта концессионного соглашения и которое необходимо для осуществления деятельности, предусмотренной концессионным соглашением, возникли на основании одного или нескольких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договоров аренды, при соблюдении одновременно следующих условий: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dst100006"/>
      <w:bookmarkEnd w:id="5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1) объектом заключаемого концессионного соглашения является имущество, которое было передано арендатору в соответствии с договором или договорами аренды, создано и (или) реконструировано арендатором по такому договору или таким договорам, входит в состав системы централизованного теплоснабжения, централизованной системы горячего водоснабжения, холодного водоснабжения и (или) водоотведения и (или) предназначено для использования по общему назначению с объектами теплоснабжения, централизованной системы горячего водоснабжения, холодного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водоснабжения и (или) водоотведения и для обеспечения единого технологического процесса и осуществления деятельности, предусмотренной концессионным соглашением, и в соответствии с данным федеральным </w:t>
      </w:r>
      <w:hyperlink r:id="rId8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 может быть объектом концессионного соглашения и иным передаваемым </w:t>
      </w:r>
      <w:proofErr w:type="spell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концедентом</w:t>
      </w:r>
      <w:proofErr w:type="spell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концессионеру по концессионному соглашению имуществом;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dst100007"/>
      <w:bookmarkEnd w:id="6"/>
      <w:r w:rsidRPr="003303C3">
        <w:rPr>
          <w:rStyle w:val="blk"/>
          <w:rFonts w:ascii="Times New Roman" w:hAnsi="Times New Roman" w:cs="Times New Roman"/>
          <w:sz w:val="28"/>
          <w:szCs w:val="28"/>
        </w:rPr>
        <w:lastRenderedPageBreak/>
        <w:t>2) все договоры аренды, в соответствии с которыми у арендатора возникли права владения и пользования имуществом, являющимся объектом концессионного соглашения, заключены в установленном порядке;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dst100008"/>
      <w:bookmarkEnd w:id="7"/>
      <w:r w:rsidRPr="003303C3">
        <w:rPr>
          <w:rStyle w:val="blk"/>
          <w:rFonts w:ascii="Times New Roman" w:hAnsi="Times New Roman" w:cs="Times New Roman"/>
          <w:sz w:val="28"/>
          <w:szCs w:val="28"/>
        </w:rPr>
        <w:t>3) все договоры аренды, в соответствии с которыми у арендатора возникли права владения и пользования имуществом, являющимся объектом концессионного соглашения, заключены до 1 января 2015 года;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dst100009"/>
      <w:bookmarkEnd w:id="8"/>
      <w:r w:rsidRPr="003303C3">
        <w:rPr>
          <w:rStyle w:val="blk"/>
          <w:rFonts w:ascii="Times New Roman" w:hAnsi="Times New Roman" w:cs="Times New Roman"/>
          <w:sz w:val="28"/>
          <w:szCs w:val="28"/>
        </w:rPr>
        <w:t>4) отсутствует подтвержденная вступившим в законную силу решением (решениями) суда и (или) признанная обеими сторонами договора аренды задолженность по арендной плате за имущество, являющееся объектом концессионного соглашения, неустойкам (штрафам, пеням) на день заключения концессионного соглашения.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dst100010"/>
      <w:bookmarkEnd w:id="9"/>
      <w:r w:rsidRPr="003303C3">
        <w:rPr>
          <w:rStyle w:val="blk"/>
          <w:rFonts w:ascii="Times New Roman" w:hAnsi="Times New Roman" w:cs="Times New Roman"/>
          <w:sz w:val="28"/>
          <w:szCs w:val="28"/>
        </w:rPr>
        <w:t>Таким образом, для заключения концессионного соглашения в соответствии со </w:t>
      </w:r>
      <w:hyperlink r:id="rId9" w:anchor="dst434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статьей 51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концессионных соглашениях все договоры аренды, в соответствии с которыми у арендатора возникли права владения и пользования имуществом, являющимся объектом концессионного соглашения, должны быть заключены в установленном порядке до 1 января 2015 года.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dst100011"/>
      <w:bookmarkEnd w:id="10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С момента официального опубликования (08.05.2013) Федерального </w:t>
      </w:r>
      <w:hyperlink r:id="rId10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закона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от 07.05.2013 N 103-ФЗ "О внесении изменений в Федеральный закон "О концессионных соглашениях" и отдельные законодательные акты Российской Федерации" (далее - Закон N 103-ФЗ) передача прав владения и (или) пользования объектами теплоснабжения, централизованными системами горячего водоснабжения, холодного водоснабжения и (или) водоотведения, отдельными объектами таких систем, находящимися в государственной или муниципальной собственности, осуществляется с учетом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требований, установленных Федеральным </w:t>
      </w:r>
      <w:hyperlink r:id="rId11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от 27.07.2010 N 190-ФЗ "О теплоснабжении" (далее - Закон о теплоснабжении) и Федеральным </w:t>
      </w:r>
      <w:hyperlink r:id="rId12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от 07.12.2011 N 416-ФЗ "О водоснабжении и водоотведении" (далее - Закон о водоснабжении и водоотведении).</w:t>
      </w:r>
    </w:p>
    <w:bookmarkStart w:id="11" w:name="dst100012"/>
    <w:bookmarkEnd w:id="11"/>
    <w:p w:rsidR="003303C3" w:rsidRPr="003303C3" w:rsidRDefault="000A0A2C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begin"/>
      </w:r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instrText xml:space="preserve"> HYPERLINK "http://www.consultant.ru/document/cons_doc_LAW_314392/e15bf864419718980c45d63e3c604aae385bdd0f/" \l "dst100706" </w:instrTex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separate"/>
      </w:r>
      <w:r w:rsidR="003303C3" w:rsidRPr="003303C3">
        <w:rPr>
          <w:rStyle w:val="a3"/>
          <w:rFonts w:ascii="Times New Roman" w:hAnsi="Times New Roman" w:cs="Times New Roman"/>
          <w:color w:val="auto"/>
          <w:sz w:val="28"/>
          <w:szCs w:val="28"/>
        </w:rPr>
        <w:t>Главой 7.1</w: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end"/>
      </w:r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 установлены особенности передачи прав владения и (или) пользования централизованными системами горячего водоснабжения, холодного водоснабжения и (или) водоотведения, отдельными объектами таких систем, находящимися в государственной или муниципальной собственности (далее - системы и (или) объекты водоснабжения и (или) водоотведения).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dst100013"/>
      <w:bookmarkEnd w:id="12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В соответствии с </w:t>
      </w:r>
      <w:hyperlink r:id="rId13" w:anchor="dst10070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частью 1 статьи 41.1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 передача прав владения и (или) пользования системами и (или) объектами водоснабжения и (или) водоотведения осуществляется по договорам аренды таких систем и (или) объектов, которые заключаются в соответствии с требованиями гражданского законодательства, антимонопольного законодательства Российской Федерации и принятых в соответствии с ними иных нормативных правовых актов Российской Федерации с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учетом установленных </w:t>
      </w:r>
      <w:hyperlink r:id="rId14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 о водоснабжении и водоотведении особенностей, или по концессионным соглашениям, </w: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lastRenderedPageBreak/>
        <w:t>заключенным в соответствии с требованиями законодательства Российской Федерации о концессионных соглашениях, за исключением случая, предусмотренного </w:t>
      </w:r>
      <w:hyperlink r:id="rId15" w:anchor="dst83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частью 1 статьи 9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dst100014"/>
      <w:bookmarkEnd w:id="13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При этом договор аренды в отношении систем и (или) объектов водоснабжения и (или) водоотведения заключается по результатам проведения конкурса на право заключения этого договора в порядке, установленном антимонопольным законодательством Российской Федерации и принятыми в соответствии с ним иными нормативными правовыми актами Российской Федерации, с учетом установленных </w:t>
      </w:r>
      <w:hyperlink r:id="rId16" w:anchor="dst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о водоснабжении и водоотведении особенностей и на условиях, предусмотренных конкурсной документацией, а также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в заявке на участие в конкурсе, поданной участником торгов, с которым заключается договор.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dst100015"/>
      <w:bookmarkEnd w:id="14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Согласно </w:t>
      </w:r>
      <w:hyperlink r:id="rId17" w:anchor="dst10071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3 статьи 41.1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 в случае, если срок, определяемый как разница между датой ввода в эксплуатацию хотя бы одного объекта из числа объектов централизованных систем горячего водоснабжения, холодного водоснабжения и (или) водоотведения или одной системы из числа таких систем, одного отдельного объекта таких систем, находящегося в государственной или муниципальной собственности, и датой опубликования извещения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о проведении конкурса, превышает пять лет либо дата ввода в эксплуатацию хотя бы одного такого объекта или одной такой системы, одного отдельного объекта таких систем не может быть определена, передача прав владения и (или) пользования такими объектами или системами осуществляется только по концессионным соглашениям (за исключением предоставления в соответствии с антимонопольным законодательством Российской Федерации указанных прав на это имущество лицу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обладающему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правами владения и (или) пользования сетью инженерно-технического обеспечения, в случаях, если это имущество является частью соответствующей сети инженерно-технического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деятельности).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dst100016"/>
      <w:bookmarkEnd w:id="15"/>
      <w:r w:rsidRPr="003303C3">
        <w:rPr>
          <w:rStyle w:val="blk"/>
          <w:rFonts w:ascii="Times New Roman" w:hAnsi="Times New Roman" w:cs="Times New Roman"/>
          <w:sz w:val="28"/>
          <w:szCs w:val="28"/>
        </w:rPr>
        <w:t>Аналогичные нормы в отношении объектов теплоснабжения, находящихся в государственной или муниципальной собственности, предусмотрены в </w:t>
      </w:r>
      <w:hyperlink r:id="rId18" w:anchor="dst100476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 28.1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теплоснабжении.</w:t>
      </w:r>
    </w:p>
    <w:bookmarkStart w:id="16" w:name="dst100017"/>
    <w:bookmarkEnd w:id="16"/>
    <w:p w:rsidR="003303C3" w:rsidRPr="003303C3" w:rsidRDefault="000A0A2C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begin"/>
      </w:r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instrText xml:space="preserve"> HYPERLINK "http://www.consultant.ru/document/cons_doc_LAW_322878/4f6f8ce989e05f92c8d919d5b2f54ec435cabaf3/" \l "dst100648" </w:instrTex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separate"/>
      </w:r>
      <w:proofErr w:type="gramStart"/>
      <w:r w:rsidR="003303C3" w:rsidRPr="003303C3">
        <w:rPr>
          <w:rStyle w:val="a3"/>
          <w:rFonts w:ascii="Times New Roman" w:hAnsi="Times New Roman" w:cs="Times New Roman"/>
          <w:color w:val="auto"/>
          <w:sz w:val="28"/>
          <w:szCs w:val="28"/>
        </w:rPr>
        <w:t>Пункт 8 части 1 статьи 17.1</w: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end"/>
      </w:r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t> Федерального закона от 26.07.2006 N 135-ФЗ "О защите конкуренции" (далее - Закон о защите конкуренции) допускает возможность заключения договоров, предусматривающих переход прав владения и (или) пользования в отношении государственного или муниципального имущества без проведения торгов с лицом, обладающим правами владения и (или) пользования сетью инженерно-технического обеспечения, в случае, если передаваемое имущество является частью соответствующей сети</w:t>
      </w:r>
      <w:proofErr w:type="gramEnd"/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инженерно-технического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dst100018"/>
      <w:bookmarkEnd w:id="17"/>
      <w:r w:rsidRPr="003303C3">
        <w:rPr>
          <w:rStyle w:val="blk"/>
          <w:rFonts w:ascii="Times New Roman" w:hAnsi="Times New Roman" w:cs="Times New Roman"/>
          <w:sz w:val="28"/>
          <w:szCs w:val="28"/>
        </w:rPr>
        <w:lastRenderedPageBreak/>
        <w:t>При этом в соответствии с </w:t>
      </w:r>
      <w:hyperlink r:id="rId19" w:anchor="dst102049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пунктом 1 статьи 432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Гражданского кодекса Российской Федерации (далее - ГК РФ) договор считается заключенным, если между сторонами, в требуемой в подлежащих случаях форме, достигнуто соглашение по всем существующим условиям договора.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dst100019"/>
      <w:bookmarkEnd w:id="18"/>
      <w:r w:rsidRPr="003303C3">
        <w:rPr>
          <w:rStyle w:val="blk"/>
          <w:rFonts w:ascii="Times New Roman" w:hAnsi="Times New Roman" w:cs="Times New Roman"/>
          <w:sz w:val="28"/>
          <w:szCs w:val="28"/>
        </w:rPr>
        <w:t>Существенными являются условия о предмете договора, условия, которые названы в законе или иных правовых актах как существенные или необходимые для договоров данного вида, а также все те условия, относительно которых по заявлению одной из сторон должно быть достигнуто соглашение.</w:t>
      </w:r>
    </w:p>
    <w:bookmarkStart w:id="19" w:name="dst100020"/>
    <w:bookmarkEnd w:id="19"/>
    <w:p w:rsidR="003303C3" w:rsidRPr="003303C3" w:rsidRDefault="000A0A2C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begin"/>
      </w:r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instrText xml:space="preserve"> HYPERLINK "http://www.consultant.ru/document/cons_doc_LAW_314392/1f426a816ad5d1fa06c541ba6e724f55e7c1dabc/" \l "dst100762" </w:instrTex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separate"/>
      </w:r>
      <w:r w:rsidR="003303C3" w:rsidRPr="003303C3">
        <w:rPr>
          <w:rStyle w:val="a3"/>
          <w:rFonts w:ascii="Times New Roman" w:hAnsi="Times New Roman" w:cs="Times New Roman"/>
          <w:color w:val="auto"/>
          <w:sz w:val="28"/>
          <w:szCs w:val="28"/>
        </w:rPr>
        <w:t>Частью 2 статьи 41.2</w:t>
      </w:r>
      <w:r w:rsidRPr="003303C3">
        <w:rPr>
          <w:rStyle w:val="blk"/>
          <w:rFonts w:ascii="Times New Roman" w:hAnsi="Times New Roman" w:cs="Times New Roman"/>
          <w:sz w:val="28"/>
          <w:szCs w:val="28"/>
        </w:rPr>
        <w:fldChar w:fldCharType="end"/>
      </w:r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 установлено, что договор аренды систем и (или) объектов, указанных в </w:t>
      </w:r>
      <w:hyperlink r:id="rId20" w:anchor="dst100708" w:history="1">
        <w:r w:rsidR="003303C3"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1 статьи 41.1</w:t>
        </w:r>
      </w:hyperlink>
      <w:r w:rsidR="003303C3"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водоотведении, должен включать в себя следующие существенные условия: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dst100021"/>
      <w:bookmarkEnd w:id="20"/>
      <w:r w:rsidRPr="003303C3">
        <w:rPr>
          <w:rStyle w:val="blk"/>
          <w:rFonts w:ascii="Times New Roman" w:hAnsi="Times New Roman" w:cs="Times New Roman"/>
          <w:sz w:val="28"/>
          <w:szCs w:val="28"/>
        </w:rPr>
        <w:t>1) описание централизованных систем и (или) объектов, указанных в </w:t>
      </w:r>
      <w:hyperlink r:id="rId21" w:anchor="dst10070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1 статьи 41.1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водоотведении, в том числе их технико-экономические показатели и целевое значение;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dst100022"/>
      <w:bookmarkEnd w:id="21"/>
      <w:r w:rsidRPr="003303C3">
        <w:rPr>
          <w:rStyle w:val="blk"/>
          <w:rFonts w:ascii="Times New Roman" w:hAnsi="Times New Roman" w:cs="Times New Roman"/>
          <w:sz w:val="28"/>
          <w:szCs w:val="28"/>
        </w:rPr>
        <w:t>2) размер арендной платы;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dst100023"/>
      <w:bookmarkEnd w:id="22"/>
      <w:r w:rsidRPr="003303C3">
        <w:rPr>
          <w:rStyle w:val="blk"/>
          <w:rFonts w:ascii="Times New Roman" w:hAnsi="Times New Roman" w:cs="Times New Roman"/>
          <w:sz w:val="28"/>
          <w:szCs w:val="28"/>
        </w:rPr>
        <w:t>3) срок договора аренды;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3" w:name="dst100024"/>
      <w:bookmarkEnd w:id="23"/>
      <w:r w:rsidRPr="003303C3">
        <w:rPr>
          <w:rStyle w:val="blk"/>
          <w:rFonts w:ascii="Times New Roman" w:hAnsi="Times New Roman" w:cs="Times New Roman"/>
          <w:sz w:val="28"/>
          <w:szCs w:val="28"/>
        </w:rPr>
        <w:t>4) плановые значения показателей надежности, качества, энергетической эффективности;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4" w:name="dst100025"/>
      <w:bookmarkEnd w:id="24"/>
      <w:r w:rsidRPr="003303C3">
        <w:rPr>
          <w:rStyle w:val="blk"/>
          <w:rFonts w:ascii="Times New Roman" w:hAnsi="Times New Roman" w:cs="Times New Roman"/>
          <w:sz w:val="28"/>
          <w:szCs w:val="28"/>
        </w:rPr>
        <w:t>5) значения долгосрочных параметров регулирования тарифов;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5" w:name="dst100026"/>
      <w:bookmarkEnd w:id="25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6) предельные сроки прекращения поставок абонентам соответствующих товаров, оказания услуг и допустимый объем </w:t>
      </w:r>
      <w:proofErr w:type="spell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непредоставления</w:t>
      </w:r>
      <w:proofErr w:type="spell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соответствующих товаров, услуг, превышение которых является существенным нарушением условий договора аренды;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6" w:name="dst100027"/>
      <w:bookmarkEnd w:id="26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7) порядок возмещения расходов арендатора, которые подлежат возмещению арендатору в соответствии с нормативными правовыми актами Российской Федерации в сфере водоснабжения и водоотведения, но не будут ему возмещены на день </w:t>
      </w:r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окончания срока действия договора аренды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>.</w:t>
      </w:r>
    </w:p>
    <w:p w:rsidR="003303C3" w:rsidRPr="003303C3" w:rsidRDefault="003303C3" w:rsidP="003303C3">
      <w:pPr>
        <w:shd w:val="clear" w:color="auto" w:fill="F4F3F8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КонсультантПлюс</w:t>
      </w:r>
      <w:proofErr w:type="spellEnd"/>
      <w:r w:rsidRPr="003303C3">
        <w:rPr>
          <w:rStyle w:val="blk"/>
          <w:rFonts w:ascii="Times New Roman" w:hAnsi="Times New Roman" w:cs="Times New Roman"/>
          <w:sz w:val="28"/>
          <w:szCs w:val="28"/>
        </w:rPr>
        <w:t>: примечание.</w:t>
      </w:r>
    </w:p>
    <w:p w:rsidR="003303C3" w:rsidRPr="003303C3" w:rsidRDefault="003303C3" w:rsidP="003303C3">
      <w:pPr>
        <w:shd w:val="clear" w:color="auto" w:fill="F4F3F8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3C3">
        <w:rPr>
          <w:rStyle w:val="blk"/>
          <w:rFonts w:ascii="Times New Roman" w:hAnsi="Times New Roman" w:cs="Times New Roman"/>
          <w:sz w:val="28"/>
          <w:szCs w:val="28"/>
        </w:rPr>
        <w:t>В официальном тексте документа, видимо, допущена опечатка: имеется в виду ст. 28.2, а не ст. 23.2.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dst100028"/>
      <w:bookmarkEnd w:id="27"/>
      <w:r w:rsidRPr="003303C3">
        <w:rPr>
          <w:rStyle w:val="blk"/>
          <w:rFonts w:ascii="Times New Roman" w:hAnsi="Times New Roman" w:cs="Times New Roman"/>
          <w:sz w:val="28"/>
          <w:szCs w:val="28"/>
        </w:rPr>
        <w:t>Перечень существенных условий для договоров аренды в отношении объектов теплоснабжения, находящихся в государственной или муниципальной собственности, установлен в </w:t>
      </w:r>
      <w:hyperlink r:id="rId22" w:anchor="dst10052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 23.2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теплоснабжении.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8" w:name="dst100029"/>
      <w:bookmarkEnd w:id="28"/>
      <w:r w:rsidRPr="003303C3">
        <w:rPr>
          <w:rStyle w:val="blk"/>
          <w:rFonts w:ascii="Times New Roman" w:hAnsi="Times New Roman" w:cs="Times New Roman"/>
          <w:sz w:val="28"/>
          <w:szCs w:val="28"/>
        </w:rPr>
        <w:t>В соответствии с </w:t>
      </w:r>
      <w:hyperlink r:id="rId23" w:anchor="dst10199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пунктом 1 статьи 422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ГК РФ договор должен соответствовать обязательным для сторон правилам, установленным законом и иными правовыми актами (императивным нормам), действующим в момент его заключения.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9" w:name="dst100030"/>
      <w:bookmarkEnd w:id="29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Таким образом, договоры аренды в отношении объектов теплоснабжения, указанных в </w:t>
      </w:r>
      <w:hyperlink r:id="rId24" w:anchor="dst100477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1 статьи 28.1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теплоснабжении, или систем и (или) объектов водоснабжения и (или) водоотведения, указанных в </w:t>
      </w:r>
      <w:hyperlink r:id="rId25" w:anchor="dst10070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1 статьи 41.1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водоотведении, заключаемые после 08.05.2013, в том числе на основании </w:t>
      </w:r>
      <w:hyperlink r:id="rId26" w:anchor="dst10064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 xml:space="preserve">пункта 8 части 1 </w:t>
        </w:r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lastRenderedPageBreak/>
          <w:t>статьи 17.1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защите конкуренции, </w:t>
      </w:r>
      <w:hyperlink r:id="rId27" w:anchor="dst100479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3 статьи 28.1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о теплоснабжении, </w:t>
      </w:r>
      <w:hyperlink r:id="rId28" w:anchor="dst100710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части 3 статьи 41.1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водоотведении, без проведения торгов, должны содержать существенные условия, установленные в </w:t>
      </w:r>
      <w:hyperlink r:id="rId29" w:anchor="dst10052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 28.2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теплоснабжении или </w:t>
      </w:r>
      <w:hyperlink r:id="rId30" w:anchor="dst100762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 41.2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 соответственно.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0" w:name="dst100031"/>
      <w:bookmarkEnd w:id="30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Согласно </w:t>
      </w:r>
      <w:hyperlink r:id="rId31" w:anchor="dst100007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пункту 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информационного письма Президиума Высшего арбитражного суда Российской Федерации от 25.02.2014 N 165 "Обзор судебной практики по спорам, связанным с признанием договоров незаключенными", если между сторонами не достигнуто соглашение по всем существенным условиям договора, то он не считается заключенным и к нему не применимы правила об основаниях недействительности сделок.</w:t>
      </w:r>
      <w:proofErr w:type="gramEnd"/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1" w:name="dst100032"/>
      <w:bookmarkEnd w:id="31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Договор, являющийся незаключенным вследствие несогласования существенных условий, не может быть признан недействительным, так как он не только не порождает последствий, на которые был направлен, но и является отсутствующим фактически ввиду </w:t>
      </w:r>
      <w:proofErr w:type="spell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сторонами какого-либо соглашения, </w:t>
      </w:r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а</w:t>
      </w:r>
      <w:proofErr w:type="gramEnd"/>
      <w:r w:rsidRPr="003303C3">
        <w:rPr>
          <w:rStyle w:val="blk"/>
          <w:rFonts w:ascii="Times New Roman" w:hAnsi="Times New Roman" w:cs="Times New Roman"/>
          <w:sz w:val="28"/>
          <w:szCs w:val="28"/>
        </w:rPr>
        <w:t xml:space="preserve"> следовательно, не может породить такие последствия и в будущем.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2" w:name="dst100033"/>
      <w:bookmarkEnd w:id="32"/>
      <w:r w:rsidRPr="003303C3">
        <w:rPr>
          <w:rStyle w:val="blk"/>
          <w:rFonts w:ascii="Times New Roman" w:hAnsi="Times New Roman" w:cs="Times New Roman"/>
          <w:sz w:val="28"/>
          <w:szCs w:val="28"/>
        </w:rPr>
        <w:t>С учетом изложенного, в случае отсутствия в договоре аренды в отношении объектов, указанных выше, заключенного после 08.05.2013, какого-либо существенного условия, установленного в </w:t>
      </w:r>
      <w:hyperlink r:id="rId32" w:anchor="dst10052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 28.2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теплоснабжении или </w:t>
      </w:r>
      <w:hyperlink r:id="rId33" w:anchor="dst100762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статье 41.2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водоснабжении и водоотведении, такой договор считается незаключенным и не может быть учтен при трансформации в концессионное соглашение.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3" w:name="dst100034"/>
      <w:bookmarkEnd w:id="33"/>
      <w:proofErr w:type="gramStart"/>
      <w:r w:rsidRPr="003303C3">
        <w:rPr>
          <w:rStyle w:val="blk"/>
          <w:rFonts w:ascii="Times New Roman" w:hAnsi="Times New Roman" w:cs="Times New Roman"/>
          <w:sz w:val="28"/>
          <w:szCs w:val="28"/>
        </w:rPr>
        <w:t>Независимо от даты заключения договоров аренды в отношении объектов теплоснабжения, централизованных систем горячего водоснабжения, холодного водоснабжения и (или) водоотведения, отдельных объектов таких систем, на основании которых заключается концессионное соглашение, такие договоры аренды должны быть заключены в установленном порядке, т.е. соответствовать обязательным для сторон правилам, установленным законом и иными правовыми актами (императивным нормам), действовавшими в момент их заключения (</w:t>
      </w:r>
      <w:hyperlink r:id="rId34" w:anchor="dst437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 2</w:t>
        </w:r>
        <w:proofErr w:type="gramEnd"/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 xml:space="preserve"> части 1 статьи 51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концессионных соглашениях, </w:t>
      </w:r>
      <w:hyperlink r:id="rId35" w:anchor="dst101998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 1 статьи 422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ГК РФ).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4" w:name="dst100035"/>
      <w:bookmarkEnd w:id="34"/>
      <w:r w:rsidRPr="003303C3">
        <w:rPr>
          <w:rStyle w:val="blk"/>
          <w:rFonts w:ascii="Times New Roman" w:hAnsi="Times New Roman" w:cs="Times New Roman"/>
          <w:sz w:val="28"/>
          <w:szCs w:val="28"/>
        </w:rPr>
        <w:t>Также обращаем внимание, что при трансформации договоров аренды в концессионные соглашения учитываются только те договоры аренды, в которых установлены инвестиционные обязательства по созданию и (или) реконструкции объектов теплоснабжения, централизованной системы горячего водоснабжения, холодного водоснабжения и (или) водоотведения (</w:t>
      </w:r>
      <w:hyperlink r:id="rId36" w:anchor="dst436" w:history="1">
        <w:r w:rsidRPr="003303C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 1 части 1 статьи 51</w:t>
        </w:r>
      </w:hyperlink>
      <w:r w:rsidRPr="003303C3">
        <w:rPr>
          <w:rStyle w:val="blk"/>
          <w:rFonts w:ascii="Times New Roman" w:hAnsi="Times New Roman" w:cs="Times New Roman"/>
          <w:sz w:val="28"/>
          <w:szCs w:val="28"/>
        </w:rPr>
        <w:t> Закона о концессионных соглашениях).</w:t>
      </w:r>
    </w:p>
    <w:p w:rsidR="003303C3" w:rsidRPr="003303C3" w:rsidRDefault="003303C3" w:rsidP="003303C3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03C3">
        <w:rPr>
          <w:rStyle w:val="nobr"/>
          <w:rFonts w:ascii="Times New Roman" w:hAnsi="Times New Roman" w:cs="Times New Roman"/>
          <w:sz w:val="28"/>
          <w:szCs w:val="28"/>
        </w:rPr>
        <w:t> </w:t>
      </w:r>
    </w:p>
    <w:p w:rsidR="00BE6B9D" w:rsidRPr="003303C3" w:rsidRDefault="00183E4F" w:rsidP="003303C3"/>
    <w:sectPr w:rsidR="00BE6B9D" w:rsidRPr="003303C3" w:rsidSect="007547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A40992"/>
    <w:multiLevelType w:val="multilevel"/>
    <w:tmpl w:val="B4D85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B43DC"/>
    <w:rsid w:val="000A0A2C"/>
    <w:rsid w:val="000B43DC"/>
    <w:rsid w:val="00152B17"/>
    <w:rsid w:val="00183E4F"/>
    <w:rsid w:val="003303C3"/>
    <w:rsid w:val="00682D2D"/>
    <w:rsid w:val="007547C0"/>
    <w:rsid w:val="009973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paragraph" w:styleId="1">
    <w:name w:val="heading 1"/>
    <w:basedOn w:val="a"/>
    <w:link w:val="10"/>
    <w:uiPriority w:val="9"/>
    <w:qFormat/>
    <w:rsid w:val="000B43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43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0B43D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B43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B43DC"/>
    <w:rPr>
      <w:b/>
      <w:bCs/>
    </w:rPr>
  </w:style>
  <w:style w:type="character" w:customStyle="1" w:styleId="blk">
    <w:name w:val="blk"/>
    <w:basedOn w:val="a0"/>
    <w:rsid w:val="003303C3"/>
  </w:style>
  <w:style w:type="character" w:customStyle="1" w:styleId="nobr">
    <w:name w:val="nobr"/>
    <w:basedOn w:val="a0"/>
    <w:rsid w:val="003303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31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1215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06215">
          <w:marLeft w:val="0"/>
          <w:marRight w:val="0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154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707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191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852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12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79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7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2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89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815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380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35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35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29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3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6385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8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80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36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52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376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64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62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294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79974">
          <w:marLeft w:val="0"/>
          <w:marRight w:val="0"/>
          <w:marTop w:val="120"/>
          <w:marBottom w:val="96"/>
          <w:divBdr>
            <w:top w:val="none" w:sz="0" w:space="0" w:color="auto"/>
            <w:left w:val="single" w:sz="18" w:space="0" w:color="CED3F1"/>
            <w:bottom w:val="none" w:sz="0" w:space="0" w:color="auto"/>
            <w:right w:val="none" w:sz="0" w:space="0" w:color="auto"/>
          </w:divBdr>
        </w:div>
        <w:div w:id="18665570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631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14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10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43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82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99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226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18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05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14917/" TargetMode="External"/><Relationship Id="rId13" Type="http://schemas.openxmlformats.org/officeDocument/2006/relationships/hyperlink" Target="http://www.consultant.ru/document/cons_doc_LAW_314392/df62c48b076dfc9331533e7d37d135f8b97c98ad/" TargetMode="External"/><Relationship Id="rId18" Type="http://schemas.openxmlformats.org/officeDocument/2006/relationships/hyperlink" Target="http://www.consultant.ru/document/cons_doc_LAW_302970/d67818ee36a86342c1c7aead26463eced26ad627/" TargetMode="External"/><Relationship Id="rId26" Type="http://schemas.openxmlformats.org/officeDocument/2006/relationships/hyperlink" Target="http://www.consultant.ru/document/cons_doc_LAW_322878/4f6f8ce989e05f92c8d919d5b2f54ec435cabaf3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consultant.ru/document/cons_doc_LAW_314392/df62c48b076dfc9331533e7d37d135f8b97c98ad/" TargetMode="External"/><Relationship Id="rId34" Type="http://schemas.openxmlformats.org/officeDocument/2006/relationships/hyperlink" Target="http://www.consultant.ru/document/cons_doc_LAW_314917/4f11256e79ab569e576cd0aeb223e39e1e4eee12/" TargetMode="External"/><Relationship Id="rId7" Type="http://schemas.openxmlformats.org/officeDocument/2006/relationships/hyperlink" Target="http://www.consultant.ru/document/cons_doc_LAW_314917/" TargetMode="External"/><Relationship Id="rId12" Type="http://schemas.openxmlformats.org/officeDocument/2006/relationships/hyperlink" Target="http://www.consultant.ru/document/cons_doc_LAW_314392/" TargetMode="External"/><Relationship Id="rId17" Type="http://schemas.openxmlformats.org/officeDocument/2006/relationships/hyperlink" Target="http://www.consultant.ru/document/cons_doc_LAW_314392/df62c48b076dfc9331533e7d37d135f8b97c98ad/" TargetMode="External"/><Relationship Id="rId25" Type="http://schemas.openxmlformats.org/officeDocument/2006/relationships/hyperlink" Target="http://www.consultant.ru/document/cons_doc_LAW_314392/df62c48b076dfc9331533e7d37d135f8b97c98ad/" TargetMode="External"/><Relationship Id="rId33" Type="http://schemas.openxmlformats.org/officeDocument/2006/relationships/hyperlink" Target="http://www.consultant.ru/document/cons_doc_LAW_314392/1f426a816ad5d1fa06c541ba6e724f55e7c1dabc/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314392/" TargetMode="External"/><Relationship Id="rId20" Type="http://schemas.openxmlformats.org/officeDocument/2006/relationships/hyperlink" Target="http://www.consultant.ru/document/cons_doc_LAW_314392/df62c48b076dfc9331533e7d37d135f8b97c98ad/" TargetMode="External"/><Relationship Id="rId29" Type="http://schemas.openxmlformats.org/officeDocument/2006/relationships/hyperlink" Target="http://www.consultant.ru/document/cons_doc_LAW_302970/3ce9573f3687902a80562f9a1bd473d904085d67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14917/f898836d3f38df2e9ced7b2e4a40486da224ee60/" TargetMode="External"/><Relationship Id="rId11" Type="http://schemas.openxmlformats.org/officeDocument/2006/relationships/hyperlink" Target="http://www.consultant.ru/document/cons_doc_LAW_302970/" TargetMode="External"/><Relationship Id="rId24" Type="http://schemas.openxmlformats.org/officeDocument/2006/relationships/hyperlink" Target="http://www.consultant.ru/document/cons_doc_LAW_302970/d67818ee36a86342c1c7aead26463eced26ad627/" TargetMode="External"/><Relationship Id="rId32" Type="http://schemas.openxmlformats.org/officeDocument/2006/relationships/hyperlink" Target="http://www.consultant.ru/document/cons_doc_LAW_302970/3ce9573f3687902a80562f9a1bd473d904085d67/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www.consultant.ru/document/cons_doc_LAW_314917/4f11256e79ab569e576cd0aeb223e39e1e4eee12/" TargetMode="External"/><Relationship Id="rId15" Type="http://schemas.openxmlformats.org/officeDocument/2006/relationships/hyperlink" Target="http://www.consultant.ru/document/cons_doc_LAW_314392/d5a981e2a31c85c865a1714287cc8e767abb8b79/" TargetMode="External"/><Relationship Id="rId23" Type="http://schemas.openxmlformats.org/officeDocument/2006/relationships/hyperlink" Target="http://www.consultant.ru/document/cons_doc_LAW_320453/478c38e91f6a68f9b7fa064f292dda8bf3049359/" TargetMode="External"/><Relationship Id="rId28" Type="http://schemas.openxmlformats.org/officeDocument/2006/relationships/hyperlink" Target="http://www.consultant.ru/document/cons_doc_LAW_314392/df62c48b076dfc9331533e7d37d135f8b97c98ad/" TargetMode="External"/><Relationship Id="rId36" Type="http://schemas.openxmlformats.org/officeDocument/2006/relationships/hyperlink" Target="http://www.consultant.ru/document/cons_doc_LAW_314917/4f11256e79ab569e576cd0aeb223e39e1e4eee12/" TargetMode="External"/><Relationship Id="rId10" Type="http://schemas.openxmlformats.org/officeDocument/2006/relationships/hyperlink" Target="http://www.consultant.ru/document/cons_doc_LAW_201115/" TargetMode="External"/><Relationship Id="rId19" Type="http://schemas.openxmlformats.org/officeDocument/2006/relationships/hyperlink" Target="http://www.consultant.ru/document/cons_doc_LAW_320453/adbefccc8d538d42038164bb81d886c76e719d63/" TargetMode="External"/><Relationship Id="rId31" Type="http://schemas.openxmlformats.org/officeDocument/2006/relationships/hyperlink" Target="http://www.consultant.ru/document/cons_doc_LAW_160178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14917/4f11256e79ab569e576cd0aeb223e39e1e4eee12/" TargetMode="External"/><Relationship Id="rId14" Type="http://schemas.openxmlformats.org/officeDocument/2006/relationships/hyperlink" Target="http://www.consultant.ru/document/cons_doc_LAW_314392/" TargetMode="External"/><Relationship Id="rId22" Type="http://schemas.openxmlformats.org/officeDocument/2006/relationships/hyperlink" Target="http://www.consultant.ru/document/cons_doc_LAW_302970/3ce9573f3687902a80562f9a1bd473d904085d67/" TargetMode="External"/><Relationship Id="rId27" Type="http://schemas.openxmlformats.org/officeDocument/2006/relationships/hyperlink" Target="http://www.consultant.ru/document/cons_doc_LAW_302970/d67818ee36a86342c1c7aead26463eced26ad627/" TargetMode="External"/><Relationship Id="rId30" Type="http://schemas.openxmlformats.org/officeDocument/2006/relationships/hyperlink" Target="http://www.consultant.ru/document/cons_doc_LAW_314392/1f426a816ad5d1fa06c541ba6e724f55e7c1dabc/" TargetMode="External"/><Relationship Id="rId35" Type="http://schemas.openxmlformats.org/officeDocument/2006/relationships/hyperlink" Target="http://www.consultant.ru/document/cons_doc_LAW_320453/478c38e91f6a68f9b7fa064f292dda8bf304935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2564</Words>
  <Characters>14620</Characters>
  <Application>Microsoft Office Word</Application>
  <DocSecurity>0</DocSecurity>
  <Lines>121</Lines>
  <Paragraphs>34</Paragraphs>
  <ScaleCrop>false</ScaleCrop>
  <Company/>
  <LinksUpToDate>false</LinksUpToDate>
  <CharactersWithSpaces>17150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3</cp:revision>
  <dcterms:created xsi:type="dcterms:W3CDTF">2019-10-02T11:05:00Z</dcterms:created>
  <dcterms:modified xsi:type="dcterms:W3CDTF">2019-10-04T05:05:00Z</dcterms:modified>
</cp:coreProperties>
</file>