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25C" w:rsidRDefault="00F1025C">
      <w:pPr>
        <w:pStyle w:val="ConsPlusNormal"/>
        <w:jc w:val="both"/>
        <w:outlineLvl w:val="0"/>
      </w:pPr>
    </w:p>
    <w:p w:rsidR="00F1025C" w:rsidRDefault="00F1025C">
      <w:pPr>
        <w:pStyle w:val="ConsPlusTitle"/>
        <w:jc w:val="center"/>
        <w:outlineLvl w:val="0"/>
      </w:pPr>
      <w:r>
        <w:t>ПРАВИТЕЛЬСТВО РОССИЙСКОЙ ФЕДЕРАЦИИ</w:t>
      </w:r>
    </w:p>
    <w:p w:rsidR="00F1025C" w:rsidRDefault="00F1025C">
      <w:pPr>
        <w:pStyle w:val="ConsPlusTitle"/>
        <w:jc w:val="center"/>
      </w:pPr>
    </w:p>
    <w:p w:rsidR="00F1025C" w:rsidRDefault="00F1025C">
      <w:pPr>
        <w:pStyle w:val="ConsPlusTitle"/>
        <w:jc w:val="center"/>
      </w:pPr>
      <w:r>
        <w:t>ПОСТАНОВЛЕНИЕ</w:t>
      </w:r>
    </w:p>
    <w:p w:rsidR="00F1025C" w:rsidRDefault="00F1025C">
      <w:pPr>
        <w:pStyle w:val="ConsPlusTitle"/>
        <w:jc w:val="center"/>
      </w:pPr>
      <w:r>
        <w:t>от 7 марта 2020 г. N 246</w:t>
      </w:r>
    </w:p>
    <w:p w:rsidR="00F1025C" w:rsidRDefault="00F1025C">
      <w:pPr>
        <w:pStyle w:val="ConsPlusTitle"/>
        <w:jc w:val="center"/>
      </w:pPr>
    </w:p>
    <w:p w:rsidR="00F1025C" w:rsidRDefault="00F1025C">
      <w:pPr>
        <w:pStyle w:val="ConsPlusTitle"/>
        <w:jc w:val="center"/>
      </w:pPr>
      <w:r>
        <w:t>О ВНЕСЕНИИ ИЗМЕНЕНИЙ</w:t>
      </w:r>
    </w:p>
    <w:p w:rsidR="00F1025C" w:rsidRDefault="00F1025C">
      <w:pPr>
        <w:pStyle w:val="ConsPlusTitle"/>
        <w:jc w:val="center"/>
      </w:pPr>
      <w:r>
        <w:t>В НЕКОТОРЫЕ АКТЫ ПРАВИТЕЛЬСТВА РОССИЙСКОЙ ФЕДЕРАЦИИ</w:t>
      </w:r>
    </w:p>
    <w:p w:rsidR="00F1025C" w:rsidRDefault="00F1025C">
      <w:pPr>
        <w:pStyle w:val="ConsPlusTitle"/>
        <w:jc w:val="center"/>
      </w:pPr>
      <w:r>
        <w:t>ПО ВОПРОСУ УСТАНОВЛЕНИЯ РЕГУЛИРУЕМЫХ ЦЕН (ТАРИФОВ)</w:t>
      </w:r>
    </w:p>
    <w:p w:rsidR="00F1025C" w:rsidRDefault="00F1025C">
      <w:pPr>
        <w:pStyle w:val="ConsPlusTitle"/>
        <w:jc w:val="center"/>
      </w:pPr>
      <w:r>
        <w:t xml:space="preserve">В ЭЛЕКТРОЭНЕРГЕТИКЕ И ПРИЗНАНИИ </w:t>
      </w:r>
      <w:proofErr w:type="gramStart"/>
      <w:r>
        <w:t>УТРАТИВШИМИ</w:t>
      </w:r>
      <w:proofErr w:type="gramEnd"/>
      <w:r>
        <w:t xml:space="preserve"> СИЛУ</w:t>
      </w:r>
    </w:p>
    <w:p w:rsidR="00F1025C" w:rsidRDefault="00F1025C">
      <w:pPr>
        <w:pStyle w:val="ConsPlusTitle"/>
        <w:jc w:val="center"/>
      </w:pPr>
      <w:r>
        <w:t>ОТДЕЛЬНЫХ ПОЛОЖЕНИЙ НЕКОТОРЫХ АКТОВ ПРАВИТЕЛЬСТВА</w:t>
      </w:r>
    </w:p>
    <w:p w:rsidR="00F1025C" w:rsidRDefault="00F1025C">
      <w:pPr>
        <w:pStyle w:val="ConsPlusTitle"/>
        <w:jc w:val="center"/>
      </w:pPr>
      <w:r>
        <w:t>РОССИЙСКОЙ ФЕДЕРАЦИИ</w:t>
      </w:r>
    </w:p>
    <w:p w:rsidR="00F1025C" w:rsidRDefault="00F1025C">
      <w:pPr>
        <w:pStyle w:val="ConsPlusNormal"/>
        <w:jc w:val="both"/>
      </w:pPr>
    </w:p>
    <w:p w:rsidR="00F1025C" w:rsidRDefault="00F1025C">
      <w:pPr>
        <w:pStyle w:val="ConsPlusNormal"/>
        <w:ind w:firstLine="540"/>
        <w:jc w:val="both"/>
      </w:pPr>
      <w:r>
        <w:t>Правительство Российской Федерации постановляет:</w:t>
      </w:r>
    </w:p>
    <w:p w:rsidR="00F1025C" w:rsidRDefault="00F1025C">
      <w:pPr>
        <w:pStyle w:val="ConsPlusNormal"/>
        <w:spacing w:before="220"/>
        <w:ind w:firstLine="540"/>
        <w:jc w:val="both"/>
      </w:pPr>
      <w:r>
        <w:t xml:space="preserve">1. Утвердить прилагаемые </w:t>
      </w:r>
      <w:hyperlink w:anchor="P33" w:history="1">
        <w:r>
          <w:rPr>
            <w:color w:val="0000FF"/>
          </w:rPr>
          <w:t>изменения</w:t>
        </w:r>
      </w:hyperlink>
      <w:r>
        <w:t>, которые вносятся в акты Правительства Российской Федерации по вопросу установления регулируемых цен (тарифов) в электроэнергетике.</w:t>
      </w:r>
    </w:p>
    <w:p w:rsidR="00F1025C" w:rsidRDefault="00F1025C">
      <w:pPr>
        <w:pStyle w:val="ConsPlusNormal"/>
        <w:spacing w:before="220"/>
        <w:ind w:firstLine="540"/>
        <w:jc w:val="both"/>
      </w:pPr>
      <w:r>
        <w:t>2. Федеральной антимонопольной службе в 4-месячный срок привести свои нормативные правовые акты в соответствие с настоящим постановлением.</w:t>
      </w:r>
    </w:p>
    <w:p w:rsidR="00F1025C" w:rsidRDefault="00F1025C">
      <w:pPr>
        <w:pStyle w:val="ConsPlusNormal"/>
        <w:spacing w:before="220"/>
        <w:ind w:firstLine="540"/>
        <w:jc w:val="both"/>
      </w:pPr>
      <w:r>
        <w:t>3. Признать утратившими силу:</w:t>
      </w:r>
    </w:p>
    <w:p w:rsidR="00F1025C" w:rsidRDefault="00F1025C">
      <w:pPr>
        <w:pStyle w:val="ConsPlusNormal"/>
        <w:spacing w:before="220"/>
        <w:ind w:firstLine="540"/>
        <w:jc w:val="both"/>
      </w:pPr>
      <w:hyperlink r:id="rId4" w:history="1">
        <w:proofErr w:type="gramStart"/>
        <w:r>
          <w:rPr>
            <w:color w:val="0000FF"/>
          </w:rPr>
          <w:t>абзацы третий</w:t>
        </w:r>
      </w:hyperlink>
      <w:r>
        <w:t xml:space="preserve"> - </w:t>
      </w:r>
      <w:hyperlink r:id="rId5" w:history="1">
        <w:r>
          <w:rPr>
            <w:color w:val="0000FF"/>
          </w:rPr>
          <w:t>пятый подпункта "г" пункта 4</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2012, N 23, ст. 3008);</w:t>
      </w:r>
      <w:proofErr w:type="gramEnd"/>
    </w:p>
    <w:p w:rsidR="00F1025C" w:rsidRDefault="00F1025C">
      <w:pPr>
        <w:pStyle w:val="ConsPlusNormal"/>
        <w:spacing w:before="220"/>
        <w:ind w:firstLine="540"/>
        <w:jc w:val="both"/>
      </w:pPr>
      <w:hyperlink r:id="rId6" w:history="1">
        <w:proofErr w:type="gramStart"/>
        <w:r>
          <w:rPr>
            <w:color w:val="0000FF"/>
          </w:rPr>
          <w:t>подпункт "а" пункта 1</w:t>
        </w:r>
      </w:hyperlink>
      <w:r>
        <w:t xml:space="preserve"> изменений, которые вносятся в акты Правительства Российской Федерации по вопросам изменения зон деятельности гарантирующих поставщиков, утвержденных постановлением Правительства Российской Федерации от 28 мая 2015 г. N 508 "О внесении изменений в некоторые акты Правительства Российской Федерации по вопросам изменения зон деятельности гарантирующих поставщиков" (Собрание законодательства Российской Федерации, 2015, N 23, ст. 3312).</w:t>
      </w:r>
      <w:proofErr w:type="gramEnd"/>
    </w:p>
    <w:p w:rsidR="00F1025C" w:rsidRDefault="00F1025C">
      <w:pPr>
        <w:pStyle w:val="ConsPlusNormal"/>
        <w:jc w:val="both"/>
      </w:pPr>
    </w:p>
    <w:p w:rsidR="00F1025C" w:rsidRDefault="00F1025C">
      <w:pPr>
        <w:pStyle w:val="ConsPlusNormal"/>
        <w:jc w:val="right"/>
      </w:pPr>
      <w:r>
        <w:t>Председатель Правительства</w:t>
      </w:r>
    </w:p>
    <w:p w:rsidR="00F1025C" w:rsidRDefault="00F1025C">
      <w:pPr>
        <w:pStyle w:val="ConsPlusNormal"/>
        <w:jc w:val="right"/>
      </w:pPr>
      <w:r>
        <w:t>Российской Федерации</w:t>
      </w:r>
    </w:p>
    <w:p w:rsidR="00F1025C" w:rsidRDefault="00F1025C">
      <w:pPr>
        <w:pStyle w:val="ConsPlusNormal"/>
        <w:jc w:val="right"/>
      </w:pPr>
      <w:r>
        <w:t>М.МИШУСТИН</w:t>
      </w:r>
    </w:p>
    <w:p w:rsidR="00F1025C" w:rsidRDefault="00F1025C">
      <w:pPr>
        <w:pStyle w:val="ConsPlusNormal"/>
        <w:jc w:val="both"/>
      </w:pPr>
    </w:p>
    <w:p w:rsidR="00F1025C" w:rsidRDefault="00F1025C">
      <w:pPr>
        <w:pStyle w:val="ConsPlusNormal"/>
        <w:jc w:val="both"/>
      </w:pPr>
    </w:p>
    <w:p w:rsidR="00F1025C" w:rsidRDefault="00F1025C">
      <w:pPr>
        <w:pStyle w:val="ConsPlusNormal"/>
        <w:jc w:val="both"/>
      </w:pPr>
    </w:p>
    <w:p w:rsidR="00F1025C" w:rsidRDefault="00F1025C">
      <w:pPr>
        <w:pStyle w:val="ConsPlusNormal"/>
        <w:jc w:val="both"/>
      </w:pPr>
    </w:p>
    <w:p w:rsidR="00F1025C" w:rsidRDefault="00F1025C">
      <w:pPr>
        <w:pStyle w:val="ConsPlusNormal"/>
        <w:jc w:val="both"/>
      </w:pPr>
    </w:p>
    <w:p w:rsidR="00F1025C" w:rsidRDefault="00F1025C">
      <w:pPr>
        <w:pStyle w:val="ConsPlusNormal"/>
        <w:jc w:val="right"/>
        <w:outlineLvl w:val="0"/>
      </w:pPr>
      <w:r>
        <w:t>Утверждены</w:t>
      </w:r>
    </w:p>
    <w:p w:rsidR="00F1025C" w:rsidRDefault="00F1025C">
      <w:pPr>
        <w:pStyle w:val="ConsPlusNormal"/>
        <w:jc w:val="right"/>
      </w:pPr>
      <w:r>
        <w:t>постановлением Правительства</w:t>
      </w:r>
    </w:p>
    <w:p w:rsidR="00F1025C" w:rsidRDefault="00F1025C">
      <w:pPr>
        <w:pStyle w:val="ConsPlusNormal"/>
        <w:jc w:val="right"/>
      </w:pPr>
      <w:r>
        <w:t>Российской Федерации</w:t>
      </w:r>
    </w:p>
    <w:p w:rsidR="00F1025C" w:rsidRDefault="00F1025C">
      <w:pPr>
        <w:pStyle w:val="ConsPlusNormal"/>
        <w:jc w:val="right"/>
      </w:pPr>
      <w:r>
        <w:t>от 7 марта 2020 г. N 246</w:t>
      </w:r>
    </w:p>
    <w:p w:rsidR="00F1025C" w:rsidRDefault="00F1025C">
      <w:pPr>
        <w:pStyle w:val="ConsPlusNormal"/>
        <w:jc w:val="both"/>
      </w:pPr>
    </w:p>
    <w:p w:rsidR="00F1025C" w:rsidRDefault="00F1025C">
      <w:pPr>
        <w:pStyle w:val="ConsPlusTitle"/>
        <w:jc w:val="center"/>
      </w:pPr>
      <w:bookmarkStart w:id="0" w:name="P33"/>
      <w:bookmarkEnd w:id="0"/>
      <w:r>
        <w:t>ИЗМЕНЕНИЯ,</w:t>
      </w:r>
    </w:p>
    <w:p w:rsidR="00F1025C" w:rsidRDefault="00F1025C">
      <w:pPr>
        <w:pStyle w:val="ConsPlusTitle"/>
        <w:jc w:val="center"/>
      </w:pPr>
      <w:r>
        <w:t>КОТОРЫЕ ВНОСЯТСЯ В АКТЫ ПРАВИТЕЛЬСТВА РОССИЙСКОЙ ФЕДЕРАЦИИ</w:t>
      </w:r>
    </w:p>
    <w:p w:rsidR="00F1025C" w:rsidRDefault="00F1025C">
      <w:pPr>
        <w:pStyle w:val="ConsPlusTitle"/>
        <w:jc w:val="center"/>
      </w:pPr>
      <w:r>
        <w:t>ПО ВОПРОСУ УСТАНОВЛЕНИЯ РЕГУЛИРУЕМЫХ ЦЕН (ТАРИФОВ)</w:t>
      </w:r>
    </w:p>
    <w:p w:rsidR="00F1025C" w:rsidRDefault="00F1025C">
      <w:pPr>
        <w:pStyle w:val="ConsPlusTitle"/>
        <w:jc w:val="center"/>
      </w:pPr>
      <w:r>
        <w:t>В ЭЛЕКТРОЭНЕРГЕТИКЕ</w:t>
      </w:r>
    </w:p>
    <w:p w:rsidR="00F1025C" w:rsidRDefault="00F1025C">
      <w:pPr>
        <w:pStyle w:val="ConsPlusNormal"/>
        <w:jc w:val="both"/>
      </w:pPr>
    </w:p>
    <w:p w:rsidR="00F1025C" w:rsidRDefault="00F1025C">
      <w:pPr>
        <w:pStyle w:val="ConsPlusNormal"/>
        <w:ind w:firstLine="540"/>
        <w:jc w:val="both"/>
      </w:pPr>
      <w:r>
        <w:lastRenderedPageBreak/>
        <w:t xml:space="preserve">1. </w:t>
      </w:r>
      <w:hyperlink r:id="rId7" w:history="1">
        <w:proofErr w:type="gramStart"/>
        <w:r>
          <w:rPr>
            <w:color w:val="0000FF"/>
          </w:rPr>
          <w:t>Приложения N 4</w:t>
        </w:r>
      </w:hyperlink>
      <w:r>
        <w:t xml:space="preserve"> и </w:t>
      </w:r>
      <w:hyperlink r:id="rId8" w:history="1">
        <w:r>
          <w:rPr>
            <w:color w:val="0000FF"/>
          </w:rPr>
          <w:t>5</w:t>
        </w:r>
      </w:hyperlink>
      <w:r>
        <w:t xml:space="preserve"> к стандартам раскрытия информации субъектами оптового и розничных рынков электрической энергии, утвержденным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(Собрание законодательства Российской Федерации, 2004, N 4, ст. 282; 2019, N 6, ст. 527), изложить в следующей редакции:</w:t>
      </w:r>
      <w:proofErr w:type="gramEnd"/>
    </w:p>
    <w:p w:rsidR="00F1025C" w:rsidRDefault="00F1025C">
      <w:pPr>
        <w:pStyle w:val="ConsPlusNormal"/>
        <w:jc w:val="both"/>
      </w:pPr>
    </w:p>
    <w:p w:rsidR="00F1025C" w:rsidRDefault="00F1025C">
      <w:pPr>
        <w:pStyle w:val="ConsPlusNormal"/>
        <w:jc w:val="right"/>
      </w:pPr>
      <w:r>
        <w:t>"Приложение N 4</w:t>
      </w:r>
    </w:p>
    <w:p w:rsidR="00F1025C" w:rsidRDefault="00F1025C">
      <w:pPr>
        <w:pStyle w:val="ConsPlusNormal"/>
        <w:jc w:val="right"/>
      </w:pPr>
      <w:r>
        <w:t>к стандартам раскрытия информации</w:t>
      </w:r>
    </w:p>
    <w:p w:rsidR="00F1025C" w:rsidRDefault="00F1025C">
      <w:pPr>
        <w:pStyle w:val="ConsPlusNormal"/>
        <w:jc w:val="right"/>
      </w:pPr>
      <w:r>
        <w:t xml:space="preserve">субъектами </w:t>
      </w:r>
      <w:proofErr w:type="gramStart"/>
      <w:r>
        <w:t>оптового</w:t>
      </w:r>
      <w:proofErr w:type="gramEnd"/>
      <w:r>
        <w:t xml:space="preserve"> и розничных</w:t>
      </w:r>
    </w:p>
    <w:p w:rsidR="00F1025C" w:rsidRDefault="00F1025C">
      <w:pPr>
        <w:pStyle w:val="ConsPlusNormal"/>
        <w:jc w:val="right"/>
      </w:pPr>
      <w:r>
        <w:t>рынков электрической энергии</w:t>
      </w:r>
    </w:p>
    <w:p w:rsidR="00F1025C" w:rsidRDefault="00F1025C">
      <w:pPr>
        <w:pStyle w:val="ConsPlusNormal"/>
        <w:jc w:val="right"/>
      </w:pPr>
      <w:proofErr w:type="gramStart"/>
      <w:r>
        <w:t>(в редакции постановления</w:t>
      </w:r>
      <w:proofErr w:type="gramEnd"/>
    </w:p>
    <w:p w:rsidR="00F1025C" w:rsidRDefault="00F1025C">
      <w:pPr>
        <w:pStyle w:val="ConsPlusNormal"/>
        <w:jc w:val="right"/>
      </w:pPr>
      <w:r>
        <w:t>Правительства Российской Федерации</w:t>
      </w:r>
    </w:p>
    <w:p w:rsidR="00F1025C" w:rsidRDefault="00F1025C">
      <w:pPr>
        <w:pStyle w:val="ConsPlusNormal"/>
        <w:jc w:val="right"/>
      </w:pPr>
      <w:r>
        <w:t>от 7 марта 2020 г. N 246)</w:t>
      </w:r>
    </w:p>
    <w:p w:rsidR="00F1025C" w:rsidRDefault="00F1025C">
      <w:pPr>
        <w:pStyle w:val="ConsPlusNormal"/>
        <w:jc w:val="both"/>
      </w:pPr>
    </w:p>
    <w:p w:rsidR="00F1025C" w:rsidRDefault="00F1025C">
      <w:pPr>
        <w:pStyle w:val="ConsPlusNormal"/>
        <w:jc w:val="right"/>
      </w:pPr>
      <w:r>
        <w:t>(форма)</w:t>
      </w:r>
    </w:p>
    <w:p w:rsidR="00F1025C" w:rsidRDefault="00F1025C">
      <w:pPr>
        <w:pStyle w:val="ConsPlusNormal"/>
        <w:jc w:val="both"/>
      </w:pPr>
    </w:p>
    <w:p w:rsidR="00F1025C" w:rsidRDefault="00F1025C">
      <w:pPr>
        <w:pStyle w:val="ConsPlusNormal"/>
        <w:jc w:val="center"/>
      </w:pPr>
      <w:r>
        <w:t>ИНФОРМАЦИЯ</w:t>
      </w:r>
    </w:p>
    <w:p w:rsidR="00F1025C" w:rsidRDefault="00F1025C">
      <w:pPr>
        <w:pStyle w:val="ConsPlusNormal"/>
        <w:jc w:val="center"/>
      </w:pPr>
      <w:r>
        <w:t>об осуществлении технологического присоединения</w:t>
      </w:r>
    </w:p>
    <w:p w:rsidR="00F1025C" w:rsidRDefault="00F1025C">
      <w:pPr>
        <w:pStyle w:val="ConsPlusNormal"/>
        <w:jc w:val="center"/>
      </w:pPr>
      <w:r>
        <w:t>по договорам, заключенным за текущий год</w:t>
      </w:r>
    </w:p>
    <w:p w:rsidR="00F1025C" w:rsidRDefault="00F1025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3"/>
        <w:gridCol w:w="2654"/>
        <w:gridCol w:w="661"/>
        <w:gridCol w:w="661"/>
        <w:gridCol w:w="661"/>
        <w:gridCol w:w="661"/>
        <w:gridCol w:w="661"/>
        <w:gridCol w:w="661"/>
        <w:gridCol w:w="661"/>
        <w:gridCol w:w="661"/>
        <w:gridCol w:w="663"/>
      </w:tblGrid>
      <w:tr w:rsidR="00F1025C">
        <w:tc>
          <w:tcPr>
            <w:tcW w:w="3067" w:type="dxa"/>
            <w:gridSpan w:val="2"/>
            <w:vMerge w:val="restart"/>
            <w:tcBorders>
              <w:top w:val="single" w:sz="4" w:space="0" w:color="auto"/>
              <w:left w:val="nil"/>
              <w:bottom w:val="single" w:sz="4" w:space="0" w:color="auto"/>
            </w:tcBorders>
          </w:tcPr>
          <w:p w:rsidR="00F1025C" w:rsidRDefault="00F1025C">
            <w:pPr>
              <w:pStyle w:val="ConsPlusNormal"/>
              <w:jc w:val="center"/>
            </w:pPr>
            <w:r>
              <w:t>Категория заявителей</w:t>
            </w:r>
          </w:p>
        </w:tc>
        <w:tc>
          <w:tcPr>
            <w:tcW w:w="1983" w:type="dxa"/>
            <w:gridSpan w:val="3"/>
            <w:tcBorders>
              <w:top w:val="single" w:sz="4" w:space="0" w:color="auto"/>
              <w:bottom w:val="single" w:sz="4" w:space="0" w:color="auto"/>
            </w:tcBorders>
          </w:tcPr>
          <w:p w:rsidR="00F1025C" w:rsidRDefault="00F1025C">
            <w:pPr>
              <w:pStyle w:val="ConsPlusNormal"/>
              <w:jc w:val="center"/>
            </w:pPr>
            <w:r>
              <w:t>Количество договоров (штук)</w:t>
            </w:r>
          </w:p>
        </w:tc>
        <w:tc>
          <w:tcPr>
            <w:tcW w:w="1983" w:type="dxa"/>
            <w:gridSpan w:val="3"/>
            <w:tcBorders>
              <w:top w:val="single" w:sz="4" w:space="0" w:color="auto"/>
              <w:bottom w:val="single" w:sz="4" w:space="0" w:color="auto"/>
            </w:tcBorders>
          </w:tcPr>
          <w:p w:rsidR="00F1025C" w:rsidRDefault="00F1025C">
            <w:pPr>
              <w:pStyle w:val="ConsPlusNormal"/>
              <w:jc w:val="center"/>
            </w:pPr>
            <w:r>
              <w:t>Максимальная мощность (кВт)</w:t>
            </w:r>
          </w:p>
        </w:tc>
        <w:tc>
          <w:tcPr>
            <w:tcW w:w="1985" w:type="dxa"/>
            <w:gridSpan w:val="3"/>
            <w:tcBorders>
              <w:top w:val="single" w:sz="4" w:space="0" w:color="auto"/>
              <w:bottom w:val="single" w:sz="4" w:space="0" w:color="auto"/>
              <w:right w:val="nil"/>
            </w:tcBorders>
          </w:tcPr>
          <w:p w:rsidR="00F1025C" w:rsidRDefault="00F1025C">
            <w:pPr>
              <w:pStyle w:val="ConsPlusNormal"/>
              <w:jc w:val="center"/>
            </w:pPr>
            <w:r>
              <w:t>Стоимость договоров (без НДС)</w:t>
            </w:r>
          </w:p>
          <w:p w:rsidR="00F1025C" w:rsidRDefault="00F1025C">
            <w:pPr>
              <w:pStyle w:val="ConsPlusNormal"/>
              <w:jc w:val="center"/>
            </w:pPr>
            <w:r>
              <w:t>(тыс. рублей)</w:t>
            </w:r>
          </w:p>
        </w:tc>
      </w:tr>
      <w:tr w:rsidR="00F1025C">
        <w:tblPrEx>
          <w:tblBorders>
            <w:left w:val="single" w:sz="4" w:space="0" w:color="auto"/>
          </w:tblBorders>
        </w:tblPrEx>
        <w:tc>
          <w:tcPr>
            <w:tcW w:w="3067" w:type="dxa"/>
            <w:gridSpan w:val="2"/>
            <w:vMerge/>
            <w:tcBorders>
              <w:top w:val="single" w:sz="4" w:space="0" w:color="auto"/>
              <w:left w:val="nil"/>
              <w:bottom w:val="single" w:sz="4" w:space="0" w:color="auto"/>
            </w:tcBorders>
          </w:tcPr>
          <w:p w:rsidR="00F1025C" w:rsidRDefault="00F1025C"/>
        </w:tc>
        <w:tc>
          <w:tcPr>
            <w:tcW w:w="661" w:type="dxa"/>
            <w:tcBorders>
              <w:top w:val="single" w:sz="4" w:space="0" w:color="auto"/>
              <w:bottom w:val="single" w:sz="4" w:space="0" w:color="auto"/>
            </w:tcBorders>
          </w:tcPr>
          <w:p w:rsidR="00F1025C" w:rsidRDefault="00F1025C">
            <w:pPr>
              <w:pStyle w:val="ConsPlusNormal"/>
              <w:jc w:val="center"/>
            </w:pPr>
            <w:r>
              <w:t>0,4 кВ</w:t>
            </w:r>
          </w:p>
        </w:tc>
        <w:tc>
          <w:tcPr>
            <w:tcW w:w="661" w:type="dxa"/>
            <w:tcBorders>
              <w:top w:val="single" w:sz="4" w:space="0" w:color="auto"/>
              <w:bottom w:val="single" w:sz="4" w:space="0" w:color="auto"/>
            </w:tcBorders>
          </w:tcPr>
          <w:p w:rsidR="00F1025C" w:rsidRDefault="00F1025C">
            <w:pPr>
              <w:pStyle w:val="ConsPlusNormal"/>
              <w:jc w:val="center"/>
            </w:pPr>
            <w:r>
              <w:t>1 - 20 кВ</w:t>
            </w:r>
          </w:p>
        </w:tc>
        <w:tc>
          <w:tcPr>
            <w:tcW w:w="661" w:type="dxa"/>
            <w:tcBorders>
              <w:top w:val="single" w:sz="4" w:space="0" w:color="auto"/>
              <w:bottom w:val="single" w:sz="4" w:space="0" w:color="auto"/>
            </w:tcBorders>
          </w:tcPr>
          <w:p w:rsidR="00F1025C" w:rsidRDefault="00F1025C">
            <w:pPr>
              <w:pStyle w:val="ConsPlusNormal"/>
              <w:jc w:val="center"/>
            </w:pPr>
            <w:r>
              <w:t>35 кВ и выше</w:t>
            </w:r>
          </w:p>
        </w:tc>
        <w:tc>
          <w:tcPr>
            <w:tcW w:w="661" w:type="dxa"/>
            <w:tcBorders>
              <w:top w:val="single" w:sz="4" w:space="0" w:color="auto"/>
              <w:bottom w:val="single" w:sz="4" w:space="0" w:color="auto"/>
            </w:tcBorders>
          </w:tcPr>
          <w:p w:rsidR="00F1025C" w:rsidRDefault="00F1025C">
            <w:pPr>
              <w:pStyle w:val="ConsPlusNormal"/>
              <w:jc w:val="center"/>
            </w:pPr>
            <w:r>
              <w:t>0,4 кВ</w:t>
            </w:r>
          </w:p>
        </w:tc>
        <w:tc>
          <w:tcPr>
            <w:tcW w:w="661" w:type="dxa"/>
            <w:tcBorders>
              <w:top w:val="single" w:sz="4" w:space="0" w:color="auto"/>
              <w:bottom w:val="single" w:sz="4" w:space="0" w:color="auto"/>
            </w:tcBorders>
          </w:tcPr>
          <w:p w:rsidR="00F1025C" w:rsidRDefault="00F1025C">
            <w:pPr>
              <w:pStyle w:val="ConsPlusNormal"/>
              <w:jc w:val="center"/>
            </w:pPr>
            <w:r>
              <w:t>1 - 20 кВ</w:t>
            </w:r>
          </w:p>
        </w:tc>
        <w:tc>
          <w:tcPr>
            <w:tcW w:w="661" w:type="dxa"/>
            <w:tcBorders>
              <w:top w:val="single" w:sz="4" w:space="0" w:color="auto"/>
              <w:bottom w:val="single" w:sz="4" w:space="0" w:color="auto"/>
            </w:tcBorders>
          </w:tcPr>
          <w:p w:rsidR="00F1025C" w:rsidRDefault="00F1025C">
            <w:pPr>
              <w:pStyle w:val="ConsPlusNormal"/>
              <w:jc w:val="center"/>
            </w:pPr>
            <w:r>
              <w:t>35 кВ и выше</w:t>
            </w:r>
          </w:p>
        </w:tc>
        <w:tc>
          <w:tcPr>
            <w:tcW w:w="661" w:type="dxa"/>
            <w:tcBorders>
              <w:top w:val="single" w:sz="4" w:space="0" w:color="auto"/>
              <w:bottom w:val="single" w:sz="4" w:space="0" w:color="auto"/>
            </w:tcBorders>
          </w:tcPr>
          <w:p w:rsidR="00F1025C" w:rsidRDefault="00F1025C">
            <w:pPr>
              <w:pStyle w:val="ConsPlusNormal"/>
              <w:jc w:val="center"/>
            </w:pPr>
            <w:r>
              <w:t>0,4 кВ</w:t>
            </w:r>
          </w:p>
        </w:tc>
        <w:tc>
          <w:tcPr>
            <w:tcW w:w="661" w:type="dxa"/>
            <w:tcBorders>
              <w:top w:val="single" w:sz="4" w:space="0" w:color="auto"/>
              <w:bottom w:val="single" w:sz="4" w:space="0" w:color="auto"/>
            </w:tcBorders>
          </w:tcPr>
          <w:p w:rsidR="00F1025C" w:rsidRDefault="00F1025C">
            <w:pPr>
              <w:pStyle w:val="ConsPlusNormal"/>
              <w:jc w:val="center"/>
            </w:pPr>
            <w:r>
              <w:t>1 - 20 кВ</w:t>
            </w:r>
          </w:p>
        </w:tc>
        <w:tc>
          <w:tcPr>
            <w:tcW w:w="663" w:type="dxa"/>
            <w:tcBorders>
              <w:top w:val="single" w:sz="4" w:space="0" w:color="auto"/>
              <w:bottom w:val="single" w:sz="4" w:space="0" w:color="auto"/>
              <w:right w:val="nil"/>
            </w:tcBorders>
          </w:tcPr>
          <w:p w:rsidR="00F1025C" w:rsidRDefault="00F1025C">
            <w:pPr>
              <w:pStyle w:val="ConsPlusNormal"/>
              <w:jc w:val="center"/>
            </w:pPr>
            <w:r>
              <w:t>35 кВ и выше</w:t>
            </w:r>
          </w:p>
        </w:tc>
      </w:tr>
      <w:tr w:rsidR="00F1025C">
        <w:tblPrEx>
          <w:tblBorders>
            <w:insideH w:val="none" w:sz="0" w:space="0" w:color="auto"/>
            <w:insideV w:val="none" w:sz="0" w:space="0" w:color="auto"/>
          </w:tblBorders>
        </w:tblPrEx>
        <w:tc>
          <w:tcPr>
            <w:tcW w:w="413" w:type="dxa"/>
            <w:tcBorders>
              <w:top w:val="single" w:sz="4" w:space="0" w:color="auto"/>
              <w:left w:val="nil"/>
              <w:bottom w:val="nil"/>
              <w:right w:val="nil"/>
            </w:tcBorders>
          </w:tcPr>
          <w:p w:rsidR="00F1025C" w:rsidRDefault="00F1025C">
            <w:pPr>
              <w:pStyle w:val="ConsPlusNormal"/>
              <w:jc w:val="center"/>
            </w:pPr>
            <w:r>
              <w:t>1.</w:t>
            </w:r>
          </w:p>
        </w:tc>
        <w:tc>
          <w:tcPr>
            <w:tcW w:w="2654" w:type="dxa"/>
            <w:tcBorders>
              <w:top w:val="single" w:sz="4" w:space="0" w:color="auto"/>
              <w:left w:val="nil"/>
              <w:bottom w:val="nil"/>
              <w:right w:val="nil"/>
            </w:tcBorders>
          </w:tcPr>
          <w:p w:rsidR="00F1025C" w:rsidRDefault="00F1025C">
            <w:pPr>
              <w:pStyle w:val="ConsPlusNormal"/>
            </w:pPr>
            <w:r>
              <w:t>До 15 кВт - всего</w:t>
            </w:r>
          </w:p>
        </w:tc>
        <w:tc>
          <w:tcPr>
            <w:tcW w:w="661" w:type="dxa"/>
            <w:tcBorders>
              <w:top w:val="single" w:sz="4" w:space="0" w:color="auto"/>
              <w:left w:val="nil"/>
              <w:bottom w:val="nil"/>
              <w:right w:val="nil"/>
            </w:tcBorders>
          </w:tcPr>
          <w:p w:rsidR="00F1025C" w:rsidRDefault="00F1025C">
            <w:pPr>
              <w:pStyle w:val="ConsPlusNormal"/>
            </w:pPr>
          </w:p>
        </w:tc>
        <w:tc>
          <w:tcPr>
            <w:tcW w:w="661" w:type="dxa"/>
            <w:tcBorders>
              <w:top w:val="single" w:sz="4" w:space="0" w:color="auto"/>
              <w:left w:val="nil"/>
              <w:bottom w:val="nil"/>
              <w:right w:val="nil"/>
            </w:tcBorders>
          </w:tcPr>
          <w:p w:rsidR="00F1025C" w:rsidRDefault="00F1025C">
            <w:pPr>
              <w:pStyle w:val="ConsPlusNormal"/>
            </w:pPr>
          </w:p>
        </w:tc>
        <w:tc>
          <w:tcPr>
            <w:tcW w:w="661" w:type="dxa"/>
            <w:tcBorders>
              <w:top w:val="single" w:sz="4" w:space="0" w:color="auto"/>
              <w:left w:val="nil"/>
              <w:bottom w:val="nil"/>
              <w:right w:val="nil"/>
            </w:tcBorders>
          </w:tcPr>
          <w:p w:rsidR="00F1025C" w:rsidRDefault="00F1025C">
            <w:pPr>
              <w:pStyle w:val="ConsPlusNormal"/>
            </w:pPr>
          </w:p>
        </w:tc>
        <w:tc>
          <w:tcPr>
            <w:tcW w:w="661" w:type="dxa"/>
            <w:tcBorders>
              <w:top w:val="single" w:sz="4" w:space="0" w:color="auto"/>
              <w:left w:val="nil"/>
              <w:bottom w:val="nil"/>
              <w:right w:val="nil"/>
            </w:tcBorders>
          </w:tcPr>
          <w:p w:rsidR="00F1025C" w:rsidRDefault="00F1025C">
            <w:pPr>
              <w:pStyle w:val="ConsPlusNormal"/>
            </w:pPr>
          </w:p>
        </w:tc>
        <w:tc>
          <w:tcPr>
            <w:tcW w:w="661" w:type="dxa"/>
            <w:tcBorders>
              <w:top w:val="single" w:sz="4" w:space="0" w:color="auto"/>
              <w:left w:val="nil"/>
              <w:bottom w:val="nil"/>
              <w:right w:val="nil"/>
            </w:tcBorders>
          </w:tcPr>
          <w:p w:rsidR="00F1025C" w:rsidRDefault="00F1025C">
            <w:pPr>
              <w:pStyle w:val="ConsPlusNormal"/>
            </w:pPr>
          </w:p>
        </w:tc>
        <w:tc>
          <w:tcPr>
            <w:tcW w:w="661" w:type="dxa"/>
            <w:tcBorders>
              <w:top w:val="single" w:sz="4" w:space="0" w:color="auto"/>
              <w:left w:val="nil"/>
              <w:bottom w:val="nil"/>
              <w:right w:val="nil"/>
            </w:tcBorders>
          </w:tcPr>
          <w:p w:rsidR="00F1025C" w:rsidRDefault="00F1025C">
            <w:pPr>
              <w:pStyle w:val="ConsPlusNormal"/>
            </w:pPr>
          </w:p>
        </w:tc>
        <w:tc>
          <w:tcPr>
            <w:tcW w:w="661" w:type="dxa"/>
            <w:tcBorders>
              <w:top w:val="single" w:sz="4" w:space="0" w:color="auto"/>
              <w:left w:val="nil"/>
              <w:bottom w:val="nil"/>
              <w:right w:val="nil"/>
            </w:tcBorders>
          </w:tcPr>
          <w:p w:rsidR="00F1025C" w:rsidRDefault="00F1025C">
            <w:pPr>
              <w:pStyle w:val="ConsPlusNormal"/>
            </w:pPr>
          </w:p>
        </w:tc>
        <w:tc>
          <w:tcPr>
            <w:tcW w:w="661" w:type="dxa"/>
            <w:tcBorders>
              <w:top w:val="single" w:sz="4" w:space="0" w:color="auto"/>
              <w:left w:val="nil"/>
              <w:bottom w:val="nil"/>
              <w:right w:val="nil"/>
            </w:tcBorders>
          </w:tcPr>
          <w:p w:rsidR="00F1025C" w:rsidRDefault="00F1025C">
            <w:pPr>
              <w:pStyle w:val="ConsPlusNormal"/>
            </w:pPr>
          </w:p>
        </w:tc>
        <w:tc>
          <w:tcPr>
            <w:tcW w:w="663" w:type="dxa"/>
            <w:tcBorders>
              <w:top w:val="single" w:sz="4" w:space="0" w:color="auto"/>
              <w:left w:val="nil"/>
              <w:bottom w:val="nil"/>
              <w:right w:val="nil"/>
            </w:tcBorders>
          </w:tcPr>
          <w:p w:rsidR="00F1025C" w:rsidRDefault="00F1025C">
            <w:pPr>
              <w:pStyle w:val="ConsPlusNormal"/>
            </w:pPr>
          </w:p>
        </w:tc>
      </w:tr>
      <w:tr w:rsidR="00F1025C">
        <w:tblPrEx>
          <w:tblBorders>
            <w:insideH w:val="none" w:sz="0" w:space="0" w:color="auto"/>
            <w:insideV w:val="none" w:sz="0" w:space="0" w:color="auto"/>
          </w:tblBorders>
        </w:tblPrEx>
        <w:tc>
          <w:tcPr>
            <w:tcW w:w="413" w:type="dxa"/>
            <w:tcBorders>
              <w:top w:val="nil"/>
              <w:left w:val="nil"/>
              <w:bottom w:val="nil"/>
              <w:right w:val="nil"/>
            </w:tcBorders>
          </w:tcPr>
          <w:p w:rsidR="00F1025C" w:rsidRDefault="00F1025C">
            <w:pPr>
              <w:pStyle w:val="ConsPlusNormal"/>
            </w:pPr>
          </w:p>
        </w:tc>
        <w:tc>
          <w:tcPr>
            <w:tcW w:w="2654" w:type="dxa"/>
            <w:tcBorders>
              <w:top w:val="nil"/>
              <w:left w:val="nil"/>
              <w:bottom w:val="nil"/>
              <w:right w:val="nil"/>
            </w:tcBorders>
          </w:tcPr>
          <w:p w:rsidR="00F1025C" w:rsidRDefault="00F1025C">
            <w:pPr>
              <w:pStyle w:val="ConsPlusNormal"/>
              <w:ind w:left="283"/>
            </w:pPr>
            <w:r>
              <w:t>в том числе</w:t>
            </w:r>
          </w:p>
          <w:p w:rsidR="00F1025C" w:rsidRDefault="00F1025C">
            <w:pPr>
              <w:pStyle w:val="ConsPlusNormal"/>
              <w:ind w:left="283"/>
            </w:pPr>
            <w:r>
              <w:t>льготная категория &lt;*&gt;</w:t>
            </w: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3" w:type="dxa"/>
            <w:tcBorders>
              <w:top w:val="nil"/>
              <w:left w:val="nil"/>
              <w:bottom w:val="nil"/>
              <w:right w:val="nil"/>
            </w:tcBorders>
          </w:tcPr>
          <w:p w:rsidR="00F1025C" w:rsidRDefault="00F1025C">
            <w:pPr>
              <w:pStyle w:val="ConsPlusNormal"/>
            </w:pPr>
          </w:p>
        </w:tc>
      </w:tr>
      <w:tr w:rsidR="00F1025C">
        <w:tblPrEx>
          <w:tblBorders>
            <w:insideH w:val="none" w:sz="0" w:space="0" w:color="auto"/>
            <w:insideV w:val="none" w:sz="0" w:space="0" w:color="auto"/>
          </w:tblBorders>
        </w:tblPrEx>
        <w:tc>
          <w:tcPr>
            <w:tcW w:w="413" w:type="dxa"/>
            <w:tcBorders>
              <w:top w:val="nil"/>
              <w:left w:val="nil"/>
              <w:bottom w:val="nil"/>
              <w:right w:val="nil"/>
            </w:tcBorders>
          </w:tcPr>
          <w:p w:rsidR="00F1025C" w:rsidRDefault="00F1025C">
            <w:pPr>
              <w:pStyle w:val="ConsPlusNormal"/>
              <w:jc w:val="center"/>
            </w:pPr>
            <w:r>
              <w:t>2.</w:t>
            </w:r>
          </w:p>
        </w:tc>
        <w:tc>
          <w:tcPr>
            <w:tcW w:w="2654" w:type="dxa"/>
            <w:tcBorders>
              <w:top w:val="nil"/>
              <w:left w:val="nil"/>
              <w:bottom w:val="nil"/>
              <w:right w:val="nil"/>
            </w:tcBorders>
          </w:tcPr>
          <w:p w:rsidR="00F1025C" w:rsidRDefault="00F1025C">
            <w:pPr>
              <w:pStyle w:val="ConsPlusNormal"/>
            </w:pPr>
            <w:r>
              <w:t>От 15 до 150 кВт - всего</w:t>
            </w: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3" w:type="dxa"/>
            <w:tcBorders>
              <w:top w:val="nil"/>
              <w:left w:val="nil"/>
              <w:bottom w:val="nil"/>
              <w:right w:val="nil"/>
            </w:tcBorders>
          </w:tcPr>
          <w:p w:rsidR="00F1025C" w:rsidRDefault="00F1025C">
            <w:pPr>
              <w:pStyle w:val="ConsPlusNormal"/>
            </w:pPr>
          </w:p>
        </w:tc>
      </w:tr>
      <w:tr w:rsidR="00F1025C">
        <w:tblPrEx>
          <w:tblBorders>
            <w:insideH w:val="none" w:sz="0" w:space="0" w:color="auto"/>
            <w:insideV w:val="none" w:sz="0" w:space="0" w:color="auto"/>
          </w:tblBorders>
        </w:tblPrEx>
        <w:tc>
          <w:tcPr>
            <w:tcW w:w="413" w:type="dxa"/>
            <w:tcBorders>
              <w:top w:val="nil"/>
              <w:left w:val="nil"/>
              <w:bottom w:val="nil"/>
              <w:right w:val="nil"/>
            </w:tcBorders>
          </w:tcPr>
          <w:p w:rsidR="00F1025C" w:rsidRDefault="00F1025C">
            <w:pPr>
              <w:pStyle w:val="ConsPlusNormal"/>
            </w:pPr>
          </w:p>
        </w:tc>
        <w:tc>
          <w:tcPr>
            <w:tcW w:w="2654" w:type="dxa"/>
            <w:tcBorders>
              <w:top w:val="nil"/>
              <w:left w:val="nil"/>
              <w:bottom w:val="nil"/>
              <w:right w:val="nil"/>
            </w:tcBorders>
          </w:tcPr>
          <w:p w:rsidR="00F1025C" w:rsidRDefault="00F1025C">
            <w:pPr>
              <w:pStyle w:val="ConsPlusNormal"/>
              <w:ind w:left="283"/>
            </w:pPr>
            <w:r>
              <w:t>в том числе</w:t>
            </w:r>
          </w:p>
          <w:p w:rsidR="00F1025C" w:rsidRDefault="00F1025C">
            <w:pPr>
              <w:pStyle w:val="ConsPlusNormal"/>
              <w:ind w:left="283"/>
            </w:pPr>
            <w:r>
              <w:t>льготная категория &lt;**&gt;</w:t>
            </w: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3" w:type="dxa"/>
            <w:tcBorders>
              <w:top w:val="nil"/>
              <w:left w:val="nil"/>
              <w:bottom w:val="nil"/>
              <w:right w:val="nil"/>
            </w:tcBorders>
          </w:tcPr>
          <w:p w:rsidR="00F1025C" w:rsidRDefault="00F1025C">
            <w:pPr>
              <w:pStyle w:val="ConsPlusNormal"/>
            </w:pPr>
          </w:p>
        </w:tc>
      </w:tr>
      <w:tr w:rsidR="00F1025C">
        <w:tblPrEx>
          <w:tblBorders>
            <w:insideH w:val="none" w:sz="0" w:space="0" w:color="auto"/>
            <w:insideV w:val="none" w:sz="0" w:space="0" w:color="auto"/>
          </w:tblBorders>
        </w:tblPrEx>
        <w:tc>
          <w:tcPr>
            <w:tcW w:w="413" w:type="dxa"/>
            <w:tcBorders>
              <w:top w:val="nil"/>
              <w:left w:val="nil"/>
              <w:bottom w:val="nil"/>
              <w:right w:val="nil"/>
            </w:tcBorders>
          </w:tcPr>
          <w:p w:rsidR="00F1025C" w:rsidRDefault="00F1025C">
            <w:pPr>
              <w:pStyle w:val="ConsPlusNormal"/>
              <w:jc w:val="center"/>
            </w:pPr>
            <w:r>
              <w:t>3.</w:t>
            </w:r>
          </w:p>
        </w:tc>
        <w:tc>
          <w:tcPr>
            <w:tcW w:w="2654" w:type="dxa"/>
            <w:tcBorders>
              <w:top w:val="nil"/>
              <w:left w:val="nil"/>
              <w:bottom w:val="nil"/>
              <w:right w:val="nil"/>
            </w:tcBorders>
          </w:tcPr>
          <w:p w:rsidR="00F1025C" w:rsidRDefault="00F1025C">
            <w:pPr>
              <w:pStyle w:val="ConsPlusNormal"/>
            </w:pPr>
            <w:r>
              <w:t>От 150 кВт до 670 кВт - всего</w:t>
            </w: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3" w:type="dxa"/>
            <w:tcBorders>
              <w:top w:val="nil"/>
              <w:left w:val="nil"/>
              <w:bottom w:val="nil"/>
              <w:right w:val="nil"/>
            </w:tcBorders>
          </w:tcPr>
          <w:p w:rsidR="00F1025C" w:rsidRDefault="00F1025C">
            <w:pPr>
              <w:pStyle w:val="ConsPlusNormal"/>
            </w:pPr>
          </w:p>
        </w:tc>
      </w:tr>
      <w:tr w:rsidR="00F1025C">
        <w:tblPrEx>
          <w:tblBorders>
            <w:insideH w:val="none" w:sz="0" w:space="0" w:color="auto"/>
            <w:insideV w:val="none" w:sz="0" w:space="0" w:color="auto"/>
          </w:tblBorders>
        </w:tblPrEx>
        <w:tc>
          <w:tcPr>
            <w:tcW w:w="413" w:type="dxa"/>
            <w:tcBorders>
              <w:top w:val="nil"/>
              <w:left w:val="nil"/>
              <w:bottom w:val="nil"/>
              <w:right w:val="nil"/>
            </w:tcBorders>
          </w:tcPr>
          <w:p w:rsidR="00F1025C" w:rsidRDefault="00F1025C">
            <w:pPr>
              <w:pStyle w:val="ConsPlusNormal"/>
            </w:pPr>
          </w:p>
        </w:tc>
        <w:tc>
          <w:tcPr>
            <w:tcW w:w="2654" w:type="dxa"/>
            <w:tcBorders>
              <w:top w:val="nil"/>
              <w:left w:val="nil"/>
              <w:bottom w:val="nil"/>
              <w:right w:val="nil"/>
            </w:tcBorders>
          </w:tcPr>
          <w:p w:rsidR="00F1025C" w:rsidRDefault="00F1025C">
            <w:pPr>
              <w:pStyle w:val="ConsPlusNormal"/>
              <w:ind w:left="283"/>
            </w:pPr>
            <w:r>
              <w:t>в том числе</w:t>
            </w:r>
          </w:p>
          <w:p w:rsidR="00F1025C" w:rsidRDefault="00F1025C">
            <w:pPr>
              <w:pStyle w:val="ConsPlusNormal"/>
              <w:ind w:left="283"/>
            </w:pPr>
            <w:r>
              <w:t xml:space="preserve">по </w:t>
            </w:r>
            <w:proofErr w:type="gramStart"/>
            <w:r>
              <w:t>индивидуальному проекту</w:t>
            </w:r>
            <w:proofErr w:type="gramEnd"/>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3" w:type="dxa"/>
            <w:tcBorders>
              <w:top w:val="nil"/>
              <w:left w:val="nil"/>
              <w:bottom w:val="nil"/>
              <w:right w:val="nil"/>
            </w:tcBorders>
          </w:tcPr>
          <w:p w:rsidR="00F1025C" w:rsidRDefault="00F1025C">
            <w:pPr>
              <w:pStyle w:val="ConsPlusNormal"/>
            </w:pPr>
          </w:p>
        </w:tc>
      </w:tr>
      <w:tr w:rsidR="00F1025C">
        <w:tblPrEx>
          <w:tblBorders>
            <w:insideH w:val="none" w:sz="0" w:space="0" w:color="auto"/>
            <w:insideV w:val="none" w:sz="0" w:space="0" w:color="auto"/>
          </w:tblBorders>
        </w:tblPrEx>
        <w:tc>
          <w:tcPr>
            <w:tcW w:w="413" w:type="dxa"/>
            <w:tcBorders>
              <w:top w:val="nil"/>
              <w:left w:val="nil"/>
              <w:bottom w:val="nil"/>
              <w:right w:val="nil"/>
            </w:tcBorders>
          </w:tcPr>
          <w:p w:rsidR="00F1025C" w:rsidRDefault="00F1025C">
            <w:pPr>
              <w:pStyle w:val="ConsPlusNormal"/>
              <w:jc w:val="center"/>
            </w:pPr>
            <w:r>
              <w:t>4.</w:t>
            </w:r>
          </w:p>
        </w:tc>
        <w:tc>
          <w:tcPr>
            <w:tcW w:w="2654" w:type="dxa"/>
            <w:tcBorders>
              <w:top w:val="nil"/>
              <w:left w:val="nil"/>
              <w:bottom w:val="nil"/>
              <w:right w:val="nil"/>
            </w:tcBorders>
          </w:tcPr>
          <w:p w:rsidR="00F1025C" w:rsidRDefault="00F1025C">
            <w:pPr>
              <w:pStyle w:val="ConsPlusNormal"/>
            </w:pPr>
            <w:r>
              <w:t>От 670 кВт - всего</w:t>
            </w: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1" w:type="dxa"/>
            <w:tcBorders>
              <w:top w:val="nil"/>
              <w:left w:val="nil"/>
              <w:bottom w:val="nil"/>
              <w:right w:val="nil"/>
            </w:tcBorders>
          </w:tcPr>
          <w:p w:rsidR="00F1025C" w:rsidRDefault="00F1025C">
            <w:pPr>
              <w:pStyle w:val="ConsPlusNormal"/>
            </w:pPr>
          </w:p>
        </w:tc>
        <w:tc>
          <w:tcPr>
            <w:tcW w:w="663" w:type="dxa"/>
            <w:tcBorders>
              <w:top w:val="nil"/>
              <w:left w:val="nil"/>
              <w:bottom w:val="nil"/>
              <w:right w:val="nil"/>
            </w:tcBorders>
          </w:tcPr>
          <w:p w:rsidR="00F1025C" w:rsidRDefault="00F1025C">
            <w:pPr>
              <w:pStyle w:val="ConsPlusNormal"/>
            </w:pPr>
          </w:p>
        </w:tc>
      </w:tr>
      <w:tr w:rsidR="00F1025C">
        <w:tblPrEx>
          <w:tblBorders>
            <w:insideH w:val="none" w:sz="0" w:space="0" w:color="auto"/>
            <w:insideV w:val="none" w:sz="0" w:space="0" w:color="auto"/>
          </w:tblBorders>
        </w:tblPrEx>
        <w:tc>
          <w:tcPr>
            <w:tcW w:w="413" w:type="dxa"/>
            <w:tcBorders>
              <w:top w:val="nil"/>
              <w:left w:val="nil"/>
              <w:bottom w:val="single" w:sz="4" w:space="0" w:color="auto"/>
              <w:right w:val="nil"/>
            </w:tcBorders>
          </w:tcPr>
          <w:p w:rsidR="00F1025C" w:rsidRDefault="00F1025C">
            <w:pPr>
              <w:pStyle w:val="ConsPlusNormal"/>
            </w:pPr>
          </w:p>
        </w:tc>
        <w:tc>
          <w:tcPr>
            <w:tcW w:w="2654" w:type="dxa"/>
            <w:tcBorders>
              <w:top w:val="nil"/>
              <w:left w:val="nil"/>
              <w:bottom w:val="single" w:sz="4" w:space="0" w:color="auto"/>
              <w:right w:val="nil"/>
            </w:tcBorders>
          </w:tcPr>
          <w:p w:rsidR="00F1025C" w:rsidRDefault="00F1025C">
            <w:pPr>
              <w:pStyle w:val="ConsPlusNormal"/>
              <w:ind w:left="283"/>
            </w:pPr>
            <w:r>
              <w:t>в том числе</w:t>
            </w:r>
          </w:p>
          <w:p w:rsidR="00F1025C" w:rsidRDefault="00F1025C">
            <w:pPr>
              <w:pStyle w:val="ConsPlusNormal"/>
              <w:ind w:left="283"/>
            </w:pPr>
            <w:r>
              <w:t xml:space="preserve">по </w:t>
            </w:r>
            <w:proofErr w:type="gramStart"/>
            <w:r>
              <w:t>индивидуальному проекту</w:t>
            </w:r>
            <w:proofErr w:type="gramEnd"/>
          </w:p>
        </w:tc>
        <w:tc>
          <w:tcPr>
            <w:tcW w:w="661" w:type="dxa"/>
            <w:tcBorders>
              <w:top w:val="nil"/>
              <w:left w:val="nil"/>
              <w:bottom w:val="single" w:sz="4" w:space="0" w:color="auto"/>
              <w:right w:val="nil"/>
            </w:tcBorders>
          </w:tcPr>
          <w:p w:rsidR="00F1025C" w:rsidRDefault="00F1025C">
            <w:pPr>
              <w:pStyle w:val="ConsPlusNormal"/>
            </w:pPr>
          </w:p>
        </w:tc>
        <w:tc>
          <w:tcPr>
            <w:tcW w:w="661" w:type="dxa"/>
            <w:tcBorders>
              <w:top w:val="nil"/>
              <w:left w:val="nil"/>
              <w:bottom w:val="single" w:sz="4" w:space="0" w:color="auto"/>
              <w:right w:val="nil"/>
            </w:tcBorders>
          </w:tcPr>
          <w:p w:rsidR="00F1025C" w:rsidRDefault="00F1025C">
            <w:pPr>
              <w:pStyle w:val="ConsPlusNormal"/>
            </w:pPr>
          </w:p>
        </w:tc>
        <w:tc>
          <w:tcPr>
            <w:tcW w:w="661" w:type="dxa"/>
            <w:tcBorders>
              <w:top w:val="nil"/>
              <w:left w:val="nil"/>
              <w:bottom w:val="single" w:sz="4" w:space="0" w:color="auto"/>
              <w:right w:val="nil"/>
            </w:tcBorders>
          </w:tcPr>
          <w:p w:rsidR="00F1025C" w:rsidRDefault="00F1025C">
            <w:pPr>
              <w:pStyle w:val="ConsPlusNormal"/>
            </w:pPr>
          </w:p>
        </w:tc>
        <w:tc>
          <w:tcPr>
            <w:tcW w:w="661" w:type="dxa"/>
            <w:tcBorders>
              <w:top w:val="nil"/>
              <w:left w:val="nil"/>
              <w:bottom w:val="single" w:sz="4" w:space="0" w:color="auto"/>
              <w:right w:val="nil"/>
            </w:tcBorders>
          </w:tcPr>
          <w:p w:rsidR="00F1025C" w:rsidRDefault="00F1025C">
            <w:pPr>
              <w:pStyle w:val="ConsPlusNormal"/>
            </w:pPr>
          </w:p>
        </w:tc>
        <w:tc>
          <w:tcPr>
            <w:tcW w:w="661" w:type="dxa"/>
            <w:tcBorders>
              <w:top w:val="nil"/>
              <w:left w:val="nil"/>
              <w:bottom w:val="single" w:sz="4" w:space="0" w:color="auto"/>
              <w:right w:val="nil"/>
            </w:tcBorders>
          </w:tcPr>
          <w:p w:rsidR="00F1025C" w:rsidRDefault="00F1025C">
            <w:pPr>
              <w:pStyle w:val="ConsPlusNormal"/>
            </w:pPr>
          </w:p>
        </w:tc>
        <w:tc>
          <w:tcPr>
            <w:tcW w:w="661" w:type="dxa"/>
            <w:tcBorders>
              <w:top w:val="nil"/>
              <w:left w:val="nil"/>
              <w:bottom w:val="single" w:sz="4" w:space="0" w:color="auto"/>
              <w:right w:val="nil"/>
            </w:tcBorders>
          </w:tcPr>
          <w:p w:rsidR="00F1025C" w:rsidRDefault="00F1025C">
            <w:pPr>
              <w:pStyle w:val="ConsPlusNormal"/>
            </w:pPr>
          </w:p>
        </w:tc>
        <w:tc>
          <w:tcPr>
            <w:tcW w:w="661" w:type="dxa"/>
            <w:tcBorders>
              <w:top w:val="nil"/>
              <w:left w:val="nil"/>
              <w:bottom w:val="single" w:sz="4" w:space="0" w:color="auto"/>
              <w:right w:val="nil"/>
            </w:tcBorders>
          </w:tcPr>
          <w:p w:rsidR="00F1025C" w:rsidRDefault="00F1025C">
            <w:pPr>
              <w:pStyle w:val="ConsPlusNormal"/>
            </w:pPr>
          </w:p>
        </w:tc>
        <w:tc>
          <w:tcPr>
            <w:tcW w:w="661" w:type="dxa"/>
            <w:tcBorders>
              <w:top w:val="nil"/>
              <w:left w:val="nil"/>
              <w:bottom w:val="single" w:sz="4" w:space="0" w:color="auto"/>
              <w:right w:val="nil"/>
            </w:tcBorders>
          </w:tcPr>
          <w:p w:rsidR="00F1025C" w:rsidRDefault="00F1025C">
            <w:pPr>
              <w:pStyle w:val="ConsPlusNormal"/>
            </w:pPr>
          </w:p>
        </w:tc>
        <w:tc>
          <w:tcPr>
            <w:tcW w:w="663" w:type="dxa"/>
            <w:tcBorders>
              <w:top w:val="nil"/>
              <w:left w:val="nil"/>
              <w:bottom w:val="single" w:sz="4" w:space="0" w:color="auto"/>
              <w:right w:val="nil"/>
            </w:tcBorders>
          </w:tcPr>
          <w:p w:rsidR="00F1025C" w:rsidRDefault="00F1025C">
            <w:pPr>
              <w:pStyle w:val="ConsPlusNormal"/>
            </w:pPr>
          </w:p>
        </w:tc>
      </w:tr>
    </w:tbl>
    <w:p w:rsidR="00F1025C" w:rsidRDefault="00F1025C">
      <w:pPr>
        <w:pStyle w:val="ConsPlusNormal"/>
        <w:jc w:val="both"/>
      </w:pPr>
    </w:p>
    <w:p w:rsidR="00F1025C" w:rsidRDefault="00F1025C">
      <w:pPr>
        <w:pStyle w:val="ConsPlusNormal"/>
        <w:ind w:firstLine="540"/>
        <w:jc w:val="both"/>
      </w:pPr>
      <w:r>
        <w:t>--------------------------------</w:t>
      </w:r>
    </w:p>
    <w:p w:rsidR="00F1025C" w:rsidRDefault="00F1025C">
      <w:pPr>
        <w:pStyle w:val="ConsPlusNormal"/>
        <w:spacing w:before="220"/>
        <w:ind w:firstLine="540"/>
        <w:jc w:val="both"/>
      </w:pPr>
      <w:r>
        <w:lastRenderedPageBreak/>
        <w:t xml:space="preserve">&lt;*&gt; Заявители, оплачивающие технологическое присоединение своих </w:t>
      </w:r>
      <w:proofErr w:type="spellStart"/>
      <w:r>
        <w:t>энергопринимающих</w:t>
      </w:r>
      <w:proofErr w:type="spellEnd"/>
      <w:r>
        <w:t xml:space="preserve"> устройств в размере не более 550 рублей.</w:t>
      </w:r>
    </w:p>
    <w:p w:rsidR="00F1025C" w:rsidRDefault="00F1025C">
      <w:pPr>
        <w:pStyle w:val="ConsPlusNormal"/>
        <w:spacing w:before="220"/>
        <w:ind w:firstLine="540"/>
        <w:jc w:val="both"/>
      </w:pPr>
      <w:proofErr w:type="gramStart"/>
      <w:r>
        <w:t xml:space="preserve">&lt;**&gt;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w:t>
      </w:r>
      <w:proofErr w:type="spellStart"/>
      <w:r>
        <w:t>энергопринимающих</w:t>
      </w:r>
      <w:proofErr w:type="spellEnd"/>
      <w:r>
        <w:t xml:space="preserve"> устройств максимальной мощностью свыше 15 и до 150 кВт включительно (с учетом ранее присоединенных </w:t>
      </w:r>
      <w:proofErr w:type="spellStart"/>
      <w:r>
        <w:t>энергопринимающих</w:t>
      </w:r>
      <w:proofErr w:type="spellEnd"/>
      <w:r>
        <w:t xml:space="preserve">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w:t>
      </w:r>
      <w:proofErr w:type="gramEnd"/>
      <w:r>
        <w:t xml:space="preserve"> общей суммы рассрочки до 3 лет со дня подписания сторонами акта об осуществлении технологического присоединения.</w:t>
      </w:r>
    </w:p>
    <w:p w:rsidR="00F1025C" w:rsidRDefault="00F1025C">
      <w:pPr>
        <w:pStyle w:val="ConsPlusNormal"/>
        <w:jc w:val="both"/>
      </w:pPr>
    </w:p>
    <w:p w:rsidR="00F1025C" w:rsidRDefault="00F1025C">
      <w:pPr>
        <w:pStyle w:val="ConsPlusNormal"/>
        <w:jc w:val="both"/>
      </w:pPr>
    </w:p>
    <w:p w:rsidR="00F1025C" w:rsidRDefault="00F1025C">
      <w:pPr>
        <w:pStyle w:val="ConsPlusNormal"/>
        <w:jc w:val="both"/>
      </w:pPr>
    </w:p>
    <w:p w:rsidR="00F1025C" w:rsidRDefault="00F1025C">
      <w:pPr>
        <w:pStyle w:val="ConsPlusNormal"/>
        <w:jc w:val="both"/>
      </w:pPr>
    </w:p>
    <w:p w:rsidR="00F1025C" w:rsidRDefault="00F1025C">
      <w:pPr>
        <w:pStyle w:val="ConsPlusNormal"/>
        <w:jc w:val="both"/>
      </w:pPr>
    </w:p>
    <w:p w:rsidR="00F1025C" w:rsidRDefault="00F1025C">
      <w:pPr>
        <w:pStyle w:val="ConsPlusNormal"/>
        <w:jc w:val="right"/>
      </w:pPr>
      <w:r>
        <w:t>Приложение N 5</w:t>
      </w:r>
    </w:p>
    <w:p w:rsidR="00F1025C" w:rsidRDefault="00F1025C">
      <w:pPr>
        <w:pStyle w:val="ConsPlusNormal"/>
        <w:jc w:val="right"/>
      </w:pPr>
      <w:r>
        <w:t>к стандартам раскрытия информации</w:t>
      </w:r>
    </w:p>
    <w:p w:rsidR="00F1025C" w:rsidRDefault="00F1025C">
      <w:pPr>
        <w:pStyle w:val="ConsPlusNormal"/>
        <w:jc w:val="right"/>
      </w:pPr>
      <w:r>
        <w:t xml:space="preserve">субъектами </w:t>
      </w:r>
      <w:proofErr w:type="gramStart"/>
      <w:r>
        <w:t>оптового</w:t>
      </w:r>
      <w:proofErr w:type="gramEnd"/>
      <w:r>
        <w:t xml:space="preserve"> и розничных</w:t>
      </w:r>
    </w:p>
    <w:p w:rsidR="00F1025C" w:rsidRDefault="00F1025C">
      <w:pPr>
        <w:pStyle w:val="ConsPlusNormal"/>
        <w:jc w:val="right"/>
      </w:pPr>
      <w:r>
        <w:t>рынков электрической энергии</w:t>
      </w:r>
    </w:p>
    <w:p w:rsidR="00F1025C" w:rsidRDefault="00F1025C">
      <w:pPr>
        <w:pStyle w:val="ConsPlusNormal"/>
        <w:jc w:val="right"/>
      </w:pPr>
      <w:proofErr w:type="gramStart"/>
      <w:r>
        <w:t>(в редакции постановления</w:t>
      </w:r>
      <w:proofErr w:type="gramEnd"/>
    </w:p>
    <w:p w:rsidR="00F1025C" w:rsidRDefault="00F1025C">
      <w:pPr>
        <w:pStyle w:val="ConsPlusNormal"/>
        <w:jc w:val="right"/>
      </w:pPr>
      <w:r>
        <w:t>Правительства Российской Федерации</w:t>
      </w:r>
    </w:p>
    <w:p w:rsidR="00F1025C" w:rsidRDefault="00F1025C">
      <w:pPr>
        <w:pStyle w:val="ConsPlusNormal"/>
        <w:jc w:val="right"/>
      </w:pPr>
      <w:r>
        <w:t>от 7 марта 2020 г. N 246)</w:t>
      </w:r>
    </w:p>
    <w:p w:rsidR="00F1025C" w:rsidRDefault="00F1025C">
      <w:pPr>
        <w:pStyle w:val="ConsPlusNormal"/>
        <w:jc w:val="both"/>
      </w:pPr>
    </w:p>
    <w:p w:rsidR="00F1025C" w:rsidRDefault="00F1025C">
      <w:pPr>
        <w:pStyle w:val="ConsPlusNormal"/>
        <w:jc w:val="right"/>
      </w:pPr>
      <w:r>
        <w:t>(форма)</w:t>
      </w:r>
    </w:p>
    <w:p w:rsidR="00F1025C" w:rsidRDefault="00F1025C">
      <w:pPr>
        <w:pStyle w:val="ConsPlusNormal"/>
        <w:jc w:val="both"/>
      </w:pPr>
    </w:p>
    <w:p w:rsidR="00F1025C" w:rsidRDefault="00F1025C">
      <w:pPr>
        <w:pStyle w:val="ConsPlusNormal"/>
        <w:jc w:val="center"/>
      </w:pPr>
      <w:r>
        <w:t>ИНФОРМАЦИЯ</w:t>
      </w:r>
    </w:p>
    <w:p w:rsidR="00F1025C" w:rsidRDefault="00F1025C">
      <w:pPr>
        <w:pStyle w:val="ConsPlusNormal"/>
        <w:jc w:val="center"/>
      </w:pPr>
      <w:r>
        <w:t>о поданных заявках на технологическое присоединение</w:t>
      </w:r>
    </w:p>
    <w:p w:rsidR="00F1025C" w:rsidRDefault="00F1025C">
      <w:pPr>
        <w:pStyle w:val="ConsPlusNormal"/>
        <w:jc w:val="center"/>
      </w:pPr>
      <w:r>
        <w:t>за текущий год</w:t>
      </w:r>
    </w:p>
    <w:p w:rsidR="00F1025C" w:rsidRDefault="00F1025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4"/>
        <w:gridCol w:w="2880"/>
        <w:gridCol w:w="961"/>
        <w:gridCol w:w="961"/>
        <w:gridCol w:w="961"/>
        <w:gridCol w:w="961"/>
        <w:gridCol w:w="961"/>
        <w:gridCol w:w="966"/>
      </w:tblGrid>
      <w:tr w:rsidR="00F1025C">
        <w:tc>
          <w:tcPr>
            <w:tcW w:w="3264" w:type="dxa"/>
            <w:gridSpan w:val="2"/>
            <w:vMerge w:val="restart"/>
            <w:tcBorders>
              <w:top w:val="single" w:sz="4" w:space="0" w:color="auto"/>
              <w:left w:val="nil"/>
              <w:bottom w:val="single" w:sz="4" w:space="0" w:color="auto"/>
            </w:tcBorders>
          </w:tcPr>
          <w:p w:rsidR="00F1025C" w:rsidRDefault="00F1025C">
            <w:pPr>
              <w:pStyle w:val="ConsPlusNormal"/>
              <w:jc w:val="center"/>
            </w:pPr>
            <w:r>
              <w:t>Категория заявителей</w:t>
            </w:r>
          </w:p>
        </w:tc>
        <w:tc>
          <w:tcPr>
            <w:tcW w:w="2883" w:type="dxa"/>
            <w:gridSpan w:val="3"/>
            <w:tcBorders>
              <w:top w:val="single" w:sz="4" w:space="0" w:color="auto"/>
              <w:bottom w:val="single" w:sz="4" w:space="0" w:color="auto"/>
            </w:tcBorders>
          </w:tcPr>
          <w:p w:rsidR="00F1025C" w:rsidRDefault="00F1025C">
            <w:pPr>
              <w:pStyle w:val="ConsPlusNormal"/>
              <w:jc w:val="center"/>
            </w:pPr>
            <w:r>
              <w:t>Количество заявок (штук)</w:t>
            </w:r>
          </w:p>
        </w:tc>
        <w:tc>
          <w:tcPr>
            <w:tcW w:w="2888" w:type="dxa"/>
            <w:gridSpan w:val="3"/>
            <w:tcBorders>
              <w:top w:val="single" w:sz="4" w:space="0" w:color="auto"/>
              <w:bottom w:val="single" w:sz="4" w:space="0" w:color="auto"/>
              <w:right w:val="nil"/>
            </w:tcBorders>
          </w:tcPr>
          <w:p w:rsidR="00F1025C" w:rsidRDefault="00F1025C">
            <w:pPr>
              <w:pStyle w:val="ConsPlusNormal"/>
              <w:jc w:val="center"/>
            </w:pPr>
            <w:r>
              <w:t>Максимальная мощность (кВт)</w:t>
            </w:r>
          </w:p>
        </w:tc>
      </w:tr>
      <w:tr w:rsidR="00F1025C">
        <w:tblPrEx>
          <w:tblBorders>
            <w:left w:val="single" w:sz="4" w:space="0" w:color="auto"/>
          </w:tblBorders>
        </w:tblPrEx>
        <w:tc>
          <w:tcPr>
            <w:tcW w:w="3264" w:type="dxa"/>
            <w:gridSpan w:val="2"/>
            <w:vMerge/>
            <w:tcBorders>
              <w:top w:val="single" w:sz="4" w:space="0" w:color="auto"/>
              <w:left w:val="nil"/>
              <w:bottom w:val="single" w:sz="4" w:space="0" w:color="auto"/>
            </w:tcBorders>
          </w:tcPr>
          <w:p w:rsidR="00F1025C" w:rsidRDefault="00F1025C"/>
        </w:tc>
        <w:tc>
          <w:tcPr>
            <w:tcW w:w="961" w:type="dxa"/>
            <w:tcBorders>
              <w:top w:val="single" w:sz="4" w:space="0" w:color="auto"/>
              <w:bottom w:val="single" w:sz="4" w:space="0" w:color="auto"/>
            </w:tcBorders>
          </w:tcPr>
          <w:p w:rsidR="00F1025C" w:rsidRDefault="00F1025C">
            <w:pPr>
              <w:pStyle w:val="ConsPlusNormal"/>
              <w:jc w:val="center"/>
            </w:pPr>
            <w:r>
              <w:t>0,4 кВ</w:t>
            </w:r>
          </w:p>
        </w:tc>
        <w:tc>
          <w:tcPr>
            <w:tcW w:w="961" w:type="dxa"/>
            <w:tcBorders>
              <w:top w:val="single" w:sz="4" w:space="0" w:color="auto"/>
              <w:bottom w:val="single" w:sz="4" w:space="0" w:color="auto"/>
            </w:tcBorders>
          </w:tcPr>
          <w:p w:rsidR="00F1025C" w:rsidRDefault="00F1025C">
            <w:pPr>
              <w:pStyle w:val="ConsPlusNormal"/>
              <w:jc w:val="center"/>
            </w:pPr>
            <w:r>
              <w:t>1 - 20 кВ</w:t>
            </w:r>
          </w:p>
        </w:tc>
        <w:tc>
          <w:tcPr>
            <w:tcW w:w="961" w:type="dxa"/>
            <w:tcBorders>
              <w:top w:val="single" w:sz="4" w:space="0" w:color="auto"/>
              <w:bottom w:val="single" w:sz="4" w:space="0" w:color="auto"/>
            </w:tcBorders>
          </w:tcPr>
          <w:p w:rsidR="00F1025C" w:rsidRDefault="00F1025C">
            <w:pPr>
              <w:pStyle w:val="ConsPlusNormal"/>
              <w:jc w:val="center"/>
            </w:pPr>
            <w:r>
              <w:t>35 кВ и выше</w:t>
            </w:r>
          </w:p>
        </w:tc>
        <w:tc>
          <w:tcPr>
            <w:tcW w:w="961" w:type="dxa"/>
            <w:tcBorders>
              <w:top w:val="single" w:sz="4" w:space="0" w:color="auto"/>
              <w:bottom w:val="single" w:sz="4" w:space="0" w:color="auto"/>
            </w:tcBorders>
          </w:tcPr>
          <w:p w:rsidR="00F1025C" w:rsidRDefault="00F1025C">
            <w:pPr>
              <w:pStyle w:val="ConsPlusNormal"/>
              <w:jc w:val="center"/>
            </w:pPr>
            <w:r>
              <w:t>0,4 кВ</w:t>
            </w:r>
          </w:p>
        </w:tc>
        <w:tc>
          <w:tcPr>
            <w:tcW w:w="961" w:type="dxa"/>
            <w:tcBorders>
              <w:top w:val="single" w:sz="4" w:space="0" w:color="auto"/>
              <w:bottom w:val="single" w:sz="4" w:space="0" w:color="auto"/>
            </w:tcBorders>
          </w:tcPr>
          <w:p w:rsidR="00F1025C" w:rsidRDefault="00F1025C">
            <w:pPr>
              <w:pStyle w:val="ConsPlusNormal"/>
              <w:jc w:val="center"/>
            </w:pPr>
            <w:r>
              <w:t>1 - 20 кВ</w:t>
            </w:r>
          </w:p>
        </w:tc>
        <w:tc>
          <w:tcPr>
            <w:tcW w:w="966" w:type="dxa"/>
            <w:tcBorders>
              <w:top w:val="single" w:sz="4" w:space="0" w:color="auto"/>
              <w:bottom w:val="single" w:sz="4" w:space="0" w:color="auto"/>
              <w:right w:val="nil"/>
            </w:tcBorders>
          </w:tcPr>
          <w:p w:rsidR="00F1025C" w:rsidRDefault="00F1025C">
            <w:pPr>
              <w:pStyle w:val="ConsPlusNormal"/>
              <w:jc w:val="center"/>
            </w:pPr>
            <w:r>
              <w:t>35 кВ и выше</w:t>
            </w:r>
          </w:p>
        </w:tc>
      </w:tr>
      <w:tr w:rsidR="00F1025C">
        <w:tblPrEx>
          <w:tblBorders>
            <w:insideH w:val="none" w:sz="0" w:space="0" w:color="auto"/>
            <w:insideV w:val="none" w:sz="0" w:space="0" w:color="auto"/>
          </w:tblBorders>
        </w:tblPrEx>
        <w:tc>
          <w:tcPr>
            <w:tcW w:w="384" w:type="dxa"/>
            <w:tcBorders>
              <w:top w:val="single" w:sz="4" w:space="0" w:color="auto"/>
              <w:left w:val="nil"/>
              <w:bottom w:val="nil"/>
              <w:right w:val="nil"/>
            </w:tcBorders>
          </w:tcPr>
          <w:p w:rsidR="00F1025C" w:rsidRDefault="00F1025C">
            <w:pPr>
              <w:pStyle w:val="ConsPlusNormal"/>
              <w:jc w:val="center"/>
            </w:pPr>
            <w:r>
              <w:t>1.</w:t>
            </w:r>
          </w:p>
        </w:tc>
        <w:tc>
          <w:tcPr>
            <w:tcW w:w="2880" w:type="dxa"/>
            <w:tcBorders>
              <w:top w:val="single" w:sz="4" w:space="0" w:color="auto"/>
              <w:left w:val="nil"/>
              <w:bottom w:val="nil"/>
              <w:right w:val="nil"/>
            </w:tcBorders>
          </w:tcPr>
          <w:p w:rsidR="00F1025C" w:rsidRDefault="00F1025C">
            <w:pPr>
              <w:pStyle w:val="ConsPlusNormal"/>
            </w:pPr>
            <w:r>
              <w:t>До 15 кВт - всего</w:t>
            </w:r>
          </w:p>
        </w:tc>
        <w:tc>
          <w:tcPr>
            <w:tcW w:w="961" w:type="dxa"/>
            <w:tcBorders>
              <w:top w:val="single" w:sz="4" w:space="0" w:color="auto"/>
              <w:left w:val="nil"/>
              <w:bottom w:val="nil"/>
              <w:right w:val="nil"/>
            </w:tcBorders>
          </w:tcPr>
          <w:p w:rsidR="00F1025C" w:rsidRDefault="00F1025C">
            <w:pPr>
              <w:pStyle w:val="ConsPlusNormal"/>
            </w:pPr>
          </w:p>
        </w:tc>
        <w:tc>
          <w:tcPr>
            <w:tcW w:w="961" w:type="dxa"/>
            <w:tcBorders>
              <w:top w:val="single" w:sz="4" w:space="0" w:color="auto"/>
              <w:left w:val="nil"/>
              <w:bottom w:val="nil"/>
              <w:right w:val="nil"/>
            </w:tcBorders>
          </w:tcPr>
          <w:p w:rsidR="00F1025C" w:rsidRDefault="00F1025C">
            <w:pPr>
              <w:pStyle w:val="ConsPlusNormal"/>
            </w:pPr>
          </w:p>
        </w:tc>
        <w:tc>
          <w:tcPr>
            <w:tcW w:w="961" w:type="dxa"/>
            <w:tcBorders>
              <w:top w:val="single" w:sz="4" w:space="0" w:color="auto"/>
              <w:left w:val="nil"/>
              <w:bottom w:val="nil"/>
              <w:right w:val="nil"/>
            </w:tcBorders>
          </w:tcPr>
          <w:p w:rsidR="00F1025C" w:rsidRDefault="00F1025C">
            <w:pPr>
              <w:pStyle w:val="ConsPlusNormal"/>
            </w:pPr>
          </w:p>
        </w:tc>
        <w:tc>
          <w:tcPr>
            <w:tcW w:w="961" w:type="dxa"/>
            <w:tcBorders>
              <w:top w:val="single" w:sz="4" w:space="0" w:color="auto"/>
              <w:left w:val="nil"/>
              <w:bottom w:val="nil"/>
              <w:right w:val="nil"/>
            </w:tcBorders>
          </w:tcPr>
          <w:p w:rsidR="00F1025C" w:rsidRDefault="00F1025C">
            <w:pPr>
              <w:pStyle w:val="ConsPlusNormal"/>
            </w:pPr>
          </w:p>
        </w:tc>
        <w:tc>
          <w:tcPr>
            <w:tcW w:w="961" w:type="dxa"/>
            <w:tcBorders>
              <w:top w:val="single" w:sz="4" w:space="0" w:color="auto"/>
              <w:left w:val="nil"/>
              <w:bottom w:val="nil"/>
              <w:right w:val="nil"/>
            </w:tcBorders>
          </w:tcPr>
          <w:p w:rsidR="00F1025C" w:rsidRDefault="00F1025C">
            <w:pPr>
              <w:pStyle w:val="ConsPlusNormal"/>
            </w:pPr>
          </w:p>
        </w:tc>
        <w:tc>
          <w:tcPr>
            <w:tcW w:w="966" w:type="dxa"/>
            <w:tcBorders>
              <w:top w:val="single" w:sz="4" w:space="0" w:color="auto"/>
              <w:left w:val="nil"/>
              <w:bottom w:val="nil"/>
              <w:right w:val="nil"/>
            </w:tcBorders>
          </w:tcPr>
          <w:p w:rsidR="00F1025C" w:rsidRDefault="00F1025C">
            <w:pPr>
              <w:pStyle w:val="ConsPlusNormal"/>
            </w:pPr>
          </w:p>
        </w:tc>
      </w:tr>
      <w:tr w:rsidR="00F1025C">
        <w:tblPrEx>
          <w:tblBorders>
            <w:insideH w:val="none" w:sz="0" w:space="0" w:color="auto"/>
            <w:insideV w:val="none" w:sz="0" w:space="0" w:color="auto"/>
          </w:tblBorders>
        </w:tblPrEx>
        <w:tc>
          <w:tcPr>
            <w:tcW w:w="384" w:type="dxa"/>
            <w:tcBorders>
              <w:top w:val="nil"/>
              <w:left w:val="nil"/>
              <w:bottom w:val="nil"/>
              <w:right w:val="nil"/>
            </w:tcBorders>
          </w:tcPr>
          <w:p w:rsidR="00F1025C" w:rsidRDefault="00F1025C">
            <w:pPr>
              <w:pStyle w:val="ConsPlusNormal"/>
            </w:pPr>
          </w:p>
        </w:tc>
        <w:tc>
          <w:tcPr>
            <w:tcW w:w="2880" w:type="dxa"/>
            <w:tcBorders>
              <w:top w:val="nil"/>
              <w:left w:val="nil"/>
              <w:bottom w:val="nil"/>
              <w:right w:val="nil"/>
            </w:tcBorders>
          </w:tcPr>
          <w:p w:rsidR="00F1025C" w:rsidRDefault="00F1025C">
            <w:pPr>
              <w:pStyle w:val="ConsPlusNormal"/>
              <w:ind w:left="283"/>
            </w:pPr>
            <w:r>
              <w:t>в том числе</w:t>
            </w:r>
          </w:p>
          <w:p w:rsidR="00F1025C" w:rsidRDefault="00F1025C">
            <w:pPr>
              <w:pStyle w:val="ConsPlusNormal"/>
              <w:ind w:left="283"/>
            </w:pPr>
            <w:r>
              <w:t>льготная категория &lt;*&gt;</w:t>
            </w:r>
          </w:p>
        </w:tc>
        <w:tc>
          <w:tcPr>
            <w:tcW w:w="961" w:type="dxa"/>
            <w:tcBorders>
              <w:top w:val="nil"/>
              <w:left w:val="nil"/>
              <w:bottom w:val="nil"/>
              <w:right w:val="nil"/>
            </w:tcBorders>
          </w:tcPr>
          <w:p w:rsidR="00F1025C" w:rsidRDefault="00F1025C">
            <w:pPr>
              <w:pStyle w:val="ConsPlusNormal"/>
            </w:pPr>
          </w:p>
        </w:tc>
        <w:tc>
          <w:tcPr>
            <w:tcW w:w="961" w:type="dxa"/>
            <w:tcBorders>
              <w:top w:val="nil"/>
              <w:left w:val="nil"/>
              <w:bottom w:val="nil"/>
              <w:right w:val="nil"/>
            </w:tcBorders>
          </w:tcPr>
          <w:p w:rsidR="00F1025C" w:rsidRDefault="00F1025C">
            <w:pPr>
              <w:pStyle w:val="ConsPlusNormal"/>
            </w:pPr>
          </w:p>
        </w:tc>
        <w:tc>
          <w:tcPr>
            <w:tcW w:w="961" w:type="dxa"/>
            <w:tcBorders>
              <w:top w:val="nil"/>
              <w:left w:val="nil"/>
              <w:bottom w:val="nil"/>
              <w:right w:val="nil"/>
            </w:tcBorders>
          </w:tcPr>
          <w:p w:rsidR="00F1025C" w:rsidRDefault="00F1025C">
            <w:pPr>
              <w:pStyle w:val="ConsPlusNormal"/>
            </w:pPr>
          </w:p>
        </w:tc>
        <w:tc>
          <w:tcPr>
            <w:tcW w:w="961" w:type="dxa"/>
            <w:tcBorders>
              <w:top w:val="nil"/>
              <w:left w:val="nil"/>
              <w:bottom w:val="nil"/>
              <w:right w:val="nil"/>
            </w:tcBorders>
          </w:tcPr>
          <w:p w:rsidR="00F1025C" w:rsidRDefault="00F1025C">
            <w:pPr>
              <w:pStyle w:val="ConsPlusNormal"/>
            </w:pPr>
          </w:p>
        </w:tc>
        <w:tc>
          <w:tcPr>
            <w:tcW w:w="961" w:type="dxa"/>
            <w:tcBorders>
              <w:top w:val="nil"/>
              <w:left w:val="nil"/>
              <w:bottom w:val="nil"/>
              <w:right w:val="nil"/>
            </w:tcBorders>
          </w:tcPr>
          <w:p w:rsidR="00F1025C" w:rsidRDefault="00F1025C">
            <w:pPr>
              <w:pStyle w:val="ConsPlusNormal"/>
            </w:pPr>
          </w:p>
        </w:tc>
        <w:tc>
          <w:tcPr>
            <w:tcW w:w="966" w:type="dxa"/>
            <w:tcBorders>
              <w:top w:val="nil"/>
              <w:left w:val="nil"/>
              <w:bottom w:val="nil"/>
              <w:right w:val="nil"/>
            </w:tcBorders>
          </w:tcPr>
          <w:p w:rsidR="00F1025C" w:rsidRDefault="00F1025C">
            <w:pPr>
              <w:pStyle w:val="ConsPlusNormal"/>
            </w:pPr>
          </w:p>
        </w:tc>
      </w:tr>
      <w:tr w:rsidR="00F1025C">
        <w:tblPrEx>
          <w:tblBorders>
            <w:insideH w:val="none" w:sz="0" w:space="0" w:color="auto"/>
            <w:insideV w:val="none" w:sz="0" w:space="0" w:color="auto"/>
          </w:tblBorders>
        </w:tblPrEx>
        <w:tc>
          <w:tcPr>
            <w:tcW w:w="384" w:type="dxa"/>
            <w:tcBorders>
              <w:top w:val="nil"/>
              <w:left w:val="nil"/>
              <w:bottom w:val="nil"/>
              <w:right w:val="nil"/>
            </w:tcBorders>
          </w:tcPr>
          <w:p w:rsidR="00F1025C" w:rsidRDefault="00F1025C">
            <w:pPr>
              <w:pStyle w:val="ConsPlusNormal"/>
              <w:jc w:val="center"/>
            </w:pPr>
            <w:r>
              <w:t>2.</w:t>
            </w:r>
          </w:p>
        </w:tc>
        <w:tc>
          <w:tcPr>
            <w:tcW w:w="2880" w:type="dxa"/>
            <w:tcBorders>
              <w:top w:val="nil"/>
              <w:left w:val="nil"/>
              <w:bottom w:val="nil"/>
              <w:right w:val="nil"/>
            </w:tcBorders>
          </w:tcPr>
          <w:p w:rsidR="00F1025C" w:rsidRDefault="00F1025C">
            <w:pPr>
              <w:pStyle w:val="ConsPlusNormal"/>
            </w:pPr>
            <w:r>
              <w:t>От 15 до 150 кВт - всего</w:t>
            </w:r>
          </w:p>
        </w:tc>
        <w:tc>
          <w:tcPr>
            <w:tcW w:w="961" w:type="dxa"/>
            <w:tcBorders>
              <w:top w:val="nil"/>
              <w:left w:val="nil"/>
              <w:bottom w:val="nil"/>
              <w:right w:val="nil"/>
            </w:tcBorders>
          </w:tcPr>
          <w:p w:rsidR="00F1025C" w:rsidRDefault="00F1025C">
            <w:pPr>
              <w:pStyle w:val="ConsPlusNormal"/>
            </w:pPr>
          </w:p>
        </w:tc>
        <w:tc>
          <w:tcPr>
            <w:tcW w:w="961" w:type="dxa"/>
            <w:tcBorders>
              <w:top w:val="nil"/>
              <w:left w:val="nil"/>
              <w:bottom w:val="nil"/>
              <w:right w:val="nil"/>
            </w:tcBorders>
          </w:tcPr>
          <w:p w:rsidR="00F1025C" w:rsidRDefault="00F1025C">
            <w:pPr>
              <w:pStyle w:val="ConsPlusNormal"/>
            </w:pPr>
          </w:p>
        </w:tc>
        <w:tc>
          <w:tcPr>
            <w:tcW w:w="961" w:type="dxa"/>
            <w:tcBorders>
              <w:top w:val="nil"/>
              <w:left w:val="nil"/>
              <w:bottom w:val="nil"/>
              <w:right w:val="nil"/>
            </w:tcBorders>
          </w:tcPr>
          <w:p w:rsidR="00F1025C" w:rsidRDefault="00F1025C">
            <w:pPr>
              <w:pStyle w:val="ConsPlusNormal"/>
            </w:pPr>
          </w:p>
        </w:tc>
        <w:tc>
          <w:tcPr>
            <w:tcW w:w="961" w:type="dxa"/>
            <w:tcBorders>
              <w:top w:val="nil"/>
              <w:left w:val="nil"/>
              <w:bottom w:val="nil"/>
              <w:right w:val="nil"/>
            </w:tcBorders>
          </w:tcPr>
          <w:p w:rsidR="00F1025C" w:rsidRDefault="00F1025C">
            <w:pPr>
              <w:pStyle w:val="ConsPlusNormal"/>
            </w:pPr>
          </w:p>
        </w:tc>
        <w:tc>
          <w:tcPr>
            <w:tcW w:w="961" w:type="dxa"/>
            <w:tcBorders>
              <w:top w:val="nil"/>
              <w:left w:val="nil"/>
              <w:bottom w:val="nil"/>
              <w:right w:val="nil"/>
            </w:tcBorders>
          </w:tcPr>
          <w:p w:rsidR="00F1025C" w:rsidRDefault="00F1025C">
            <w:pPr>
              <w:pStyle w:val="ConsPlusNormal"/>
            </w:pPr>
          </w:p>
        </w:tc>
        <w:tc>
          <w:tcPr>
            <w:tcW w:w="966" w:type="dxa"/>
            <w:tcBorders>
              <w:top w:val="nil"/>
              <w:left w:val="nil"/>
              <w:bottom w:val="nil"/>
              <w:right w:val="nil"/>
            </w:tcBorders>
          </w:tcPr>
          <w:p w:rsidR="00F1025C" w:rsidRDefault="00F1025C">
            <w:pPr>
              <w:pStyle w:val="ConsPlusNormal"/>
            </w:pPr>
          </w:p>
        </w:tc>
      </w:tr>
      <w:tr w:rsidR="00F1025C">
        <w:tblPrEx>
          <w:tblBorders>
            <w:insideH w:val="none" w:sz="0" w:space="0" w:color="auto"/>
            <w:insideV w:val="none" w:sz="0" w:space="0" w:color="auto"/>
          </w:tblBorders>
        </w:tblPrEx>
        <w:tc>
          <w:tcPr>
            <w:tcW w:w="384" w:type="dxa"/>
            <w:tcBorders>
              <w:top w:val="nil"/>
              <w:left w:val="nil"/>
              <w:bottom w:val="nil"/>
              <w:right w:val="nil"/>
            </w:tcBorders>
          </w:tcPr>
          <w:p w:rsidR="00F1025C" w:rsidRDefault="00F1025C">
            <w:pPr>
              <w:pStyle w:val="ConsPlusNormal"/>
            </w:pPr>
          </w:p>
        </w:tc>
        <w:tc>
          <w:tcPr>
            <w:tcW w:w="2880" w:type="dxa"/>
            <w:tcBorders>
              <w:top w:val="nil"/>
              <w:left w:val="nil"/>
              <w:bottom w:val="nil"/>
              <w:right w:val="nil"/>
            </w:tcBorders>
          </w:tcPr>
          <w:p w:rsidR="00F1025C" w:rsidRDefault="00F1025C">
            <w:pPr>
              <w:pStyle w:val="ConsPlusNormal"/>
              <w:ind w:left="283"/>
            </w:pPr>
            <w:r>
              <w:t>в том числе</w:t>
            </w:r>
          </w:p>
          <w:p w:rsidR="00F1025C" w:rsidRDefault="00F1025C">
            <w:pPr>
              <w:pStyle w:val="ConsPlusNormal"/>
              <w:ind w:left="283"/>
            </w:pPr>
            <w:r>
              <w:t>льготная категория &lt;**&gt;</w:t>
            </w:r>
          </w:p>
        </w:tc>
        <w:tc>
          <w:tcPr>
            <w:tcW w:w="961" w:type="dxa"/>
            <w:tcBorders>
              <w:top w:val="nil"/>
              <w:left w:val="nil"/>
              <w:bottom w:val="nil"/>
              <w:right w:val="nil"/>
            </w:tcBorders>
          </w:tcPr>
          <w:p w:rsidR="00F1025C" w:rsidRDefault="00F1025C">
            <w:pPr>
              <w:pStyle w:val="ConsPlusNormal"/>
            </w:pPr>
          </w:p>
        </w:tc>
        <w:tc>
          <w:tcPr>
            <w:tcW w:w="961" w:type="dxa"/>
            <w:tcBorders>
              <w:top w:val="nil"/>
              <w:left w:val="nil"/>
              <w:bottom w:val="nil"/>
              <w:right w:val="nil"/>
            </w:tcBorders>
          </w:tcPr>
          <w:p w:rsidR="00F1025C" w:rsidRDefault="00F1025C">
            <w:pPr>
              <w:pStyle w:val="ConsPlusNormal"/>
            </w:pPr>
          </w:p>
        </w:tc>
        <w:tc>
          <w:tcPr>
            <w:tcW w:w="961" w:type="dxa"/>
            <w:tcBorders>
              <w:top w:val="nil"/>
              <w:left w:val="nil"/>
              <w:bottom w:val="nil"/>
              <w:right w:val="nil"/>
            </w:tcBorders>
          </w:tcPr>
          <w:p w:rsidR="00F1025C" w:rsidRDefault="00F1025C">
            <w:pPr>
              <w:pStyle w:val="ConsPlusNormal"/>
            </w:pPr>
          </w:p>
        </w:tc>
        <w:tc>
          <w:tcPr>
            <w:tcW w:w="961" w:type="dxa"/>
            <w:tcBorders>
              <w:top w:val="nil"/>
              <w:left w:val="nil"/>
              <w:bottom w:val="nil"/>
              <w:right w:val="nil"/>
            </w:tcBorders>
          </w:tcPr>
          <w:p w:rsidR="00F1025C" w:rsidRDefault="00F1025C">
            <w:pPr>
              <w:pStyle w:val="ConsPlusNormal"/>
            </w:pPr>
          </w:p>
        </w:tc>
        <w:tc>
          <w:tcPr>
            <w:tcW w:w="961" w:type="dxa"/>
            <w:tcBorders>
              <w:top w:val="nil"/>
              <w:left w:val="nil"/>
              <w:bottom w:val="nil"/>
              <w:right w:val="nil"/>
            </w:tcBorders>
          </w:tcPr>
          <w:p w:rsidR="00F1025C" w:rsidRDefault="00F1025C">
            <w:pPr>
              <w:pStyle w:val="ConsPlusNormal"/>
            </w:pPr>
          </w:p>
        </w:tc>
        <w:tc>
          <w:tcPr>
            <w:tcW w:w="966" w:type="dxa"/>
            <w:tcBorders>
              <w:top w:val="nil"/>
              <w:left w:val="nil"/>
              <w:bottom w:val="nil"/>
              <w:right w:val="nil"/>
            </w:tcBorders>
          </w:tcPr>
          <w:p w:rsidR="00F1025C" w:rsidRDefault="00F1025C">
            <w:pPr>
              <w:pStyle w:val="ConsPlusNormal"/>
            </w:pPr>
          </w:p>
        </w:tc>
      </w:tr>
      <w:tr w:rsidR="00F1025C">
        <w:tblPrEx>
          <w:tblBorders>
            <w:insideH w:val="none" w:sz="0" w:space="0" w:color="auto"/>
            <w:insideV w:val="none" w:sz="0" w:space="0" w:color="auto"/>
          </w:tblBorders>
        </w:tblPrEx>
        <w:tc>
          <w:tcPr>
            <w:tcW w:w="384" w:type="dxa"/>
            <w:tcBorders>
              <w:top w:val="nil"/>
              <w:left w:val="nil"/>
              <w:bottom w:val="nil"/>
              <w:right w:val="nil"/>
            </w:tcBorders>
          </w:tcPr>
          <w:p w:rsidR="00F1025C" w:rsidRDefault="00F1025C">
            <w:pPr>
              <w:pStyle w:val="ConsPlusNormal"/>
              <w:jc w:val="center"/>
            </w:pPr>
            <w:r>
              <w:t>3.</w:t>
            </w:r>
          </w:p>
        </w:tc>
        <w:tc>
          <w:tcPr>
            <w:tcW w:w="2880" w:type="dxa"/>
            <w:tcBorders>
              <w:top w:val="nil"/>
              <w:left w:val="nil"/>
              <w:bottom w:val="nil"/>
              <w:right w:val="nil"/>
            </w:tcBorders>
          </w:tcPr>
          <w:p w:rsidR="00F1025C" w:rsidRDefault="00F1025C">
            <w:pPr>
              <w:pStyle w:val="ConsPlusNormal"/>
            </w:pPr>
            <w:r>
              <w:t>От 150 кВт до 670 кВт - всего</w:t>
            </w:r>
          </w:p>
        </w:tc>
        <w:tc>
          <w:tcPr>
            <w:tcW w:w="961" w:type="dxa"/>
            <w:tcBorders>
              <w:top w:val="nil"/>
              <w:left w:val="nil"/>
              <w:bottom w:val="nil"/>
              <w:right w:val="nil"/>
            </w:tcBorders>
          </w:tcPr>
          <w:p w:rsidR="00F1025C" w:rsidRDefault="00F1025C">
            <w:pPr>
              <w:pStyle w:val="ConsPlusNormal"/>
            </w:pPr>
          </w:p>
        </w:tc>
        <w:tc>
          <w:tcPr>
            <w:tcW w:w="961" w:type="dxa"/>
            <w:tcBorders>
              <w:top w:val="nil"/>
              <w:left w:val="nil"/>
              <w:bottom w:val="nil"/>
              <w:right w:val="nil"/>
            </w:tcBorders>
          </w:tcPr>
          <w:p w:rsidR="00F1025C" w:rsidRDefault="00F1025C">
            <w:pPr>
              <w:pStyle w:val="ConsPlusNormal"/>
            </w:pPr>
          </w:p>
        </w:tc>
        <w:tc>
          <w:tcPr>
            <w:tcW w:w="961" w:type="dxa"/>
            <w:tcBorders>
              <w:top w:val="nil"/>
              <w:left w:val="nil"/>
              <w:bottom w:val="nil"/>
              <w:right w:val="nil"/>
            </w:tcBorders>
          </w:tcPr>
          <w:p w:rsidR="00F1025C" w:rsidRDefault="00F1025C">
            <w:pPr>
              <w:pStyle w:val="ConsPlusNormal"/>
            </w:pPr>
          </w:p>
        </w:tc>
        <w:tc>
          <w:tcPr>
            <w:tcW w:w="961" w:type="dxa"/>
            <w:tcBorders>
              <w:top w:val="nil"/>
              <w:left w:val="nil"/>
              <w:bottom w:val="nil"/>
              <w:right w:val="nil"/>
            </w:tcBorders>
          </w:tcPr>
          <w:p w:rsidR="00F1025C" w:rsidRDefault="00F1025C">
            <w:pPr>
              <w:pStyle w:val="ConsPlusNormal"/>
            </w:pPr>
          </w:p>
        </w:tc>
        <w:tc>
          <w:tcPr>
            <w:tcW w:w="961" w:type="dxa"/>
            <w:tcBorders>
              <w:top w:val="nil"/>
              <w:left w:val="nil"/>
              <w:bottom w:val="nil"/>
              <w:right w:val="nil"/>
            </w:tcBorders>
          </w:tcPr>
          <w:p w:rsidR="00F1025C" w:rsidRDefault="00F1025C">
            <w:pPr>
              <w:pStyle w:val="ConsPlusNormal"/>
            </w:pPr>
          </w:p>
        </w:tc>
        <w:tc>
          <w:tcPr>
            <w:tcW w:w="966" w:type="dxa"/>
            <w:tcBorders>
              <w:top w:val="nil"/>
              <w:left w:val="nil"/>
              <w:bottom w:val="nil"/>
              <w:right w:val="nil"/>
            </w:tcBorders>
          </w:tcPr>
          <w:p w:rsidR="00F1025C" w:rsidRDefault="00F1025C">
            <w:pPr>
              <w:pStyle w:val="ConsPlusNormal"/>
            </w:pPr>
          </w:p>
        </w:tc>
      </w:tr>
      <w:tr w:rsidR="00F1025C">
        <w:tblPrEx>
          <w:tblBorders>
            <w:insideH w:val="none" w:sz="0" w:space="0" w:color="auto"/>
            <w:insideV w:val="none" w:sz="0" w:space="0" w:color="auto"/>
          </w:tblBorders>
        </w:tblPrEx>
        <w:tc>
          <w:tcPr>
            <w:tcW w:w="384" w:type="dxa"/>
            <w:tcBorders>
              <w:top w:val="nil"/>
              <w:left w:val="nil"/>
              <w:bottom w:val="nil"/>
              <w:right w:val="nil"/>
            </w:tcBorders>
          </w:tcPr>
          <w:p w:rsidR="00F1025C" w:rsidRDefault="00F1025C">
            <w:pPr>
              <w:pStyle w:val="ConsPlusNormal"/>
            </w:pPr>
          </w:p>
        </w:tc>
        <w:tc>
          <w:tcPr>
            <w:tcW w:w="2880" w:type="dxa"/>
            <w:tcBorders>
              <w:top w:val="nil"/>
              <w:left w:val="nil"/>
              <w:bottom w:val="nil"/>
              <w:right w:val="nil"/>
            </w:tcBorders>
          </w:tcPr>
          <w:p w:rsidR="00F1025C" w:rsidRDefault="00F1025C">
            <w:pPr>
              <w:pStyle w:val="ConsPlusNormal"/>
              <w:ind w:left="283"/>
            </w:pPr>
            <w:r>
              <w:t>в том числе</w:t>
            </w:r>
          </w:p>
          <w:p w:rsidR="00F1025C" w:rsidRDefault="00F1025C">
            <w:pPr>
              <w:pStyle w:val="ConsPlusNormal"/>
              <w:ind w:left="283"/>
            </w:pPr>
            <w:r>
              <w:t xml:space="preserve">по </w:t>
            </w:r>
            <w:proofErr w:type="gramStart"/>
            <w:r>
              <w:t>индивидуальному проекту</w:t>
            </w:r>
            <w:proofErr w:type="gramEnd"/>
          </w:p>
        </w:tc>
        <w:tc>
          <w:tcPr>
            <w:tcW w:w="961" w:type="dxa"/>
            <w:tcBorders>
              <w:top w:val="nil"/>
              <w:left w:val="nil"/>
              <w:bottom w:val="nil"/>
              <w:right w:val="nil"/>
            </w:tcBorders>
          </w:tcPr>
          <w:p w:rsidR="00F1025C" w:rsidRDefault="00F1025C">
            <w:pPr>
              <w:pStyle w:val="ConsPlusNormal"/>
            </w:pPr>
          </w:p>
        </w:tc>
        <w:tc>
          <w:tcPr>
            <w:tcW w:w="961" w:type="dxa"/>
            <w:tcBorders>
              <w:top w:val="nil"/>
              <w:left w:val="nil"/>
              <w:bottom w:val="nil"/>
              <w:right w:val="nil"/>
            </w:tcBorders>
          </w:tcPr>
          <w:p w:rsidR="00F1025C" w:rsidRDefault="00F1025C">
            <w:pPr>
              <w:pStyle w:val="ConsPlusNormal"/>
            </w:pPr>
          </w:p>
        </w:tc>
        <w:tc>
          <w:tcPr>
            <w:tcW w:w="961" w:type="dxa"/>
            <w:tcBorders>
              <w:top w:val="nil"/>
              <w:left w:val="nil"/>
              <w:bottom w:val="nil"/>
              <w:right w:val="nil"/>
            </w:tcBorders>
          </w:tcPr>
          <w:p w:rsidR="00F1025C" w:rsidRDefault="00F1025C">
            <w:pPr>
              <w:pStyle w:val="ConsPlusNormal"/>
            </w:pPr>
          </w:p>
        </w:tc>
        <w:tc>
          <w:tcPr>
            <w:tcW w:w="961" w:type="dxa"/>
            <w:tcBorders>
              <w:top w:val="nil"/>
              <w:left w:val="nil"/>
              <w:bottom w:val="nil"/>
              <w:right w:val="nil"/>
            </w:tcBorders>
          </w:tcPr>
          <w:p w:rsidR="00F1025C" w:rsidRDefault="00F1025C">
            <w:pPr>
              <w:pStyle w:val="ConsPlusNormal"/>
            </w:pPr>
          </w:p>
        </w:tc>
        <w:tc>
          <w:tcPr>
            <w:tcW w:w="961" w:type="dxa"/>
            <w:tcBorders>
              <w:top w:val="nil"/>
              <w:left w:val="nil"/>
              <w:bottom w:val="nil"/>
              <w:right w:val="nil"/>
            </w:tcBorders>
          </w:tcPr>
          <w:p w:rsidR="00F1025C" w:rsidRDefault="00F1025C">
            <w:pPr>
              <w:pStyle w:val="ConsPlusNormal"/>
            </w:pPr>
          </w:p>
        </w:tc>
        <w:tc>
          <w:tcPr>
            <w:tcW w:w="966" w:type="dxa"/>
            <w:tcBorders>
              <w:top w:val="nil"/>
              <w:left w:val="nil"/>
              <w:bottom w:val="nil"/>
              <w:right w:val="nil"/>
            </w:tcBorders>
          </w:tcPr>
          <w:p w:rsidR="00F1025C" w:rsidRDefault="00F1025C">
            <w:pPr>
              <w:pStyle w:val="ConsPlusNormal"/>
            </w:pPr>
          </w:p>
        </w:tc>
      </w:tr>
      <w:tr w:rsidR="00F1025C">
        <w:tblPrEx>
          <w:tblBorders>
            <w:insideH w:val="none" w:sz="0" w:space="0" w:color="auto"/>
            <w:insideV w:val="none" w:sz="0" w:space="0" w:color="auto"/>
          </w:tblBorders>
        </w:tblPrEx>
        <w:tc>
          <w:tcPr>
            <w:tcW w:w="384" w:type="dxa"/>
            <w:tcBorders>
              <w:top w:val="nil"/>
              <w:left w:val="nil"/>
              <w:bottom w:val="nil"/>
              <w:right w:val="nil"/>
            </w:tcBorders>
          </w:tcPr>
          <w:p w:rsidR="00F1025C" w:rsidRDefault="00F1025C">
            <w:pPr>
              <w:pStyle w:val="ConsPlusNormal"/>
              <w:jc w:val="center"/>
            </w:pPr>
            <w:r>
              <w:t>4.</w:t>
            </w:r>
          </w:p>
        </w:tc>
        <w:tc>
          <w:tcPr>
            <w:tcW w:w="2880" w:type="dxa"/>
            <w:tcBorders>
              <w:top w:val="nil"/>
              <w:left w:val="nil"/>
              <w:bottom w:val="nil"/>
              <w:right w:val="nil"/>
            </w:tcBorders>
          </w:tcPr>
          <w:p w:rsidR="00F1025C" w:rsidRDefault="00F1025C">
            <w:pPr>
              <w:pStyle w:val="ConsPlusNormal"/>
            </w:pPr>
            <w:r>
              <w:t>От 670 кВт - всего</w:t>
            </w:r>
          </w:p>
        </w:tc>
        <w:tc>
          <w:tcPr>
            <w:tcW w:w="961" w:type="dxa"/>
            <w:tcBorders>
              <w:top w:val="nil"/>
              <w:left w:val="nil"/>
              <w:bottom w:val="nil"/>
              <w:right w:val="nil"/>
            </w:tcBorders>
          </w:tcPr>
          <w:p w:rsidR="00F1025C" w:rsidRDefault="00F1025C">
            <w:pPr>
              <w:pStyle w:val="ConsPlusNormal"/>
            </w:pPr>
          </w:p>
        </w:tc>
        <w:tc>
          <w:tcPr>
            <w:tcW w:w="961" w:type="dxa"/>
            <w:tcBorders>
              <w:top w:val="nil"/>
              <w:left w:val="nil"/>
              <w:bottom w:val="nil"/>
              <w:right w:val="nil"/>
            </w:tcBorders>
          </w:tcPr>
          <w:p w:rsidR="00F1025C" w:rsidRDefault="00F1025C">
            <w:pPr>
              <w:pStyle w:val="ConsPlusNormal"/>
            </w:pPr>
          </w:p>
        </w:tc>
        <w:tc>
          <w:tcPr>
            <w:tcW w:w="961" w:type="dxa"/>
            <w:tcBorders>
              <w:top w:val="nil"/>
              <w:left w:val="nil"/>
              <w:bottom w:val="nil"/>
              <w:right w:val="nil"/>
            </w:tcBorders>
          </w:tcPr>
          <w:p w:rsidR="00F1025C" w:rsidRDefault="00F1025C">
            <w:pPr>
              <w:pStyle w:val="ConsPlusNormal"/>
            </w:pPr>
          </w:p>
        </w:tc>
        <w:tc>
          <w:tcPr>
            <w:tcW w:w="961" w:type="dxa"/>
            <w:tcBorders>
              <w:top w:val="nil"/>
              <w:left w:val="nil"/>
              <w:bottom w:val="nil"/>
              <w:right w:val="nil"/>
            </w:tcBorders>
          </w:tcPr>
          <w:p w:rsidR="00F1025C" w:rsidRDefault="00F1025C">
            <w:pPr>
              <w:pStyle w:val="ConsPlusNormal"/>
            </w:pPr>
          </w:p>
        </w:tc>
        <w:tc>
          <w:tcPr>
            <w:tcW w:w="961" w:type="dxa"/>
            <w:tcBorders>
              <w:top w:val="nil"/>
              <w:left w:val="nil"/>
              <w:bottom w:val="nil"/>
              <w:right w:val="nil"/>
            </w:tcBorders>
          </w:tcPr>
          <w:p w:rsidR="00F1025C" w:rsidRDefault="00F1025C">
            <w:pPr>
              <w:pStyle w:val="ConsPlusNormal"/>
            </w:pPr>
          </w:p>
        </w:tc>
        <w:tc>
          <w:tcPr>
            <w:tcW w:w="966" w:type="dxa"/>
            <w:tcBorders>
              <w:top w:val="nil"/>
              <w:left w:val="nil"/>
              <w:bottom w:val="nil"/>
              <w:right w:val="nil"/>
            </w:tcBorders>
          </w:tcPr>
          <w:p w:rsidR="00F1025C" w:rsidRDefault="00F1025C">
            <w:pPr>
              <w:pStyle w:val="ConsPlusNormal"/>
            </w:pPr>
          </w:p>
        </w:tc>
      </w:tr>
      <w:tr w:rsidR="00F1025C">
        <w:tblPrEx>
          <w:tblBorders>
            <w:insideH w:val="none" w:sz="0" w:space="0" w:color="auto"/>
            <w:insideV w:val="none" w:sz="0" w:space="0" w:color="auto"/>
          </w:tblBorders>
        </w:tblPrEx>
        <w:tc>
          <w:tcPr>
            <w:tcW w:w="384" w:type="dxa"/>
            <w:tcBorders>
              <w:top w:val="nil"/>
              <w:left w:val="nil"/>
              <w:bottom w:val="single" w:sz="4" w:space="0" w:color="auto"/>
              <w:right w:val="nil"/>
            </w:tcBorders>
          </w:tcPr>
          <w:p w:rsidR="00F1025C" w:rsidRDefault="00F1025C">
            <w:pPr>
              <w:pStyle w:val="ConsPlusNormal"/>
            </w:pPr>
          </w:p>
        </w:tc>
        <w:tc>
          <w:tcPr>
            <w:tcW w:w="2880" w:type="dxa"/>
            <w:tcBorders>
              <w:top w:val="nil"/>
              <w:left w:val="nil"/>
              <w:bottom w:val="single" w:sz="4" w:space="0" w:color="auto"/>
              <w:right w:val="nil"/>
            </w:tcBorders>
          </w:tcPr>
          <w:p w:rsidR="00F1025C" w:rsidRDefault="00F1025C">
            <w:pPr>
              <w:pStyle w:val="ConsPlusNormal"/>
              <w:ind w:left="283"/>
            </w:pPr>
            <w:r>
              <w:t>в том числе</w:t>
            </w:r>
          </w:p>
          <w:p w:rsidR="00F1025C" w:rsidRDefault="00F1025C">
            <w:pPr>
              <w:pStyle w:val="ConsPlusNormal"/>
              <w:ind w:left="283"/>
            </w:pPr>
            <w:r>
              <w:lastRenderedPageBreak/>
              <w:t xml:space="preserve">по </w:t>
            </w:r>
            <w:proofErr w:type="gramStart"/>
            <w:r>
              <w:t>индивидуальному проекту</w:t>
            </w:r>
            <w:proofErr w:type="gramEnd"/>
          </w:p>
        </w:tc>
        <w:tc>
          <w:tcPr>
            <w:tcW w:w="961" w:type="dxa"/>
            <w:tcBorders>
              <w:top w:val="nil"/>
              <w:left w:val="nil"/>
              <w:bottom w:val="single" w:sz="4" w:space="0" w:color="auto"/>
              <w:right w:val="nil"/>
            </w:tcBorders>
          </w:tcPr>
          <w:p w:rsidR="00F1025C" w:rsidRDefault="00F1025C">
            <w:pPr>
              <w:pStyle w:val="ConsPlusNormal"/>
            </w:pPr>
          </w:p>
        </w:tc>
        <w:tc>
          <w:tcPr>
            <w:tcW w:w="961" w:type="dxa"/>
            <w:tcBorders>
              <w:top w:val="nil"/>
              <w:left w:val="nil"/>
              <w:bottom w:val="single" w:sz="4" w:space="0" w:color="auto"/>
              <w:right w:val="nil"/>
            </w:tcBorders>
          </w:tcPr>
          <w:p w:rsidR="00F1025C" w:rsidRDefault="00F1025C">
            <w:pPr>
              <w:pStyle w:val="ConsPlusNormal"/>
            </w:pPr>
          </w:p>
        </w:tc>
        <w:tc>
          <w:tcPr>
            <w:tcW w:w="961" w:type="dxa"/>
            <w:tcBorders>
              <w:top w:val="nil"/>
              <w:left w:val="nil"/>
              <w:bottom w:val="single" w:sz="4" w:space="0" w:color="auto"/>
              <w:right w:val="nil"/>
            </w:tcBorders>
          </w:tcPr>
          <w:p w:rsidR="00F1025C" w:rsidRDefault="00F1025C">
            <w:pPr>
              <w:pStyle w:val="ConsPlusNormal"/>
            </w:pPr>
          </w:p>
        </w:tc>
        <w:tc>
          <w:tcPr>
            <w:tcW w:w="961" w:type="dxa"/>
            <w:tcBorders>
              <w:top w:val="nil"/>
              <w:left w:val="nil"/>
              <w:bottom w:val="single" w:sz="4" w:space="0" w:color="auto"/>
              <w:right w:val="nil"/>
            </w:tcBorders>
          </w:tcPr>
          <w:p w:rsidR="00F1025C" w:rsidRDefault="00F1025C">
            <w:pPr>
              <w:pStyle w:val="ConsPlusNormal"/>
            </w:pPr>
          </w:p>
        </w:tc>
        <w:tc>
          <w:tcPr>
            <w:tcW w:w="961" w:type="dxa"/>
            <w:tcBorders>
              <w:top w:val="nil"/>
              <w:left w:val="nil"/>
              <w:bottom w:val="single" w:sz="4" w:space="0" w:color="auto"/>
              <w:right w:val="nil"/>
            </w:tcBorders>
          </w:tcPr>
          <w:p w:rsidR="00F1025C" w:rsidRDefault="00F1025C">
            <w:pPr>
              <w:pStyle w:val="ConsPlusNormal"/>
            </w:pPr>
          </w:p>
        </w:tc>
        <w:tc>
          <w:tcPr>
            <w:tcW w:w="966" w:type="dxa"/>
            <w:tcBorders>
              <w:top w:val="nil"/>
              <w:left w:val="nil"/>
              <w:bottom w:val="single" w:sz="4" w:space="0" w:color="auto"/>
              <w:right w:val="nil"/>
            </w:tcBorders>
          </w:tcPr>
          <w:p w:rsidR="00F1025C" w:rsidRDefault="00F1025C">
            <w:pPr>
              <w:pStyle w:val="ConsPlusNormal"/>
            </w:pPr>
          </w:p>
        </w:tc>
      </w:tr>
    </w:tbl>
    <w:p w:rsidR="00F1025C" w:rsidRDefault="00F1025C">
      <w:pPr>
        <w:pStyle w:val="ConsPlusNormal"/>
        <w:jc w:val="both"/>
      </w:pPr>
    </w:p>
    <w:p w:rsidR="00F1025C" w:rsidRDefault="00F1025C">
      <w:pPr>
        <w:pStyle w:val="ConsPlusNormal"/>
        <w:ind w:firstLine="540"/>
        <w:jc w:val="both"/>
      </w:pPr>
      <w:r>
        <w:t>--------------------------------</w:t>
      </w:r>
    </w:p>
    <w:p w:rsidR="00F1025C" w:rsidRDefault="00F1025C">
      <w:pPr>
        <w:pStyle w:val="ConsPlusNormal"/>
        <w:spacing w:before="220"/>
        <w:ind w:firstLine="540"/>
        <w:jc w:val="both"/>
      </w:pPr>
      <w:r>
        <w:t xml:space="preserve">&lt;*&gt; Заявители, оплачивающие технологическое присоединение своих </w:t>
      </w:r>
      <w:proofErr w:type="spellStart"/>
      <w:r>
        <w:t>энергопринимающих</w:t>
      </w:r>
      <w:proofErr w:type="spellEnd"/>
      <w:r>
        <w:t xml:space="preserve"> устройств в размере не более 550 рублей.</w:t>
      </w:r>
    </w:p>
    <w:p w:rsidR="00F1025C" w:rsidRDefault="00F1025C">
      <w:pPr>
        <w:pStyle w:val="ConsPlusNormal"/>
        <w:spacing w:before="220"/>
        <w:ind w:firstLine="540"/>
        <w:jc w:val="both"/>
      </w:pPr>
      <w:proofErr w:type="gramStart"/>
      <w:r>
        <w:t xml:space="preserve">&lt;**&gt;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w:t>
      </w:r>
      <w:proofErr w:type="spellStart"/>
      <w:r>
        <w:t>энергопринимающих</w:t>
      </w:r>
      <w:proofErr w:type="spellEnd"/>
      <w:r>
        <w:t xml:space="preserve"> устройств максимальной мощностью свыше 15 и до 150 кВт включительно (с учетом ранее присоединенных </w:t>
      </w:r>
      <w:proofErr w:type="spellStart"/>
      <w:r>
        <w:t>энергопринимающих</w:t>
      </w:r>
      <w:proofErr w:type="spellEnd"/>
      <w:r>
        <w:t xml:space="preserve">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w:t>
      </w:r>
      <w:proofErr w:type="gramEnd"/>
      <w:r>
        <w:t xml:space="preserve"> общей суммы рассрочки до 3 лет со дня подписания сторонами акта об осуществлении технологического присоединения</w:t>
      </w:r>
      <w:proofErr w:type="gramStart"/>
      <w:r>
        <w:t>.".</w:t>
      </w:r>
      <w:proofErr w:type="gramEnd"/>
    </w:p>
    <w:p w:rsidR="00F1025C" w:rsidRDefault="00F1025C">
      <w:pPr>
        <w:pStyle w:val="ConsPlusNormal"/>
        <w:jc w:val="both"/>
      </w:pPr>
    </w:p>
    <w:p w:rsidR="00F1025C" w:rsidRDefault="00F1025C">
      <w:pPr>
        <w:pStyle w:val="ConsPlusNormal"/>
        <w:ind w:firstLine="540"/>
        <w:jc w:val="both"/>
      </w:pPr>
      <w:r>
        <w:t xml:space="preserve">2. </w:t>
      </w:r>
      <w:proofErr w:type="gramStart"/>
      <w:r>
        <w:t xml:space="preserve">В </w:t>
      </w:r>
      <w:hyperlink r:id="rId9" w:history="1">
        <w:r>
          <w:rPr>
            <w:color w:val="0000FF"/>
          </w:rPr>
          <w:t>Основах</w:t>
        </w:r>
      </w:hyperlink>
      <w:r>
        <w:t xml:space="preserve">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23, ст. 3008; N 24, ст. 3185; N 28, ст. 3897;</w:t>
      </w:r>
      <w:proofErr w:type="gramEnd"/>
      <w:r>
        <w:t xml:space="preserve"> </w:t>
      </w:r>
      <w:proofErr w:type="gramStart"/>
      <w:r>
        <w:t>N 41, ст. 5636; 2013, N 1, ст. 68; N 22, ст. 2817; N 26, ст. 3337; N 27, ст. 3602; N 31, ст. 4216, 4234; N 35, ст. 4528; N 44, ст. 5754; N 47, ст. 6105; 2014, N 8, ст. 813; N 9, ст. 919; N 11, ст. 1156;</w:t>
      </w:r>
      <w:proofErr w:type="gramEnd"/>
      <w:r>
        <w:t xml:space="preserve"> N 23, ст. 2994; N 25, ст. 3311; N 28, ст. 4050; N 32, ст. 4521; N 34, ст. 4677; N 44, ст. 6078; N 50, ст. 7094; 2015, N 1, ст. 259; N 2, ст. 474, 477; N 5, ст. 827; N 8, ст. 1167; N 9, ст. 1324; </w:t>
      </w:r>
      <w:proofErr w:type="gramStart"/>
      <w:r>
        <w:t>N 20, ст. 2924; N 23, ст. 3312; N 28, ст. 4244; N 36, ст. 5034; N 37, ст. 5153; N 42, ст. 5790; N 43, ст. 5975; 2016, N 1, ст. 238; N 2, ст. 329, 395; N 22, ст. 3212; N 41, ст. 5833, 5838; N 43, ст. 6034;</w:t>
      </w:r>
      <w:proofErr w:type="gramEnd"/>
      <w:r>
        <w:t xml:space="preserve"> </w:t>
      </w:r>
      <w:proofErr w:type="gramStart"/>
      <w:r>
        <w:t>N 44, ст. 6135; N 47, ст. 6641; N 49, ст. 6928; 2017, N 1, ст. 178, 204; N 20, ст. 2927; N 29, ст. 4372; N 31, ст. 4923; N 32, ст. 5077; N 36, ст. 5441; N 47, ст. 6978; N 50, ст. 7627; 2018, N 1, ст. 364, 378;</w:t>
      </w:r>
      <w:proofErr w:type="gramEnd"/>
      <w:r>
        <w:t xml:space="preserve"> </w:t>
      </w:r>
      <w:proofErr w:type="gramStart"/>
      <w:r>
        <w:t>N 3, ст. 543; N 10, ст. 1487; N 19, ст. 2756; N 28, ст. 4212, 4223; N 44, ст. 6744; N 51, ст. 8007; N 53, ст. 8666, 8702; 2019, N 5, ст. 389; N 6, ст. 527; N 11, ст. 1140; N 13, ст. 1403; N 14, ст. 1548;</w:t>
      </w:r>
      <w:proofErr w:type="gramEnd"/>
      <w:r>
        <w:t xml:space="preserve"> </w:t>
      </w:r>
      <w:proofErr w:type="gramStart"/>
      <w:r>
        <w:t>N 21, ст. 2562; N 23, ст. 2940; N 27, ст. 3589; N 46, ст. 6512; N 47, ст. 6677; 2020, N 1, ст. 52, 80; N 2, ст. 189):</w:t>
      </w:r>
      <w:proofErr w:type="gramEnd"/>
    </w:p>
    <w:p w:rsidR="00F1025C" w:rsidRDefault="00F1025C">
      <w:pPr>
        <w:pStyle w:val="ConsPlusNormal"/>
        <w:spacing w:before="220"/>
        <w:ind w:firstLine="540"/>
        <w:jc w:val="both"/>
      </w:pPr>
      <w:proofErr w:type="gramStart"/>
      <w:r>
        <w:t xml:space="preserve">а) в </w:t>
      </w:r>
      <w:hyperlink r:id="rId10" w:history="1">
        <w:r>
          <w:rPr>
            <w:color w:val="0000FF"/>
          </w:rPr>
          <w:t>абзаце тринадцатом пункта 12</w:t>
        </w:r>
      </w:hyperlink>
      <w:r>
        <w:t xml:space="preserve"> слова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заменить словами "организаций, расходы которых впервые учитываются при утверждении в установленном порядке цен (тарифов) в сфере электроэнергетики";</w:t>
      </w:r>
      <w:proofErr w:type="gramEnd"/>
    </w:p>
    <w:p w:rsidR="00F1025C" w:rsidRDefault="00F1025C">
      <w:pPr>
        <w:pStyle w:val="ConsPlusNormal"/>
        <w:spacing w:before="220"/>
        <w:ind w:firstLine="540"/>
        <w:jc w:val="both"/>
      </w:pPr>
      <w:r>
        <w:t xml:space="preserve">б) в </w:t>
      </w:r>
      <w:hyperlink r:id="rId11" w:history="1">
        <w:r>
          <w:rPr>
            <w:color w:val="0000FF"/>
          </w:rPr>
          <w:t>подпункте 7 пункта 18</w:t>
        </w:r>
      </w:hyperlink>
      <w:r>
        <w:t xml:space="preserve"> слова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 исключить;</w:t>
      </w:r>
    </w:p>
    <w:p w:rsidR="00F1025C" w:rsidRDefault="00F1025C">
      <w:pPr>
        <w:pStyle w:val="ConsPlusNormal"/>
        <w:spacing w:before="220"/>
        <w:ind w:firstLine="540"/>
        <w:jc w:val="both"/>
      </w:pPr>
      <w:r>
        <w:t xml:space="preserve">в) </w:t>
      </w:r>
      <w:hyperlink r:id="rId12" w:history="1">
        <w:r>
          <w:rPr>
            <w:color w:val="0000FF"/>
          </w:rPr>
          <w:t>абзац шестой пункта 32</w:t>
        </w:r>
      </w:hyperlink>
      <w:r>
        <w:t xml:space="preserve"> признать утратившим силу;</w:t>
      </w:r>
    </w:p>
    <w:p w:rsidR="00F1025C" w:rsidRDefault="00F1025C">
      <w:pPr>
        <w:pStyle w:val="ConsPlusNormal"/>
        <w:spacing w:before="220"/>
        <w:ind w:firstLine="540"/>
        <w:jc w:val="both"/>
      </w:pPr>
      <w:r>
        <w:t xml:space="preserve">г) в </w:t>
      </w:r>
      <w:hyperlink r:id="rId13" w:history="1">
        <w:r>
          <w:rPr>
            <w:color w:val="0000FF"/>
          </w:rPr>
          <w:t>пункте 34</w:t>
        </w:r>
      </w:hyperlink>
      <w:r>
        <w:t>:</w:t>
      </w:r>
    </w:p>
    <w:p w:rsidR="00F1025C" w:rsidRDefault="00F1025C">
      <w:pPr>
        <w:pStyle w:val="ConsPlusNormal"/>
        <w:spacing w:before="220"/>
        <w:ind w:firstLine="540"/>
        <w:jc w:val="both"/>
      </w:pPr>
      <w:r>
        <w:t xml:space="preserve">предложение первое </w:t>
      </w:r>
      <w:hyperlink r:id="rId14" w:history="1">
        <w:r>
          <w:rPr>
            <w:color w:val="0000FF"/>
          </w:rPr>
          <w:t>абзаца первого</w:t>
        </w:r>
      </w:hyperlink>
      <w:r>
        <w:t xml:space="preserve"> после слов "в соответствии с законодательством Российской Федерации об электроэнергетике</w:t>
      </w:r>
      <w:proofErr w:type="gramStart"/>
      <w:r>
        <w:t>,"</w:t>
      </w:r>
      <w:proofErr w:type="gramEnd"/>
      <w:r>
        <w:t xml:space="preserve"> дополнить словами "расходы на выполнение предусмотренных </w:t>
      </w:r>
      <w:hyperlink r:id="rId15" w:history="1">
        <w:r>
          <w:rPr>
            <w:color w:val="0000FF"/>
          </w:rPr>
          <w:t>пунктом 5 статьи 37</w:t>
        </w:r>
      </w:hyperlink>
      <w: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до начала очередного долгосрочного </w:t>
      </w:r>
      <w:r>
        <w:lastRenderedPageBreak/>
        <w:t>периода регулирования,";</w:t>
      </w:r>
    </w:p>
    <w:p w:rsidR="00F1025C" w:rsidRDefault="00F1025C">
      <w:pPr>
        <w:pStyle w:val="ConsPlusNormal"/>
        <w:spacing w:before="220"/>
        <w:ind w:firstLine="540"/>
        <w:jc w:val="both"/>
      </w:pPr>
      <w:proofErr w:type="spellStart"/>
      <w:r>
        <w:t>д</w:t>
      </w:r>
      <w:proofErr w:type="spellEnd"/>
      <w:r>
        <w:t xml:space="preserve">) </w:t>
      </w:r>
      <w:hyperlink r:id="rId16" w:history="1">
        <w:r>
          <w:rPr>
            <w:color w:val="0000FF"/>
          </w:rPr>
          <w:t>дополнить</w:t>
        </w:r>
      </w:hyperlink>
      <w:r>
        <w:t xml:space="preserve"> пунктами 34(1) - 34(3) следующего содержания:</w:t>
      </w:r>
    </w:p>
    <w:p w:rsidR="00F1025C" w:rsidRDefault="00F1025C">
      <w:pPr>
        <w:pStyle w:val="ConsPlusNormal"/>
        <w:spacing w:before="220"/>
        <w:ind w:firstLine="540"/>
        <w:jc w:val="both"/>
      </w:pPr>
      <w:r>
        <w:t xml:space="preserve">"34(1). </w:t>
      </w:r>
      <w:proofErr w:type="gramStart"/>
      <w:r>
        <w:t>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w:t>
      </w:r>
      <w:proofErr w:type="gramEnd"/>
      <w:r>
        <w:t xml:space="preserve"> финансироваться за счет бюджетных средств.</w:t>
      </w:r>
    </w:p>
    <w:p w:rsidR="00F1025C" w:rsidRDefault="00F1025C">
      <w:pPr>
        <w:pStyle w:val="ConsPlusNormal"/>
        <w:spacing w:before="220"/>
        <w:ind w:firstLine="540"/>
        <w:jc w:val="both"/>
      </w:pPr>
      <w:r>
        <w:t>34(2). Размер экономии расходов на оплату потерь электрической энергии, полученной сетевой организацией в соответствии с пунктом 34(1) настоящего документа (</w:t>
      </w:r>
      <w:proofErr w:type="spellStart"/>
      <w:r>
        <w:t>Э</w:t>
      </w:r>
      <w:r>
        <w:rPr>
          <w:vertAlign w:val="subscript"/>
        </w:rPr>
        <w:t>дпр</w:t>
      </w:r>
      <w:proofErr w:type="spellEnd"/>
      <w:r>
        <w:t>), определяется в течение долгосрочного периода регулирования по формуле:</w:t>
      </w:r>
    </w:p>
    <w:p w:rsidR="00F1025C" w:rsidRDefault="00F1025C">
      <w:pPr>
        <w:pStyle w:val="ConsPlusNormal"/>
        <w:jc w:val="both"/>
      </w:pPr>
    </w:p>
    <w:p w:rsidR="00F1025C" w:rsidRDefault="00F1025C">
      <w:pPr>
        <w:pStyle w:val="ConsPlusNormal"/>
        <w:jc w:val="center"/>
      </w:pPr>
      <w:proofErr w:type="spellStart"/>
      <w:r>
        <w:t>Э</w:t>
      </w:r>
      <w:r>
        <w:rPr>
          <w:vertAlign w:val="subscript"/>
        </w:rPr>
        <w:t>дпр</w:t>
      </w:r>
      <w:proofErr w:type="spellEnd"/>
      <w:r>
        <w:t xml:space="preserve"> = </w:t>
      </w:r>
      <w:proofErr w:type="spellStart"/>
      <w:r>
        <w:t>max</w:t>
      </w:r>
      <w:proofErr w:type="spellEnd"/>
      <w:r>
        <w:t xml:space="preserve"> (0; N </w:t>
      </w:r>
      <w:proofErr w:type="spellStart"/>
      <w:r>
        <w:t>x</w:t>
      </w:r>
      <w:proofErr w:type="spellEnd"/>
      <w:r>
        <w:t xml:space="preserve"> </w:t>
      </w:r>
      <w:proofErr w:type="gramStart"/>
      <w:r>
        <w:t>W</w:t>
      </w:r>
      <w:proofErr w:type="gramEnd"/>
      <w:r>
        <w:rPr>
          <w:vertAlign w:val="subscript"/>
        </w:rPr>
        <w:t>ОС</w:t>
      </w:r>
      <w:r>
        <w:t xml:space="preserve"> - </w:t>
      </w:r>
      <w:proofErr w:type="spellStart"/>
      <w:r>
        <w:t>П</w:t>
      </w:r>
      <w:r>
        <w:rPr>
          <w:vertAlign w:val="subscript"/>
        </w:rPr>
        <w:t>ф</w:t>
      </w:r>
      <w:proofErr w:type="spellEnd"/>
      <w:r>
        <w:t xml:space="preserve">) </w:t>
      </w:r>
      <w:proofErr w:type="spellStart"/>
      <w:r>
        <w:t>x</w:t>
      </w:r>
      <w:proofErr w:type="spellEnd"/>
      <w:r>
        <w:t xml:space="preserve"> ЦП,</w:t>
      </w:r>
    </w:p>
    <w:p w:rsidR="00F1025C" w:rsidRDefault="00F1025C">
      <w:pPr>
        <w:pStyle w:val="ConsPlusNormal"/>
        <w:jc w:val="both"/>
      </w:pPr>
    </w:p>
    <w:p w:rsidR="00F1025C" w:rsidRDefault="00F1025C">
      <w:pPr>
        <w:pStyle w:val="ConsPlusNormal"/>
        <w:ind w:firstLine="540"/>
        <w:jc w:val="both"/>
      </w:pPr>
      <w:r>
        <w:t>где:</w:t>
      </w:r>
    </w:p>
    <w:p w:rsidR="00F1025C" w:rsidRDefault="00F1025C">
      <w:pPr>
        <w:pStyle w:val="ConsPlusNormal"/>
        <w:spacing w:before="220"/>
        <w:ind w:firstLine="540"/>
        <w:jc w:val="both"/>
      </w:pPr>
      <w:r>
        <w:t>N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в процентах от величины суммарного отпуска электрической энергии в сеть сетевой организации;</w:t>
      </w:r>
    </w:p>
    <w:p w:rsidR="00F1025C" w:rsidRDefault="00F1025C">
      <w:pPr>
        <w:pStyle w:val="ConsPlusNormal"/>
        <w:spacing w:before="220"/>
        <w:ind w:firstLine="540"/>
        <w:jc w:val="both"/>
      </w:pPr>
      <w:proofErr w:type="gramStart"/>
      <w:r>
        <w:t>W</w:t>
      </w:r>
      <w:proofErr w:type="gramEnd"/>
      <w:r>
        <w:rPr>
          <w:vertAlign w:val="subscript"/>
        </w:rPr>
        <w:t>ОС</w:t>
      </w:r>
      <w:r>
        <w:t xml:space="preserve"> - величина суммарного отпуска электрической энергии в сеть сетевой организации (тыс. кВт);</w:t>
      </w:r>
    </w:p>
    <w:p w:rsidR="00F1025C" w:rsidRDefault="00F1025C">
      <w:pPr>
        <w:pStyle w:val="ConsPlusNormal"/>
        <w:spacing w:before="220"/>
        <w:ind w:firstLine="540"/>
        <w:jc w:val="both"/>
      </w:pPr>
      <w:proofErr w:type="spellStart"/>
      <w:r>
        <w:t>П</w:t>
      </w:r>
      <w:r>
        <w:rPr>
          <w:vertAlign w:val="subscript"/>
        </w:rPr>
        <w:t>ф</w:t>
      </w:r>
      <w:proofErr w:type="spellEnd"/>
      <w:r>
        <w:t xml:space="preserve"> - величина фактических потерь электрической энергии в сетях сетевой организации (тыс. кВт);</w:t>
      </w:r>
    </w:p>
    <w:p w:rsidR="00F1025C" w:rsidRDefault="00F1025C">
      <w:pPr>
        <w:pStyle w:val="ConsPlusNormal"/>
        <w:spacing w:before="220"/>
        <w:ind w:firstLine="540"/>
        <w:jc w:val="both"/>
      </w:pPr>
      <w:r>
        <w:t>ЦП - фактически сложившаяся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w:t>
      </w:r>
      <w:proofErr w:type="spellStart"/>
      <w:r>
        <w:t>руб</w:t>
      </w:r>
      <w:proofErr w:type="spellEnd"/>
      <w:r>
        <w:t>/кВт·ч).</w:t>
      </w:r>
    </w:p>
    <w:p w:rsidR="00F1025C" w:rsidRDefault="00F1025C">
      <w:pPr>
        <w:pStyle w:val="ConsPlusNormal"/>
        <w:spacing w:before="220"/>
        <w:ind w:firstLine="540"/>
        <w:jc w:val="both"/>
      </w:pPr>
      <w:r>
        <w:t>34(3). В случае если год, в котором была достигнута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относится к предыдущему долгосрочному периоду регулирования, указанная экономия (Э) рассчитывается по формуле:</w:t>
      </w:r>
    </w:p>
    <w:p w:rsidR="00F1025C" w:rsidRDefault="00F1025C">
      <w:pPr>
        <w:pStyle w:val="ConsPlusNormal"/>
        <w:jc w:val="both"/>
      </w:pPr>
    </w:p>
    <w:p w:rsidR="00F1025C" w:rsidRDefault="00F1025C">
      <w:pPr>
        <w:pStyle w:val="ConsPlusNormal"/>
        <w:jc w:val="center"/>
      </w:pPr>
      <w:r>
        <w:t xml:space="preserve">Э = </w:t>
      </w:r>
      <w:proofErr w:type="spellStart"/>
      <w:r>
        <w:t>max</w:t>
      </w:r>
      <w:proofErr w:type="spellEnd"/>
      <w:r>
        <w:t xml:space="preserve"> (0; (</w:t>
      </w:r>
      <w:proofErr w:type="spellStart"/>
      <w:proofErr w:type="gramStart"/>
      <w:r>
        <w:t>N</w:t>
      </w:r>
      <w:proofErr w:type="gramEnd"/>
      <w:r>
        <w:rPr>
          <w:vertAlign w:val="subscript"/>
        </w:rPr>
        <w:t>пред</w:t>
      </w:r>
      <w:proofErr w:type="spellEnd"/>
      <w:r>
        <w:t xml:space="preserve"> </w:t>
      </w:r>
      <w:proofErr w:type="spellStart"/>
      <w:r>
        <w:t>x</w:t>
      </w:r>
      <w:proofErr w:type="spellEnd"/>
      <w:r>
        <w:t xml:space="preserve"> W</w:t>
      </w:r>
      <w:r>
        <w:rPr>
          <w:vertAlign w:val="subscript"/>
        </w:rPr>
        <w:t>ОС</w:t>
      </w:r>
      <w:r>
        <w:t xml:space="preserve"> - </w:t>
      </w:r>
      <w:proofErr w:type="spellStart"/>
      <w:r>
        <w:t>П</w:t>
      </w:r>
      <w:r>
        <w:rPr>
          <w:vertAlign w:val="subscript"/>
        </w:rPr>
        <w:t>ф</w:t>
      </w:r>
      <w:proofErr w:type="spellEnd"/>
      <w:r>
        <w:t xml:space="preserve">) </w:t>
      </w:r>
      <w:proofErr w:type="spellStart"/>
      <w:r>
        <w:t>x</w:t>
      </w:r>
      <w:proofErr w:type="spellEnd"/>
      <w:r>
        <w:t xml:space="preserve"> ЦП),</w:t>
      </w:r>
    </w:p>
    <w:p w:rsidR="00F1025C" w:rsidRDefault="00F1025C">
      <w:pPr>
        <w:pStyle w:val="ConsPlusNormal"/>
        <w:jc w:val="both"/>
      </w:pPr>
    </w:p>
    <w:p w:rsidR="00F1025C" w:rsidRDefault="00F1025C">
      <w:pPr>
        <w:pStyle w:val="ConsPlusNormal"/>
        <w:ind w:firstLine="540"/>
        <w:jc w:val="both"/>
      </w:pPr>
      <w:r>
        <w:t xml:space="preserve">где </w:t>
      </w:r>
      <w:proofErr w:type="spellStart"/>
      <w:r>
        <w:t>N</w:t>
      </w:r>
      <w:r>
        <w:rPr>
          <w:vertAlign w:val="subscript"/>
        </w:rPr>
        <w:t>пред</w:t>
      </w:r>
      <w:proofErr w:type="spellEnd"/>
      <w:r>
        <w:t xml:space="preserve"> - уровень потерь электрической энергии при ее передаче по электрическим сетям, установленный регулирующим органом на предыдущий долгосрочный период регулирования, в процентах от величины суммарного отпуска электрической энергии в сеть сетевой организации</w:t>
      </w:r>
      <w:proofErr w:type="gramStart"/>
      <w:r>
        <w:t>.";</w:t>
      </w:r>
      <w:proofErr w:type="gramEnd"/>
    </w:p>
    <w:p w:rsidR="00F1025C" w:rsidRDefault="00F1025C">
      <w:pPr>
        <w:pStyle w:val="ConsPlusNormal"/>
        <w:spacing w:before="220"/>
        <w:ind w:firstLine="540"/>
        <w:jc w:val="both"/>
      </w:pPr>
      <w:r>
        <w:t xml:space="preserve">е) </w:t>
      </w:r>
      <w:hyperlink r:id="rId17" w:history="1">
        <w:r>
          <w:rPr>
            <w:color w:val="0000FF"/>
          </w:rPr>
          <w:t>пункт 38</w:t>
        </w:r>
      </w:hyperlink>
      <w:r>
        <w:t>:</w:t>
      </w:r>
    </w:p>
    <w:p w:rsidR="00F1025C" w:rsidRDefault="00F1025C">
      <w:pPr>
        <w:pStyle w:val="ConsPlusNormal"/>
        <w:spacing w:before="220"/>
        <w:ind w:firstLine="540"/>
        <w:jc w:val="both"/>
      </w:pPr>
      <w:r>
        <w:t xml:space="preserve">после </w:t>
      </w:r>
      <w:hyperlink r:id="rId18" w:history="1">
        <w:r>
          <w:rPr>
            <w:color w:val="0000FF"/>
          </w:rPr>
          <w:t>абзаца двенадцатого</w:t>
        </w:r>
      </w:hyperlink>
      <w:r>
        <w:t xml:space="preserve"> дополнить абзацем следующего содержания:</w:t>
      </w:r>
    </w:p>
    <w:p w:rsidR="00F1025C" w:rsidRDefault="00F1025C">
      <w:pPr>
        <w:pStyle w:val="ConsPlusNormal"/>
        <w:spacing w:before="220"/>
        <w:ind w:firstLine="540"/>
        <w:jc w:val="both"/>
      </w:pPr>
      <w:r>
        <w:t xml:space="preserve">"величина расходов на выполнение предусмотренных </w:t>
      </w:r>
      <w:hyperlink r:id="rId19" w:history="1">
        <w:r>
          <w:rPr>
            <w:color w:val="0000FF"/>
          </w:rPr>
          <w:t>пунктом 5 статьи 37</w:t>
        </w:r>
      </w:hyperlink>
      <w: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относящихся к капитальным вложениям, до начала очередного долгосрочного периода регулирования</w:t>
      </w:r>
      <w:proofErr w:type="gramStart"/>
      <w:r>
        <w:t>;"</w:t>
      </w:r>
      <w:proofErr w:type="gramEnd"/>
      <w:r>
        <w:t>;</w:t>
      </w:r>
    </w:p>
    <w:p w:rsidR="00F1025C" w:rsidRDefault="00F1025C">
      <w:pPr>
        <w:pStyle w:val="ConsPlusNormal"/>
        <w:spacing w:before="220"/>
        <w:ind w:firstLine="540"/>
        <w:jc w:val="both"/>
      </w:pPr>
      <w:hyperlink r:id="rId20" w:history="1">
        <w:r>
          <w:rPr>
            <w:color w:val="0000FF"/>
          </w:rPr>
          <w:t>дополнить</w:t>
        </w:r>
      </w:hyperlink>
      <w:r>
        <w:t xml:space="preserve"> абзацем следующего содержания:</w:t>
      </w:r>
    </w:p>
    <w:p w:rsidR="00F1025C" w:rsidRDefault="00F1025C">
      <w:pPr>
        <w:pStyle w:val="ConsPlusNormal"/>
        <w:spacing w:before="220"/>
        <w:ind w:firstLine="540"/>
        <w:jc w:val="both"/>
      </w:pPr>
      <w:proofErr w:type="gramStart"/>
      <w:r>
        <w:lastRenderedPageBreak/>
        <w:t>"Экономия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w:t>
      </w:r>
      <w:proofErr w:type="gramEnd"/>
      <w:r>
        <w:t xml:space="preserve"> финансироваться за счет бюджетных средств, и рассчитывается в соответствии с пунктами 34(1) - 34(3) настоящего документа</w:t>
      </w:r>
      <w:proofErr w:type="gramStart"/>
      <w:r>
        <w:t>.";</w:t>
      </w:r>
      <w:proofErr w:type="gramEnd"/>
    </w:p>
    <w:p w:rsidR="00F1025C" w:rsidRDefault="00F1025C">
      <w:pPr>
        <w:pStyle w:val="ConsPlusNormal"/>
        <w:spacing w:before="220"/>
        <w:ind w:firstLine="540"/>
        <w:jc w:val="both"/>
      </w:pPr>
      <w:proofErr w:type="gramStart"/>
      <w:r>
        <w:t xml:space="preserve">ж) в </w:t>
      </w:r>
      <w:hyperlink r:id="rId21" w:history="1">
        <w:r>
          <w:rPr>
            <w:color w:val="0000FF"/>
          </w:rPr>
          <w:t>абзацах пятом</w:t>
        </w:r>
      </w:hyperlink>
      <w:r>
        <w:t xml:space="preserve"> и </w:t>
      </w:r>
      <w:hyperlink r:id="rId22" w:history="1">
        <w:r>
          <w:rPr>
            <w:color w:val="0000FF"/>
          </w:rPr>
          <w:t>шестом пункта 48</w:t>
        </w:r>
      </w:hyperlink>
      <w:r>
        <w:t xml:space="preserve"> слова "Южно-Якутский район Республики Саха (Якутия), Приморский край, Хабаровский край, Амурская область, Еврейская автономная область" заменить словами "территории, указанные в </w:t>
      </w:r>
      <w:hyperlink r:id="rId23" w:history="1">
        <w:r>
          <w:rPr>
            <w:color w:val="0000FF"/>
          </w:rPr>
          <w:t>пункте IV</w:t>
        </w:r>
      </w:hyperlink>
      <w: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w:t>
      </w:r>
      <w:proofErr w:type="gramEnd"/>
      <w:r>
        <w:t xml:space="preserve">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F1025C" w:rsidRDefault="00F1025C">
      <w:pPr>
        <w:pStyle w:val="ConsPlusNormal"/>
        <w:spacing w:before="220"/>
        <w:ind w:firstLine="540"/>
        <w:jc w:val="both"/>
      </w:pPr>
      <w:proofErr w:type="spellStart"/>
      <w:proofErr w:type="gramStart"/>
      <w:r>
        <w:t>з</w:t>
      </w:r>
      <w:proofErr w:type="spellEnd"/>
      <w:r>
        <w:t xml:space="preserve">) в </w:t>
      </w:r>
      <w:hyperlink r:id="rId24" w:history="1">
        <w:r>
          <w:rPr>
            <w:color w:val="0000FF"/>
          </w:rPr>
          <w:t>абзаце четвертом пункта 49</w:t>
        </w:r>
      </w:hyperlink>
      <w:r>
        <w:t xml:space="preserve"> слова "Амурская область, Приморский край, Хабаровский край, Южно-Якутский район Республики Саха (Якутия), Еврейская автономная область" заменить словами "территории, указанные в </w:t>
      </w:r>
      <w:hyperlink r:id="rId25" w:history="1">
        <w:r>
          <w:rPr>
            <w:color w:val="0000FF"/>
          </w:rPr>
          <w:t>пункте IV</w:t>
        </w:r>
      </w:hyperlink>
      <w: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w:t>
      </w:r>
      <w:proofErr w:type="gramEnd"/>
      <w:r>
        <w:t xml:space="preserve">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F1025C" w:rsidRDefault="00F1025C">
      <w:pPr>
        <w:pStyle w:val="ConsPlusNormal"/>
        <w:spacing w:before="220"/>
        <w:ind w:firstLine="540"/>
        <w:jc w:val="both"/>
      </w:pPr>
      <w:r>
        <w:t xml:space="preserve">и) в </w:t>
      </w:r>
      <w:hyperlink r:id="rId26" w:history="1">
        <w:r>
          <w:rPr>
            <w:color w:val="0000FF"/>
          </w:rPr>
          <w:t>пункте 61</w:t>
        </w:r>
      </w:hyperlink>
      <w:r>
        <w:t>:</w:t>
      </w:r>
    </w:p>
    <w:p w:rsidR="00F1025C" w:rsidRDefault="00F1025C">
      <w:pPr>
        <w:pStyle w:val="ConsPlusNormal"/>
        <w:spacing w:before="220"/>
        <w:ind w:firstLine="540"/>
        <w:jc w:val="both"/>
      </w:pPr>
      <w:r>
        <w:t xml:space="preserve">в </w:t>
      </w:r>
      <w:hyperlink r:id="rId27" w:history="1">
        <w:r>
          <w:rPr>
            <w:color w:val="0000FF"/>
          </w:rPr>
          <w:t>абзаце четвертом</w:t>
        </w:r>
      </w:hyperlink>
      <w:r>
        <w:t xml:space="preserve"> слова "осуществляется на второе полугодие 2012 г. однократно, а на IV квартал 2012 г. </w:t>
      </w:r>
      <w:proofErr w:type="gramStart"/>
      <w:r>
        <w:t>и</w:t>
      </w:r>
      <w:proofErr w:type="gramEnd"/>
      <w:r>
        <w:t xml:space="preserve"> начиная с 2013 г.", предложение второе, а также слова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исключить;</w:t>
      </w:r>
    </w:p>
    <w:p w:rsidR="00F1025C" w:rsidRDefault="00F1025C">
      <w:pPr>
        <w:pStyle w:val="ConsPlusNormal"/>
        <w:spacing w:before="220"/>
        <w:ind w:firstLine="540"/>
        <w:jc w:val="both"/>
      </w:pPr>
      <w:hyperlink r:id="rId28" w:history="1">
        <w:r>
          <w:rPr>
            <w:color w:val="0000FF"/>
          </w:rPr>
          <w:t>абзац пятый</w:t>
        </w:r>
      </w:hyperlink>
      <w:r>
        <w:t xml:space="preserve"> признать утратившим силу;</w:t>
      </w:r>
    </w:p>
    <w:p w:rsidR="00F1025C" w:rsidRDefault="00F1025C">
      <w:pPr>
        <w:pStyle w:val="ConsPlusNormal"/>
        <w:spacing w:before="220"/>
        <w:ind w:firstLine="540"/>
        <w:jc w:val="both"/>
      </w:pPr>
      <w:r>
        <w:t xml:space="preserve">к) в </w:t>
      </w:r>
      <w:hyperlink r:id="rId29" w:history="1">
        <w:r>
          <w:rPr>
            <w:color w:val="0000FF"/>
          </w:rPr>
          <w:t>абзаце пятом пункта 65</w:t>
        </w:r>
      </w:hyperlink>
      <w:r>
        <w:t xml:space="preserve"> слова "</w:t>
      </w:r>
      <w:proofErr w:type="spellStart"/>
      <w:r>
        <w:t>внереализационные</w:t>
      </w:r>
      <w:proofErr w:type="spellEnd"/>
      <w:r>
        <w:t xml:space="preserve"> расходы на списание безнадежной к взысканию дебиторской задолженности сетевых организаций" заменить словами "расходы на выполнение предусмотренных </w:t>
      </w:r>
      <w:hyperlink r:id="rId30" w:history="1">
        <w:r>
          <w:rPr>
            <w:color w:val="0000FF"/>
          </w:rPr>
          <w:t>пунктом 5 статьи 37</w:t>
        </w:r>
      </w:hyperlink>
      <w:r>
        <w:t xml:space="preserve"> Федерального закона "Об электроэнергетике" обязанностей гарантирующего поставщика по обеспечению коммерческого учета электрической энергии (мощности), в том числе не относящиеся к капитальным вложениям";</w:t>
      </w:r>
    </w:p>
    <w:p w:rsidR="00F1025C" w:rsidRDefault="00F1025C">
      <w:pPr>
        <w:pStyle w:val="ConsPlusNormal"/>
        <w:spacing w:before="220"/>
        <w:ind w:firstLine="540"/>
        <w:jc w:val="both"/>
      </w:pPr>
      <w:r>
        <w:t xml:space="preserve">л) в </w:t>
      </w:r>
      <w:hyperlink r:id="rId31" w:history="1">
        <w:r>
          <w:rPr>
            <w:color w:val="0000FF"/>
          </w:rPr>
          <w:t>пункте 87</w:t>
        </w:r>
      </w:hyperlink>
      <w:r>
        <w:t>:</w:t>
      </w:r>
    </w:p>
    <w:p w:rsidR="00F1025C" w:rsidRDefault="00F1025C">
      <w:pPr>
        <w:pStyle w:val="ConsPlusNormal"/>
        <w:spacing w:before="220"/>
        <w:ind w:firstLine="540"/>
        <w:jc w:val="both"/>
      </w:pPr>
      <w:proofErr w:type="gramStart"/>
      <w:r>
        <w:t xml:space="preserve">в </w:t>
      </w:r>
      <w:hyperlink r:id="rId32" w:history="1">
        <w:r>
          <w:rPr>
            <w:color w:val="0000FF"/>
          </w:rPr>
          <w:t>абзаце первом</w:t>
        </w:r>
      </w:hyperlink>
      <w:r>
        <w:t xml:space="preserve"> слова "и расходов на строительство объектов </w:t>
      </w:r>
      <w:proofErr w:type="spellStart"/>
      <w:r>
        <w:t>электросетевого</w:t>
      </w:r>
      <w:proofErr w:type="spellEnd"/>
      <w:r>
        <w:t xml:space="preserve"> хозяйства - от существующих объектов </w:t>
      </w:r>
      <w:proofErr w:type="spellStart"/>
      <w:r>
        <w:t>электросетевого</w:t>
      </w:r>
      <w:proofErr w:type="spellEnd"/>
      <w:r>
        <w:t xml:space="preserve"> хозяйства до присоединяемых </w:t>
      </w:r>
      <w:proofErr w:type="spellStart"/>
      <w:r>
        <w:t>энергопринимающих</w:t>
      </w:r>
      <w:proofErr w:type="spellEnd"/>
      <w:r>
        <w:t xml:space="preserve"> устройств и (или) объектов электроэнергетики" заменить словами "расходов на обеспечение средствами коммерческого учета электрической энергии (мощности) и расходов на строительство объектов </w:t>
      </w:r>
      <w:proofErr w:type="spellStart"/>
      <w:r>
        <w:t>электросетевого</w:t>
      </w:r>
      <w:proofErr w:type="spellEnd"/>
      <w:r>
        <w:t xml:space="preserve"> хозяйства - от существующих объектов </w:t>
      </w:r>
      <w:proofErr w:type="spellStart"/>
      <w:r>
        <w:t>электросетевого</w:t>
      </w:r>
      <w:proofErr w:type="spellEnd"/>
      <w:r>
        <w:t xml:space="preserve"> хозяйства до присоединяемых </w:t>
      </w:r>
      <w:proofErr w:type="spellStart"/>
      <w:r>
        <w:t>энергопринимающих</w:t>
      </w:r>
      <w:proofErr w:type="spellEnd"/>
      <w:r>
        <w:t xml:space="preserve"> устройств и (или) объектов электроэнергетики";</w:t>
      </w:r>
      <w:proofErr w:type="gramEnd"/>
    </w:p>
    <w:p w:rsidR="00F1025C" w:rsidRDefault="00F1025C">
      <w:pPr>
        <w:pStyle w:val="ConsPlusNormal"/>
        <w:spacing w:before="220"/>
        <w:ind w:firstLine="540"/>
        <w:jc w:val="both"/>
      </w:pPr>
      <w:r>
        <w:t xml:space="preserve">второе предложение </w:t>
      </w:r>
      <w:hyperlink r:id="rId33" w:history="1">
        <w:r>
          <w:rPr>
            <w:color w:val="0000FF"/>
          </w:rPr>
          <w:t>абзаца шестого</w:t>
        </w:r>
      </w:hyperlink>
      <w:r>
        <w:t xml:space="preserve"> изложить в следующей редакции: "Дифференциация стандартизированных тарифных ставок определяется в соответствии с предусмотренным методическими указаниями по определению размера платы за технологическое присоединение к электрическим сетям перечнем стандартизированных тарифных ставок с разбивкой по составу </w:t>
      </w:r>
      <w:r>
        <w:lastRenderedPageBreak/>
        <w:t xml:space="preserve">мероприятий по технологическому присоединению, </w:t>
      </w:r>
      <w:proofErr w:type="gramStart"/>
      <w:r>
        <w:t>обусловленных</w:t>
      </w:r>
      <w:proofErr w:type="gramEnd"/>
      <w:r>
        <w:t xml:space="preserve"> в том числе видами и техническими характеристиками объектов </w:t>
      </w:r>
      <w:proofErr w:type="spellStart"/>
      <w:r>
        <w:t>электросетевого</w:t>
      </w:r>
      <w:proofErr w:type="spellEnd"/>
      <w:r>
        <w:t xml:space="preserve"> хозяйства, уровнем напряжения в точке присоединения </w:t>
      </w:r>
      <w:proofErr w:type="spellStart"/>
      <w:r>
        <w:t>энергопринимающих</w:t>
      </w:r>
      <w:proofErr w:type="spellEnd"/>
      <w:r>
        <w:t xml:space="preserve"> устройств, а также максимальной мощностью присоединяемых </w:t>
      </w:r>
      <w:proofErr w:type="spellStart"/>
      <w:r>
        <w:t>энергопринимающих</w:t>
      </w:r>
      <w:proofErr w:type="spellEnd"/>
      <w:r>
        <w:t xml:space="preserve"> устройств.";</w:t>
      </w:r>
    </w:p>
    <w:p w:rsidR="00F1025C" w:rsidRDefault="00F1025C">
      <w:pPr>
        <w:pStyle w:val="ConsPlusNormal"/>
        <w:spacing w:before="220"/>
        <w:ind w:firstLine="540"/>
        <w:jc w:val="both"/>
      </w:pPr>
      <w:r>
        <w:t xml:space="preserve">в </w:t>
      </w:r>
      <w:hyperlink r:id="rId34" w:history="1">
        <w:r>
          <w:rPr>
            <w:color w:val="0000FF"/>
          </w:rPr>
          <w:t>абзаце одиннадцатом</w:t>
        </w:r>
      </w:hyperlink>
      <w:r>
        <w:t xml:space="preserve"> слова "с разбивкой по составу мероприятий по технологическому присоединению, </w:t>
      </w:r>
      <w:proofErr w:type="gramStart"/>
      <w:r>
        <w:t>обусловленных</w:t>
      </w:r>
      <w:proofErr w:type="gramEnd"/>
      <w:r>
        <w:t xml:space="preserve"> в том числе видами и техническими характеристиками объектов </w:t>
      </w:r>
      <w:proofErr w:type="spellStart"/>
      <w:r>
        <w:t>электросетевого</w:t>
      </w:r>
      <w:proofErr w:type="spellEnd"/>
      <w:r>
        <w:t xml:space="preserve"> хозяйства, уровнем напряжения в точке присоединения </w:t>
      </w:r>
      <w:proofErr w:type="spellStart"/>
      <w:r>
        <w:t>энергопринимающих</w:t>
      </w:r>
      <w:proofErr w:type="spellEnd"/>
      <w:r>
        <w:t xml:space="preserve"> устройств, максимальной мощностью присоединяемых </w:t>
      </w:r>
      <w:proofErr w:type="spellStart"/>
      <w:r>
        <w:t>энергопринимающих</w:t>
      </w:r>
      <w:proofErr w:type="spellEnd"/>
      <w:r>
        <w:t xml:space="preserve"> устройств и категорией надежности энергоснабжения, и по иным установленным федеральными законами основаниям" заменить словами "согласно перечню стандартизированных тарифных ставок, предусмотренному методическими указаниями по определению размера платы за технологическое присоединение к электрическим сетям".</w:t>
      </w:r>
    </w:p>
    <w:p w:rsidR="00F1025C" w:rsidRDefault="00F1025C">
      <w:pPr>
        <w:pStyle w:val="ConsPlusNormal"/>
        <w:jc w:val="both"/>
      </w:pPr>
    </w:p>
    <w:p w:rsidR="00F1025C" w:rsidRDefault="00F1025C">
      <w:pPr>
        <w:pStyle w:val="ConsPlusNormal"/>
        <w:jc w:val="both"/>
      </w:pPr>
    </w:p>
    <w:p w:rsidR="00F1025C" w:rsidRDefault="00F1025C">
      <w:pPr>
        <w:pStyle w:val="ConsPlusNormal"/>
        <w:pBdr>
          <w:top w:val="single" w:sz="6" w:space="0" w:color="auto"/>
        </w:pBdr>
        <w:spacing w:before="100" w:after="100"/>
        <w:jc w:val="both"/>
        <w:rPr>
          <w:sz w:val="2"/>
          <w:szCs w:val="2"/>
        </w:rPr>
      </w:pPr>
    </w:p>
    <w:p w:rsidR="00BE6B9D" w:rsidRDefault="00F1025C"/>
    <w:sectPr w:rsidR="00BE6B9D" w:rsidSect="004129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1025C"/>
    <w:rsid w:val="00152B17"/>
    <w:rsid w:val="004B370C"/>
    <w:rsid w:val="00541A75"/>
    <w:rsid w:val="00682D2D"/>
    <w:rsid w:val="007547C0"/>
    <w:rsid w:val="00F10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7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02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02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02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F749C48B4849EE55B4FD51C7302CA4D35DF41627233C3FA7E841B684C61BB58510692118E6804DE4BB059FF70A67402D84E53CF347q7t1J" TargetMode="External"/><Relationship Id="rId13" Type="http://schemas.openxmlformats.org/officeDocument/2006/relationships/hyperlink" Target="consultantplus://offline/ref=8CF749C48B4849EE55B4FD51C7302CA4D35DF412272E3C3FA7E841B684C61BB58510692B1AE78912E1AE14C7F80D7C5E2B9CF93EF1q4t5J" TargetMode="External"/><Relationship Id="rId18" Type="http://schemas.openxmlformats.org/officeDocument/2006/relationships/hyperlink" Target="consultantplus://offline/ref=8CF749C48B4849EE55B4FD51C7302CA4D35DF412272E3C3FA7E841B684C61BB58510692B10E58912E1AE14C7F80D7C5E2B9CF93EF1q4t5J" TargetMode="External"/><Relationship Id="rId26" Type="http://schemas.openxmlformats.org/officeDocument/2006/relationships/hyperlink" Target="consultantplus://offline/ref=8CF749C48B4849EE55B4FD51C7302CA4D35DF412272E3C3FA7E841B684C61BB5851069201DE48912E1AE14C7F80D7C5E2B9CF93EF1q4t5J" TargetMode="External"/><Relationship Id="rId3" Type="http://schemas.openxmlformats.org/officeDocument/2006/relationships/webSettings" Target="webSettings.xml"/><Relationship Id="rId21" Type="http://schemas.openxmlformats.org/officeDocument/2006/relationships/hyperlink" Target="consultantplus://offline/ref=8CF749C48B4849EE55B4FD51C7302CA4D35DF412272E3C3FA7E841B684C61BB58510692B1EE78912E1AE14C7F80D7C5E2B9CF93EF1q4t5J" TargetMode="External"/><Relationship Id="rId34" Type="http://schemas.openxmlformats.org/officeDocument/2006/relationships/hyperlink" Target="consultantplus://offline/ref=8CF749C48B4849EE55B4FD51C7302CA4D35DF412272E3C3FA7E841B684C61BB58510692B11E08912E1AE14C7F80D7C5E2B9CF93EF1q4t5J" TargetMode="External"/><Relationship Id="rId7" Type="http://schemas.openxmlformats.org/officeDocument/2006/relationships/hyperlink" Target="consultantplus://offline/ref=8CF749C48B4849EE55B4FD51C7302CA4D35DF41627233C3FA7E841B684C61BB58510692118E28A4DE4BB059FF70A67402D84E53CF347q7t1J" TargetMode="External"/><Relationship Id="rId12" Type="http://schemas.openxmlformats.org/officeDocument/2006/relationships/hyperlink" Target="consultantplus://offline/ref=8CF749C48B4849EE55B4FD51C7302CA4D35DF412272E3C3FA7E841B684C61BB58510692111E48912E1AE14C7F80D7C5E2B9CF93EF1q4t5J" TargetMode="External"/><Relationship Id="rId17" Type="http://schemas.openxmlformats.org/officeDocument/2006/relationships/hyperlink" Target="consultantplus://offline/ref=8CF749C48B4849EE55B4FD51C7302CA4D35DF412272E3C3FA7E841B684C61BB58510692019E48912E1AE14C7F80D7C5E2B9CF93EF1q4t5J" TargetMode="External"/><Relationship Id="rId25" Type="http://schemas.openxmlformats.org/officeDocument/2006/relationships/hyperlink" Target="consultantplus://offline/ref=8CF749C48B4849EE55B4FD51C7302CA4D35CF41124223C3FA7E841B684C61BB5851069271DE0844DE4BB059FF70A67402D84E53CF347q7t1J" TargetMode="External"/><Relationship Id="rId33" Type="http://schemas.openxmlformats.org/officeDocument/2006/relationships/hyperlink" Target="consultantplus://offline/ref=8CF749C48B4849EE55B4FD51C7302CA4D35DF412272E3C3FA7E841B684C61BB58510692219E38144B4E1159BBE5D6F5C289CFB38ED477118q1tBJ" TargetMode="External"/><Relationship Id="rId2" Type="http://schemas.openxmlformats.org/officeDocument/2006/relationships/settings" Target="settings.xml"/><Relationship Id="rId16" Type="http://schemas.openxmlformats.org/officeDocument/2006/relationships/hyperlink" Target="consultantplus://offline/ref=8CF749C48B4849EE55B4FD51C7302CA4D35DF412272E3C3FA7E841B684C61BB58510692219E28242B7E1159BBE5D6F5C289CFB38ED477118q1tBJ" TargetMode="External"/><Relationship Id="rId20" Type="http://schemas.openxmlformats.org/officeDocument/2006/relationships/hyperlink" Target="consultantplus://offline/ref=8CF749C48B4849EE55B4FD51C7302CA4D35DF412272E3C3FA7E841B684C61BB58510692019E48912E1AE14C7F80D7C5E2B9CF93EF1q4t5J" TargetMode="External"/><Relationship Id="rId29" Type="http://schemas.openxmlformats.org/officeDocument/2006/relationships/hyperlink" Target="consultantplus://offline/ref=8CF749C48B4849EE55B4FD51C7302CA4D35DF412272E3C3FA7E841B684C61BB58510692219E38640B4E1159BBE5D6F5C289CFB38ED477118q1tBJ" TargetMode="External"/><Relationship Id="rId1" Type="http://schemas.openxmlformats.org/officeDocument/2006/relationships/styles" Target="styles.xml"/><Relationship Id="rId6" Type="http://schemas.openxmlformats.org/officeDocument/2006/relationships/hyperlink" Target="consultantplus://offline/ref=8CF749C48B4849EE55B4FD51C7302CA4D151F61625253C3FA7E841B684C61BB58510692219E28247B1E1159BBE5D6F5C289CFB38ED477118q1tBJ" TargetMode="External"/><Relationship Id="rId11" Type="http://schemas.openxmlformats.org/officeDocument/2006/relationships/hyperlink" Target="consultantplus://offline/ref=8CF749C48B4849EE55B4FD51C7302CA4D35DF412272E3C3FA7E841B684C61BB5851069221EE9D617F4BF4CC8FF1662583380FB3CqFt3J" TargetMode="External"/><Relationship Id="rId24" Type="http://schemas.openxmlformats.org/officeDocument/2006/relationships/hyperlink" Target="consultantplus://offline/ref=8CF749C48B4849EE55B4FD51C7302CA4D35DF412272E3C3FA7E841B684C61BB5851069201AE38912E1AE14C7F80D7C5E2B9CF93EF1q4t5J" TargetMode="External"/><Relationship Id="rId32" Type="http://schemas.openxmlformats.org/officeDocument/2006/relationships/hyperlink" Target="consultantplus://offline/ref=8CF749C48B4849EE55B4FD51C7302CA4D35DF412272E3C3FA7E841B684C61BB58510692219E38643B0E1159BBE5D6F5C289CFB38ED477118q1tBJ" TargetMode="External"/><Relationship Id="rId5" Type="http://schemas.openxmlformats.org/officeDocument/2006/relationships/hyperlink" Target="consultantplus://offline/ref=8CF749C48B4849EE55B4FD51C7302CA4D35DF41227243C3FA7E841B684C61BB58510692219E38B45B5E1159BBE5D6F5C289CFB38ED477118q1tBJ" TargetMode="External"/><Relationship Id="rId15" Type="http://schemas.openxmlformats.org/officeDocument/2006/relationships/hyperlink" Target="consultantplus://offline/ref=8CF749C48B4849EE55B4FD51C7302CA4D35DF41427243C3FA7E841B684C61BB5851069201CEA8912E1AE14C7F80D7C5E2B9CF93EF1q4t5J" TargetMode="External"/><Relationship Id="rId23" Type="http://schemas.openxmlformats.org/officeDocument/2006/relationships/hyperlink" Target="consultantplus://offline/ref=8CF749C48B4849EE55B4FD51C7302CA4D35CF41124223C3FA7E841B684C61BB5851069271DE0844DE4BB059FF70A67402D84E53CF347q7t1J" TargetMode="External"/><Relationship Id="rId28" Type="http://schemas.openxmlformats.org/officeDocument/2006/relationships/hyperlink" Target="consultantplus://offline/ref=8CF749C48B4849EE55B4FD51C7302CA4D35DF412272E3C3FA7E841B684C61BB58510692219E38646B0E1159BBE5D6F5C289CFB38ED477118q1tBJ" TargetMode="External"/><Relationship Id="rId36" Type="http://schemas.openxmlformats.org/officeDocument/2006/relationships/theme" Target="theme/theme1.xml"/><Relationship Id="rId10" Type="http://schemas.openxmlformats.org/officeDocument/2006/relationships/hyperlink" Target="consultantplus://offline/ref=8CF749C48B4849EE55B4FD51C7302CA4D35DF412272E3C3FA7E841B684C61BB58510692B1BE58912E1AE14C7F80D7C5E2B9CF93EF1q4t5J" TargetMode="External"/><Relationship Id="rId19" Type="http://schemas.openxmlformats.org/officeDocument/2006/relationships/hyperlink" Target="consultantplus://offline/ref=8CF749C48B4849EE55B4FD51C7302CA4D35DF41427243C3FA7E841B684C61BB5851069201CEA8912E1AE14C7F80D7C5E2B9CF93EF1q4t5J" TargetMode="External"/><Relationship Id="rId31" Type="http://schemas.openxmlformats.org/officeDocument/2006/relationships/hyperlink" Target="consultantplus://offline/ref=8CF749C48B4849EE55B4FD51C7302CA4D35DF412272E3C3FA7E841B684C61BB58510692219E38643B0E1159BBE5D6F5C289CFB38ED477118q1tBJ" TargetMode="External"/><Relationship Id="rId4" Type="http://schemas.openxmlformats.org/officeDocument/2006/relationships/hyperlink" Target="consultantplus://offline/ref=8CF749C48B4849EE55B4FD51C7302CA4D35DF41227243C3FA7E841B684C61BB58510692219E38B45B3E1159BBE5D6F5C289CFB38ED477118q1tBJ" TargetMode="External"/><Relationship Id="rId9" Type="http://schemas.openxmlformats.org/officeDocument/2006/relationships/hyperlink" Target="consultantplus://offline/ref=8CF749C48B4849EE55B4FD51C7302CA4D35DF412272E3C3FA7E841B684C61BB58510692219E28242B7E1159BBE5D6F5C289CFB38ED477118q1tBJ" TargetMode="External"/><Relationship Id="rId14" Type="http://schemas.openxmlformats.org/officeDocument/2006/relationships/hyperlink" Target="consultantplus://offline/ref=8CF749C48B4849EE55B4FD51C7302CA4D35DF412272E3C3FA7E841B684C61BB58510692B1AE78912E1AE14C7F80D7C5E2B9CF93EF1q4t5J" TargetMode="External"/><Relationship Id="rId22" Type="http://schemas.openxmlformats.org/officeDocument/2006/relationships/hyperlink" Target="consultantplus://offline/ref=8CF749C48B4849EE55B4FD51C7302CA4D35DF412272E3C3FA7E841B684C61BB58510692B1EE48912E1AE14C7F80D7C5E2B9CF93EF1q4t5J" TargetMode="External"/><Relationship Id="rId27" Type="http://schemas.openxmlformats.org/officeDocument/2006/relationships/hyperlink" Target="consultantplus://offline/ref=8CF749C48B4849EE55B4FD51C7302CA4D35DF412272E3C3FA7E841B684C61BB58510692119E9D617F4BF4CC8FF1662583380FB3CqFt3J" TargetMode="External"/><Relationship Id="rId30" Type="http://schemas.openxmlformats.org/officeDocument/2006/relationships/hyperlink" Target="consultantplus://offline/ref=8CF749C48B4849EE55B4FD51C7302CA4D35DF41427243C3FA7E841B684C61BB5851069201CEA8912E1AE14C7F80D7C5E2B9CF93EF1q4t5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3049</Words>
  <Characters>17385</Characters>
  <Application>Microsoft Office Word</Application>
  <DocSecurity>0</DocSecurity>
  <Lines>144</Lines>
  <Paragraphs>40</Paragraphs>
  <ScaleCrop>false</ScaleCrop>
  <Company/>
  <LinksUpToDate>false</LinksUpToDate>
  <CharactersWithSpaces>20394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atv</dc:creator>
  <cp:lastModifiedBy>atv</cp:lastModifiedBy>
  <cp:revision>1</cp:revision>
  <dcterms:created xsi:type="dcterms:W3CDTF">2020-06-25T09:45:00Z</dcterms:created>
  <dcterms:modified xsi:type="dcterms:W3CDTF">2020-06-25T09:47:00Z</dcterms:modified>
</cp:coreProperties>
</file>