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AE" w:rsidRPr="002A69AE" w:rsidRDefault="002A69AE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Зарегистрировано в Минюсте России 9 ноября 2011 г. N 22255</w:t>
      </w:r>
    </w:p>
    <w:p w:rsidR="002A69AE" w:rsidRPr="002A69AE" w:rsidRDefault="002A69A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ФЕДЕРАЛЬНАЯ СЛУЖБА ПО ТАРИФАМ</w:t>
      </w:r>
    </w:p>
    <w:p w:rsidR="002A69AE" w:rsidRPr="002A69AE" w:rsidRDefault="002A69A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ПРИКАЗ</w:t>
      </w:r>
    </w:p>
    <w:p w:rsidR="002A69AE" w:rsidRPr="002A69AE" w:rsidRDefault="002A69A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от 18 октября 2011 г. N 642-а</w:t>
      </w:r>
    </w:p>
    <w:p w:rsidR="002A69AE" w:rsidRPr="002A69AE" w:rsidRDefault="002A69A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ОБ УТВЕРЖДЕНИИ МЕТОДИКИ</w:t>
      </w:r>
    </w:p>
    <w:p w:rsidR="002A69AE" w:rsidRPr="002A69AE" w:rsidRDefault="002A69A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РАСЧЕТА ПРЕДЕЛЬНОГО РАЗМЕРА ПЛАТЫ ЗА ПРОВЕДЕНИЕ</w:t>
      </w:r>
    </w:p>
    <w:p w:rsidR="002A69AE" w:rsidRPr="002A69AE" w:rsidRDefault="002A69A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ТЕХНИЧЕСКОГО ОСМОТРА</w:t>
      </w:r>
    </w:p>
    <w:p w:rsidR="002A69AE" w:rsidRPr="002A69AE" w:rsidRDefault="002A69A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2A69AE" w:rsidRPr="002A69AE" w:rsidRDefault="002A69A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 xml:space="preserve">(в ред. </w:t>
      </w:r>
      <w:hyperlink r:id="rId4" w:history="1">
        <w:r w:rsidRPr="002A69AE">
          <w:rPr>
            <w:rFonts w:ascii="Times New Roman" w:hAnsi="Times New Roman" w:cs="Times New Roman"/>
            <w:color w:val="0000FF"/>
            <w:szCs w:val="22"/>
          </w:rPr>
          <w:t>Приказа</w:t>
        </w:r>
      </w:hyperlink>
      <w:r w:rsidRPr="002A69AE">
        <w:rPr>
          <w:rFonts w:ascii="Times New Roman" w:hAnsi="Times New Roman" w:cs="Times New Roman"/>
          <w:szCs w:val="22"/>
        </w:rPr>
        <w:t xml:space="preserve"> ФСТ России от 26.11.2012 N 751-а)</w:t>
      </w:r>
    </w:p>
    <w:p w:rsidR="002A69AE" w:rsidRPr="002A69AE" w:rsidRDefault="002A69A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 xml:space="preserve">В соответствии со </w:t>
      </w:r>
      <w:hyperlink r:id="rId5" w:history="1">
        <w:r w:rsidRPr="002A69AE">
          <w:rPr>
            <w:rFonts w:ascii="Times New Roman" w:hAnsi="Times New Roman" w:cs="Times New Roman"/>
            <w:color w:val="0000FF"/>
            <w:szCs w:val="22"/>
          </w:rPr>
          <w:t>статьей 16</w:t>
        </w:r>
      </w:hyperlink>
      <w:r w:rsidRPr="002A69AE">
        <w:rPr>
          <w:rFonts w:ascii="Times New Roman" w:hAnsi="Times New Roman" w:cs="Times New Roman"/>
          <w:szCs w:val="22"/>
        </w:rP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3881) приказываю: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 xml:space="preserve">1. Утвердить </w:t>
      </w:r>
      <w:hyperlink w:anchor="P33" w:history="1">
        <w:r w:rsidRPr="002A69AE">
          <w:rPr>
            <w:rFonts w:ascii="Times New Roman" w:hAnsi="Times New Roman" w:cs="Times New Roman"/>
            <w:color w:val="0000FF"/>
            <w:szCs w:val="22"/>
          </w:rPr>
          <w:t>Методику</w:t>
        </w:r>
      </w:hyperlink>
      <w:r w:rsidRPr="002A69AE">
        <w:rPr>
          <w:rFonts w:ascii="Times New Roman" w:hAnsi="Times New Roman" w:cs="Times New Roman"/>
          <w:szCs w:val="22"/>
        </w:rPr>
        <w:t xml:space="preserve"> расчета предельного размера платы за проведение технического осмотра согласно приложению к настоящему Приказу.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2. Настоящий Приказ вступает в силу с 1 января 2012 года.</w:t>
      </w: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Руководитель</w:t>
      </w:r>
    </w:p>
    <w:p w:rsidR="002A69AE" w:rsidRPr="002A69AE" w:rsidRDefault="002A69A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Федеральной службы по тарифам</w:t>
      </w:r>
    </w:p>
    <w:p w:rsidR="002A69AE" w:rsidRPr="002A69AE" w:rsidRDefault="002A69A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С.НОВИКОВ</w:t>
      </w:r>
    </w:p>
    <w:p w:rsidR="002A69AE" w:rsidRPr="002A69AE" w:rsidRDefault="002A69A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Приложение</w:t>
      </w:r>
    </w:p>
    <w:p w:rsidR="002A69AE" w:rsidRPr="002A69AE" w:rsidRDefault="002A69A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к Приказу</w:t>
      </w:r>
    </w:p>
    <w:p w:rsidR="002A69AE" w:rsidRPr="002A69AE" w:rsidRDefault="002A69A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Федеральной службы по тарифам</w:t>
      </w:r>
    </w:p>
    <w:p w:rsidR="002A69AE" w:rsidRPr="002A69AE" w:rsidRDefault="002A69A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от 18 октября 2011 г. N 642-а</w:t>
      </w:r>
    </w:p>
    <w:p w:rsidR="002A69AE" w:rsidRPr="002A69AE" w:rsidRDefault="002A69A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3"/>
      <w:bookmarkEnd w:id="0"/>
      <w:r w:rsidRPr="002A69AE">
        <w:rPr>
          <w:rFonts w:ascii="Times New Roman" w:hAnsi="Times New Roman" w:cs="Times New Roman"/>
          <w:szCs w:val="22"/>
        </w:rPr>
        <w:t>МЕТОДИКА</w:t>
      </w:r>
    </w:p>
    <w:p w:rsidR="002A69AE" w:rsidRPr="002A69AE" w:rsidRDefault="002A69A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РАСЧЕТА ПРЕДЕЛЬНОГО РАЗМЕРА ПЛАТЫ ЗА ПРОВЕДЕНИЕ</w:t>
      </w:r>
    </w:p>
    <w:p w:rsidR="002A69AE" w:rsidRPr="002A69AE" w:rsidRDefault="002A69A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ТЕХНИЧЕСКОГО ОСМОТРА</w:t>
      </w:r>
    </w:p>
    <w:p w:rsidR="002A69AE" w:rsidRPr="002A69AE" w:rsidRDefault="002A69A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2A69AE" w:rsidRPr="002A69AE" w:rsidRDefault="002A69A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 xml:space="preserve">(в ред. </w:t>
      </w:r>
      <w:hyperlink r:id="rId6" w:history="1">
        <w:r w:rsidRPr="002A69AE">
          <w:rPr>
            <w:rFonts w:ascii="Times New Roman" w:hAnsi="Times New Roman" w:cs="Times New Roman"/>
            <w:color w:val="0000FF"/>
            <w:szCs w:val="22"/>
          </w:rPr>
          <w:t>Приказа</w:t>
        </w:r>
      </w:hyperlink>
      <w:r w:rsidRPr="002A69AE">
        <w:rPr>
          <w:rFonts w:ascii="Times New Roman" w:hAnsi="Times New Roman" w:cs="Times New Roman"/>
          <w:szCs w:val="22"/>
        </w:rPr>
        <w:t xml:space="preserve"> ФСТ России от 26.11.2012 N 751-а)</w:t>
      </w:r>
    </w:p>
    <w:p w:rsidR="002A69AE" w:rsidRPr="002A69AE" w:rsidRDefault="002A69A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1. Общие положения</w:t>
      </w: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 xml:space="preserve">1.1. </w:t>
      </w:r>
      <w:proofErr w:type="gramStart"/>
      <w:r w:rsidRPr="002A69AE">
        <w:rPr>
          <w:rFonts w:ascii="Times New Roman" w:hAnsi="Times New Roman" w:cs="Times New Roman"/>
          <w:szCs w:val="22"/>
        </w:rPr>
        <w:t xml:space="preserve">Настоящая Методика расчета предельного размера платы за проведение технического осмотра (далее - Методика) разработана в соответствии с Федеральным </w:t>
      </w:r>
      <w:hyperlink r:id="rId7" w:history="1">
        <w:r w:rsidRPr="002A69AE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2A69AE">
        <w:rPr>
          <w:rFonts w:ascii="Times New Roman" w:hAnsi="Times New Roman" w:cs="Times New Roman"/>
          <w:szCs w:val="22"/>
        </w:rPr>
        <w:t xml:space="preserve">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3881) (далее - Федеральный закон).</w:t>
      </w:r>
      <w:proofErr w:type="gramEnd"/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1.2. Методика определяет порядок расчета предельного размера платы за проведение технического осмотра (далее - предельный размер платы за проведение ТО) транспортных средств, в том числе с использованием средств технического диагностирования в Российской Федерации.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lastRenderedPageBreak/>
        <w:t xml:space="preserve">1.3. Понятия, используемые в настоящей Методике, соответствуют определениям, данным в Федеральном </w:t>
      </w:r>
      <w:hyperlink r:id="rId8" w:history="1">
        <w:r w:rsidRPr="002A69AE">
          <w:rPr>
            <w:rFonts w:ascii="Times New Roman" w:hAnsi="Times New Roman" w:cs="Times New Roman"/>
            <w:color w:val="0000FF"/>
            <w:szCs w:val="22"/>
          </w:rPr>
          <w:t>законе</w:t>
        </w:r>
      </w:hyperlink>
      <w:r w:rsidRPr="002A69AE">
        <w:rPr>
          <w:rFonts w:ascii="Times New Roman" w:hAnsi="Times New Roman" w:cs="Times New Roman"/>
          <w:szCs w:val="22"/>
        </w:rPr>
        <w:t>.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 xml:space="preserve">1.4. Методика предназначена для использования высшими исполнительными органами государственной власти субъектов Российской Федерации, которые в соответствии с </w:t>
      </w:r>
      <w:hyperlink r:id="rId9" w:history="1">
        <w:r w:rsidRPr="002A69AE">
          <w:rPr>
            <w:rFonts w:ascii="Times New Roman" w:hAnsi="Times New Roman" w:cs="Times New Roman"/>
            <w:color w:val="0000FF"/>
            <w:szCs w:val="22"/>
          </w:rPr>
          <w:t>частью 3 статьи 16</w:t>
        </w:r>
      </w:hyperlink>
      <w:r w:rsidRPr="002A69AE">
        <w:rPr>
          <w:rFonts w:ascii="Times New Roman" w:hAnsi="Times New Roman" w:cs="Times New Roman"/>
          <w:szCs w:val="22"/>
        </w:rPr>
        <w:t xml:space="preserve"> Федерального закона устанавливают предельный размер платы за проведение ТО.</w:t>
      </w: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II. Основные принципы расчета тарифов</w:t>
      </w: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2.1. Предельный размер платы за проведение ТО должен обеспечивать возмещение экономически обоснованных и документально подтвержденных расходов на проведение технического осмотра и получение прибыли, необходимой для развития и финансирования расходов на проведение технического осмотра.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2.2. Определение состава расходов, применяемых для расчета предельного размера платы за проведение ТО, и оценка их обоснованности производятся с учетом стоимости отдельных технологических операций.</w:t>
      </w:r>
    </w:p>
    <w:p w:rsidR="002A69AE" w:rsidRPr="002A69AE" w:rsidRDefault="002A69A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(</w:t>
      </w:r>
      <w:proofErr w:type="gramStart"/>
      <w:r w:rsidRPr="002A69AE">
        <w:rPr>
          <w:rFonts w:ascii="Times New Roman" w:hAnsi="Times New Roman" w:cs="Times New Roman"/>
          <w:szCs w:val="22"/>
        </w:rPr>
        <w:t>в</w:t>
      </w:r>
      <w:proofErr w:type="gramEnd"/>
      <w:r w:rsidRPr="002A69AE">
        <w:rPr>
          <w:rFonts w:ascii="Times New Roman" w:hAnsi="Times New Roman" w:cs="Times New Roman"/>
          <w:szCs w:val="22"/>
        </w:rPr>
        <w:t xml:space="preserve"> ред. </w:t>
      </w:r>
      <w:hyperlink r:id="rId10" w:history="1">
        <w:r w:rsidRPr="002A69AE">
          <w:rPr>
            <w:rFonts w:ascii="Times New Roman" w:hAnsi="Times New Roman" w:cs="Times New Roman"/>
            <w:color w:val="0000FF"/>
            <w:szCs w:val="22"/>
          </w:rPr>
          <w:t>Приказа</w:t>
        </w:r>
      </w:hyperlink>
      <w:r w:rsidRPr="002A69AE">
        <w:rPr>
          <w:rFonts w:ascii="Times New Roman" w:hAnsi="Times New Roman" w:cs="Times New Roman"/>
          <w:szCs w:val="22"/>
        </w:rPr>
        <w:t xml:space="preserve"> ФСТ России от 26.11.2012 N 751-а)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2.3. Расчет предельного размера платы за проведение ТО производится на основании данных раздельного учета доходов и расходов по видам деятельности (раздельный учет доходов и расходов за проведение ТО и доходов и расходов от прочих видов деятельности). При установлении предельного размера платы за проведение ТО не допускается повторный учет одних и тех же расходов по различным видам деятельности.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2.4. Предельный размер платы за проведение ТО рассчитывается с учетом технологии выполняемых работ путем прямого отнесения фактических расходов на себестоимость проведения технического осмотра.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При расчете предельного размера платы за проведение ТО для операторов технического осмотра (далее - операторы), ранее не осуществлявших деятельность по техническому осмотру транспортных средств и не имеющих фактических данных по расходам, расчет осуществляется на основании планируемых показателей их деятельности. Планируемые показатели деятельности для таких операторов принимаются с учетом сравнительного анализа с расходами операторов, осуществляющих аналогичную деятельность.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2.5. При расчете предельного размера платы за проведение ТО расходы на оплату труда определяются с учетом отраслевых тарифных соглашений, заключенных соответствующими организациями, при их наличии.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 xml:space="preserve">2.6. В субъектах Российской Федерации, на территории которых установлены </w:t>
      </w:r>
      <w:hyperlink r:id="rId11" w:history="1">
        <w:r w:rsidRPr="002A69AE">
          <w:rPr>
            <w:rFonts w:ascii="Times New Roman" w:hAnsi="Times New Roman" w:cs="Times New Roman"/>
            <w:color w:val="0000FF"/>
            <w:szCs w:val="22"/>
          </w:rPr>
          <w:t>районные коэффициенты</w:t>
        </w:r>
      </w:hyperlink>
      <w:r w:rsidRPr="002A69AE">
        <w:rPr>
          <w:rFonts w:ascii="Times New Roman" w:hAnsi="Times New Roman" w:cs="Times New Roman"/>
          <w:szCs w:val="22"/>
        </w:rPr>
        <w:t xml:space="preserve"> и надбавки к заработной плате, предельный размер платы за проведение ТО для операторов, осуществляющих свою деятельность в таких районах, рассчитывается с учетом указанных коэффициентов.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2.7. Расчет предельного размера платы за проведение ТО принимается на период, равный календарному году.</w:t>
      </w: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III. Расчет предельного размера платы за проведение ТО</w:t>
      </w: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3.1. Предельный размер платы за проведение ТО рассчитывается на основании представленных оператором обосновывающих материалов, включающих: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- бухгалтерскую, статистическую и налоговую отчетность;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- учетную политику оператора с организацией раздельного учета доходов и расходов от проведения технического осмотра транспортных средств от доходов и расходов по другим видам деятельности;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lastRenderedPageBreak/>
        <w:t>- группировку расходов, относимых на проведение технического осмотра транспортных средств, по статьям расходов;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- расчет прибыли, необходимой для развития и финансирования расходов на проведение технического осмотра транспортных средств;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- расчет предельного размера платы за проведение ТО с приложением обосновывающих материалов.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3.2. Предельный размер платы за проведение ТО</w:t>
      </w:r>
      <w:proofErr w:type="gramStart"/>
      <w:r w:rsidRPr="002A69AE">
        <w:rPr>
          <w:rFonts w:ascii="Times New Roman" w:hAnsi="Times New Roman" w:cs="Times New Roman"/>
          <w:szCs w:val="22"/>
        </w:rPr>
        <w:t xml:space="preserve"> (</w:t>
      </w:r>
      <w:r w:rsidRPr="002A69AE">
        <w:rPr>
          <w:rFonts w:ascii="Times New Roman" w:hAnsi="Times New Roman" w:cs="Times New Roman"/>
          <w:position w:val="-12"/>
          <w:szCs w:val="22"/>
        </w:rPr>
        <w:pict>
          <v:shape id="_x0000_i1025" style="width:22.3pt;height:19.95pt" coordsize="" o:spt="100" adj="0,,0" path="" filled="f" stroked="f">
            <v:stroke joinstyle="miter"/>
            <v:imagedata r:id="rId12" o:title="base_1_141732_10"/>
            <v:formulas/>
            <v:path o:connecttype="segments"/>
          </v:shape>
        </w:pict>
      </w:r>
      <w:r w:rsidRPr="002A69AE">
        <w:rPr>
          <w:rFonts w:ascii="Times New Roman" w:hAnsi="Times New Roman" w:cs="Times New Roman"/>
          <w:szCs w:val="22"/>
        </w:rPr>
        <w:t xml:space="preserve">) </w:t>
      </w:r>
      <w:proofErr w:type="gramEnd"/>
      <w:r w:rsidRPr="002A69AE">
        <w:rPr>
          <w:rFonts w:ascii="Times New Roman" w:hAnsi="Times New Roman" w:cs="Times New Roman"/>
          <w:szCs w:val="22"/>
        </w:rPr>
        <w:t>рассчитывается по формуле:</w:t>
      </w: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position w:val="-24"/>
          <w:szCs w:val="22"/>
        </w:rPr>
        <w:pict>
          <v:shape id="_x0000_i1026" style="width:80.35pt;height:33.9pt" coordsize="" o:spt="100" adj="0,,0" path="" filled="f" stroked="f">
            <v:stroke joinstyle="miter"/>
            <v:imagedata r:id="rId13" o:title="base_1_141732_11"/>
            <v:formulas/>
            <v:path o:connecttype="segments"/>
          </v:shape>
        </w:pict>
      </w:r>
      <w:r w:rsidRPr="002A69AE">
        <w:rPr>
          <w:rFonts w:ascii="Times New Roman" w:hAnsi="Times New Roman" w:cs="Times New Roman"/>
          <w:szCs w:val="22"/>
        </w:rPr>
        <w:t>,</w:t>
      </w: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где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position w:val="-12"/>
          <w:szCs w:val="22"/>
        </w:rPr>
        <w:pict>
          <v:shape id="_x0000_i1027" style="width:20.9pt;height:19.95pt" coordsize="" o:spt="100" adj="0,,0" path="" filled="f" stroked="f">
            <v:stroke joinstyle="miter"/>
            <v:imagedata r:id="rId14" o:title="base_1_141732_12"/>
            <v:formulas/>
            <v:path o:connecttype="segments"/>
          </v:shape>
        </w:pict>
      </w:r>
      <w:r w:rsidRPr="002A69AE">
        <w:rPr>
          <w:rFonts w:ascii="Times New Roman" w:hAnsi="Times New Roman" w:cs="Times New Roman"/>
          <w:szCs w:val="22"/>
        </w:rPr>
        <w:t xml:space="preserve"> - ставка работы оператора ТО за проведение ТО (руб./час);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position w:val="-12"/>
          <w:szCs w:val="22"/>
        </w:rPr>
        <w:pict>
          <v:shape id="_x0000_i1028" style="width:17.65pt;height:19.95pt" coordsize="" o:spt="100" adj="0,,0" path="" filled="f" stroked="f">
            <v:stroke joinstyle="miter"/>
            <v:imagedata r:id="rId15" o:title="base_1_141732_13"/>
            <v:formulas/>
            <v:path o:connecttype="segments"/>
          </v:shape>
        </w:pict>
      </w:r>
      <w:r w:rsidRPr="002A69AE">
        <w:rPr>
          <w:rFonts w:ascii="Times New Roman" w:hAnsi="Times New Roman" w:cs="Times New Roman"/>
          <w:szCs w:val="22"/>
        </w:rPr>
        <w:t xml:space="preserve"> - продолжительность технического диагностирования транспортных средств отдельных категорий в минутах;</w:t>
      </w:r>
    </w:p>
    <w:p w:rsidR="002A69AE" w:rsidRPr="002A69AE" w:rsidRDefault="002A69A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 xml:space="preserve">(в ред. </w:t>
      </w:r>
      <w:hyperlink r:id="rId16" w:history="1">
        <w:r w:rsidRPr="002A69AE">
          <w:rPr>
            <w:rFonts w:ascii="Times New Roman" w:hAnsi="Times New Roman" w:cs="Times New Roman"/>
            <w:color w:val="0000FF"/>
            <w:szCs w:val="22"/>
          </w:rPr>
          <w:t>Приказа</w:t>
        </w:r>
      </w:hyperlink>
      <w:r w:rsidRPr="002A69AE">
        <w:rPr>
          <w:rFonts w:ascii="Times New Roman" w:hAnsi="Times New Roman" w:cs="Times New Roman"/>
          <w:szCs w:val="22"/>
        </w:rPr>
        <w:t xml:space="preserve"> ФСТ России от 26.11.2012 N 751-а)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60 - количество минут в 1 часе.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Ставка работы оператора ТО рассчитывается по формуле:</w:t>
      </w: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position w:val="-30"/>
          <w:szCs w:val="22"/>
        </w:rPr>
        <w:pict>
          <v:shape id="_x0000_i1029" style="width:59.45pt;height:37.15pt" coordsize="" o:spt="100" adj="0,,0" path="" filled="f" stroked="f">
            <v:stroke joinstyle="miter"/>
            <v:imagedata r:id="rId17" o:title="base_1_141732_14"/>
            <v:formulas/>
            <v:path o:connecttype="segments"/>
          </v:shape>
        </w:pict>
      </w:r>
      <w:r w:rsidRPr="002A69AE">
        <w:rPr>
          <w:rFonts w:ascii="Times New Roman" w:hAnsi="Times New Roman" w:cs="Times New Roman"/>
          <w:szCs w:val="22"/>
        </w:rPr>
        <w:t xml:space="preserve"> (руб./час),</w:t>
      </w: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где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position w:val="-12"/>
          <w:szCs w:val="22"/>
        </w:rPr>
        <w:pict>
          <v:shape id="_x0000_i1030" style="width:25.55pt;height:19.95pt" coordsize="" o:spt="100" adj="0,,0" path="" filled="f" stroked="f">
            <v:stroke joinstyle="miter"/>
            <v:imagedata r:id="rId18" o:title="base_1_141732_15"/>
            <v:formulas/>
            <v:path o:connecttype="segments"/>
          </v:shape>
        </w:pict>
      </w:r>
      <w:r w:rsidRPr="002A69AE">
        <w:rPr>
          <w:rFonts w:ascii="Times New Roman" w:hAnsi="Times New Roman" w:cs="Times New Roman"/>
          <w:szCs w:val="22"/>
        </w:rPr>
        <w:t xml:space="preserve"> - годовая валовая выручка, рассчитываемая как сумма планируемых расходов и планируемой прибыли оператора за проведение ТО.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Валовая выручка рассчитывается по формуле:</w:t>
      </w: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position w:val="-12"/>
          <w:szCs w:val="22"/>
        </w:rPr>
        <w:pict>
          <v:shape id="_x0000_i1031" style="width:102.2pt;height:19.95pt" coordsize="" o:spt="100" adj="0,,0" path="" filled="f" stroked="f">
            <v:stroke joinstyle="miter"/>
            <v:imagedata r:id="rId19" o:title="base_1_141732_16"/>
            <v:formulas/>
            <v:path o:connecttype="segments"/>
          </v:shape>
        </w:pict>
      </w:r>
      <w:r w:rsidRPr="002A69AE">
        <w:rPr>
          <w:rFonts w:ascii="Times New Roman" w:hAnsi="Times New Roman" w:cs="Times New Roman"/>
          <w:szCs w:val="22"/>
        </w:rPr>
        <w:t xml:space="preserve"> (руб.),</w:t>
      </w: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szCs w:val="22"/>
        </w:rPr>
        <w:t>где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position w:val="-12"/>
          <w:szCs w:val="22"/>
        </w:rPr>
        <w:pict>
          <v:shape id="_x0000_i1032" style="width:16.25pt;height:19.95pt" coordsize="" o:spt="100" adj="0,,0" path="" filled="f" stroked="f">
            <v:stroke joinstyle="miter"/>
            <v:imagedata r:id="rId20" o:title="base_1_141732_17"/>
            <v:formulas/>
            <v:path o:connecttype="segments"/>
          </v:shape>
        </w:pict>
      </w:r>
      <w:r w:rsidRPr="002A69AE">
        <w:rPr>
          <w:rFonts w:ascii="Times New Roman" w:hAnsi="Times New Roman" w:cs="Times New Roman"/>
          <w:szCs w:val="22"/>
        </w:rPr>
        <w:t xml:space="preserve"> - прямые расходы;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position w:val="-12"/>
          <w:szCs w:val="22"/>
        </w:rPr>
        <w:pict>
          <v:shape id="_x0000_i1033" style="width:16.25pt;height:19.95pt" coordsize="" o:spt="100" adj="0,,0" path="" filled="f" stroked="f">
            <v:stroke joinstyle="miter"/>
            <v:imagedata r:id="rId21" o:title="base_1_141732_18"/>
            <v:formulas/>
            <v:path o:connecttype="segments"/>
          </v:shape>
        </w:pict>
      </w:r>
      <w:r w:rsidRPr="002A69AE">
        <w:rPr>
          <w:rFonts w:ascii="Times New Roman" w:hAnsi="Times New Roman" w:cs="Times New Roman"/>
          <w:szCs w:val="22"/>
        </w:rPr>
        <w:t xml:space="preserve"> - косвенные расходы;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A69AE">
        <w:rPr>
          <w:rFonts w:ascii="Times New Roman" w:hAnsi="Times New Roman" w:cs="Times New Roman"/>
          <w:szCs w:val="22"/>
        </w:rPr>
        <w:t>П</w:t>
      </w:r>
      <w:proofErr w:type="gramEnd"/>
      <w:r w:rsidRPr="002A69AE">
        <w:rPr>
          <w:rFonts w:ascii="Times New Roman" w:hAnsi="Times New Roman" w:cs="Times New Roman"/>
          <w:szCs w:val="22"/>
        </w:rPr>
        <w:t xml:space="preserve"> - прибыль;</w:t>
      </w:r>
    </w:p>
    <w:p w:rsidR="002A69AE" w:rsidRPr="002A69AE" w:rsidRDefault="002A69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A69AE">
        <w:rPr>
          <w:rFonts w:ascii="Times New Roman" w:hAnsi="Times New Roman" w:cs="Times New Roman"/>
          <w:position w:val="-12"/>
          <w:szCs w:val="22"/>
        </w:rPr>
        <w:pict>
          <v:shape id="_x0000_i1034" style="width:19.05pt;height:19.95pt" coordsize="" o:spt="100" adj="0,,0" path="" filled="f" stroked="f">
            <v:stroke joinstyle="miter"/>
            <v:imagedata r:id="rId22" o:title="base_1_141732_19"/>
            <v:formulas/>
            <v:path o:connecttype="segments"/>
          </v:shape>
        </w:pict>
      </w:r>
      <w:r w:rsidRPr="002A69AE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A69AE">
        <w:rPr>
          <w:rFonts w:ascii="Times New Roman" w:hAnsi="Times New Roman" w:cs="Times New Roman"/>
          <w:szCs w:val="22"/>
        </w:rPr>
        <w:t xml:space="preserve">- планируемый годовой фонд рабочего времени технических экспертов оператора, рассчитанный как произведение количества технических экспертов на норму рабочего времени, определяемую на год в соответствии с </w:t>
      </w:r>
      <w:hyperlink r:id="rId23" w:history="1">
        <w:r w:rsidRPr="002A69AE">
          <w:rPr>
            <w:rFonts w:ascii="Times New Roman" w:hAnsi="Times New Roman" w:cs="Times New Roman"/>
            <w:color w:val="0000FF"/>
            <w:szCs w:val="22"/>
          </w:rPr>
          <w:t>Приказом</w:t>
        </w:r>
      </w:hyperlink>
      <w:r w:rsidRPr="002A69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A69AE">
        <w:rPr>
          <w:rFonts w:ascii="Times New Roman" w:hAnsi="Times New Roman" w:cs="Times New Roman"/>
          <w:szCs w:val="22"/>
        </w:rPr>
        <w:t>Минздравсоцразвития</w:t>
      </w:r>
      <w:proofErr w:type="spellEnd"/>
      <w:r w:rsidRPr="002A69AE">
        <w:rPr>
          <w:rFonts w:ascii="Times New Roman" w:hAnsi="Times New Roman" w:cs="Times New Roman"/>
          <w:szCs w:val="22"/>
        </w:rPr>
        <w:t xml:space="preserve"> России от 13 августа 2009 г.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 (зарегистрировано Минюстом</w:t>
      </w:r>
      <w:proofErr w:type="gramEnd"/>
      <w:r w:rsidRPr="002A69AE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A69AE">
        <w:rPr>
          <w:rFonts w:ascii="Times New Roman" w:hAnsi="Times New Roman" w:cs="Times New Roman"/>
          <w:szCs w:val="22"/>
        </w:rPr>
        <w:t>России 28 сентября 2009 г., регистрационный N 14900).</w:t>
      </w:r>
      <w:proofErr w:type="gramEnd"/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A69AE" w:rsidRPr="002A69AE" w:rsidRDefault="002A69A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3F6623" w:rsidRPr="002A69AE" w:rsidRDefault="003F6623">
      <w:pPr>
        <w:rPr>
          <w:rFonts w:ascii="Times New Roman" w:hAnsi="Times New Roman" w:cs="Times New Roman"/>
        </w:rPr>
      </w:pPr>
    </w:p>
    <w:sectPr w:rsidR="003F6623" w:rsidRPr="002A69AE" w:rsidSect="0025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2A69AE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46CD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69AE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395B"/>
    <w:rsid w:val="00455671"/>
    <w:rsid w:val="00456E0F"/>
    <w:rsid w:val="004610A8"/>
    <w:rsid w:val="004628ED"/>
    <w:rsid w:val="00463316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6C1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6C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1745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42A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60EEB"/>
    <w:rsid w:val="00961324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4A90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AF7F30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D750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003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5B20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1A61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0D40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456D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6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9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F2DA0A9A1D461C1A48D0F7FEFC9B8598B5BC655F2081BEE855DA0EFFAi5H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hyperlink" Target="consultantplus://offline/ref=F82F2DA0A9A1D461C1A48D0F7FEFC9B8598B5BC655F2081BEE855DA0EFA5B1915CFAB26901130B86FCiEH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2F2DA0A9A1D461C1A48D0F7FEFC9B85A8F58C157F5081BEE855DA0EFA5B1915CFAB26901130A8EFCi3H" TargetMode="External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F82F2DA0A9A1D461C1A48D0F7FEFC9B85A8F58C157F5081BEE855DA0EFA5B1915CFAB26901130A8EFCiDH" TargetMode="External"/><Relationship Id="rId11" Type="http://schemas.openxmlformats.org/officeDocument/2006/relationships/hyperlink" Target="consultantplus://offline/ref=F82F2DA0A9A1D461C1A48D0F7FEFC9B85A8A51CE51F2081BEE855DA0EFFAi5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82F2DA0A9A1D461C1A48D0F7FEFC9B8598B5BC655F2081BEE855DA0EFA5B1915CFAB26901130B86FCiEH" TargetMode="Externa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F82F2DA0A9A1D461C1A48D0F7FEFC9B8528958C050F85511E6DC51A2FEi8H" TargetMode="External"/><Relationship Id="rId10" Type="http://schemas.openxmlformats.org/officeDocument/2006/relationships/hyperlink" Target="consultantplus://offline/ref=F82F2DA0A9A1D461C1A48D0F7FEFC9B85A8F58C157F5081BEE855DA0EFA5B1915CFAB26901130A8EFCiCH" TargetMode="External"/><Relationship Id="rId19" Type="http://schemas.openxmlformats.org/officeDocument/2006/relationships/image" Target="media/image7.wmf"/><Relationship Id="rId4" Type="http://schemas.openxmlformats.org/officeDocument/2006/relationships/hyperlink" Target="consultantplus://offline/ref=F82F2DA0A9A1D461C1A48D0F7FEFC9B85A8F58C157F5081BEE855DA0EFA5B1915CFAB26901130A8EFCiDH" TargetMode="External"/><Relationship Id="rId9" Type="http://schemas.openxmlformats.org/officeDocument/2006/relationships/hyperlink" Target="consultantplus://offline/ref=F82F2DA0A9A1D461C1A48D0F7FEFC9B8598B5BC655F2081BEE855DA0EFA5B1915CFAB26901130B86FCiEH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1</cp:revision>
  <dcterms:created xsi:type="dcterms:W3CDTF">2017-10-03T07:34:00Z</dcterms:created>
  <dcterms:modified xsi:type="dcterms:W3CDTF">2017-10-03T07:34:00Z</dcterms:modified>
</cp:coreProperties>
</file>